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3BD5A427" w14:textId="057718FD" w:rsidR="00EA3D3C" w:rsidRDefault="00654E8F" w:rsidP="00F449A1">
      <w:pPr>
        <w:pStyle w:val="1"/>
      </w:pPr>
      <w:r w:rsidRPr="00994A3D">
        <w:t xml:space="preserve">Supplementary </w:t>
      </w:r>
      <w:r w:rsidR="00D91280">
        <w:t>Methods</w:t>
      </w:r>
    </w:p>
    <w:p w14:paraId="213F480E" w14:textId="6F4F2B0D" w:rsidR="00D91280" w:rsidRPr="001549D3" w:rsidRDefault="0078556E" w:rsidP="00F449A1">
      <w:pPr>
        <w:pStyle w:val="2"/>
      </w:pPr>
      <w:r w:rsidRPr="00734BA8">
        <w:t>C</w:t>
      </w:r>
      <w:r>
        <w:t xml:space="preserve">ardiac Amyloidosis </w:t>
      </w:r>
      <w:r w:rsidRPr="00734BA8">
        <w:t xml:space="preserve"> Cohort Composition</w:t>
      </w:r>
    </w:p>
    <w:p w14:paraId="31AE909D" w14:textId="31425972" w:rsidR="00553D71" w:rsidRDefault="0078556E" w:rsidP="00F449A1">
      <w:pPr>
        <w:rPr>
          <w:rFonts w:cs="Times New Roman"/>
        </w:rPr>
      </w:pPr>
      <w:r w:rsidRPr="00ED56CB">
        <w:rPr>
          <w:rFonts w:cs="Times New Roman"/>
        </w:rPr>
        <w:t>Biopsy of all patients confirmed AL amyloidosis by Congo red stain, immunofluorescence, or mass spectrometry confirmation of light chains deposition.</w:t>
      </w:r>
      <w:r w:rsidRPr="00BB6F06">
        <w:t xml:space="preserve"> </w:t>
      </w:r>
      <w:r w:rsidRPr="00BB6F06">
        <w:rPr>
          <w:rFonts w:cs="Times New Roman"/>
        </w:rPr>
        <w:t>The following tissues were used for the assays</w:t>
      </w:r>
      <w:r w:rsidRPr="0094720D">
        <w:rPr>
          <w:rFonts w:cs="Times New Roman"/>
        </w:rPr>
        <w:t>:</w:t>
      </w:r>
      <w:r w:rsidRPr="0094720D">
        <w:rPr>
          <w:rFonts w:cs="Times New Roman" w:hint="eastAsia"/>
        </w:rPr>
        <w:t xml:space="preserve"> </w:t>
      </w:r>
      <w:r w:rsidRPr="0094720D">
        <w:rPr>
          <w:rFonts w:cs="Times New Roman"/>
        </w:rPr>
        <w:t xml:space="preserve">kidney (n = 36), </w:t>
      </w:r>
      <w:r>
        <w:rPr>
          <w:rFonts w:cs="Times New Roman"/>
        </w:rPr>
        <w:t>bone marrow</w:t>
      </w:r>
      <w:r w:rsidRPr="0094720D">
        <w:rPr>
          <w:rFonts w:cs="Times New Roman"/>
        </w:rPr>
        <w:t xml:space="preserve"> (n =12), fat (n = 10), tongue (n = 7), myocardium (n = 5 ) , liver (n = 4 ) , </w:t>
      </w:r>
      <w:r>
        <w:rPr>
          <w:rFonts w:cs="Times New Roman"/>
        </w:rPr>
        <w:t xml:space="preserve">upper gastro </w:t>
      </w:r>
      <w:r w:rsidRPr="0094720D">
        <w:rPr>
          <w:rFonts w:cs="Times New Roman"/>
        </w:rPr>
        <w:t xml:space="preserve">intestinal tract (n = 3), buccal mucosa (n = 3), rectum (n = 3) and skin (n = 2). </w:t>
      </w:r>
      <w:r w:rsidRPr="00ED56CB">
        <w:rPr>
          <w:rFonts w:cs="Times New Roman"/>
        </w:rPr>
        <w:t xml:space="preserve">Laboratory </w:t>
      </w:r>
      <w:r w:rsidRPr="0094720D">
        <w:rPr>
          <w:rFonts w:cs="Times New Roman"/>
        </w:rPr>
        <w:t>examination</w:t>
      </w:r>
      <w:r w:rsidRPr="00ED56CB">
        <w:rPr>
          <w:rFonts w:cs="Times New Roman"/>
        </w:rPr>
        <w:t xml:space="preserve"> of cardiac biomarkers was performed on all patients </w:t>
      </w:r>
      <w:r>
        <w:rPr>
          <w:rFonts w:cs="Times New Roman"/>
        </w:rPr>
        <w:t xml:space="preserve">with </w:t>
      </w:r>
      <w:r w:rsidRPr="0094720D">
        <w:rPr>
          <w:rFonts w:cs="Times New Roman"/>
        </w:rPr>
        <w:t>Troponin I (cTnI) and N-terminal pro-B-type natriuretic peptide</w:t>
      </w:r>
      <w:r w:rsidRPr="0094720D">
        <w:rPr>
          <w:rFonts w:cs="Times New Roman" w:hint="eastAsia"/>
        </w:rPr>
        <w:t xml:space="preserve"> </w:t>
      </w:r>
      <w:r w:rsidRPr="0094720D">
        <w:rPr>
          <w:rFonts w:cs="Times New Roman"/>
        </w:rPr>
        <w:t>(NT-proBNP).</w:t>
      </w:r>
      <w:r w:rsidRPr="001F509F">
        <w:rPr>
          <w:rFonts w:cs="Times New Roman"/>
        </w:rPr>
        <w:t xml:space="preserve"> </w:t>
      </w:r>
      <w:r w:rsidRPr="005A027F">
        <w:rPr>
          <w:rFonts w:cs="Times New Roman"/>
        </w:rPr>
        <w:t xml:space="preserve">The </w:t>
      </w:r>
      <w:r>
        <w:rPr>
          <w:rFonts w:cs="Times New Roman"/>
        </w:rPr>
        <w:t>“</w:t>
      </w:r>
      <w:r w:rsidRPr="001F509F">
        <w:rPr>
          <w:rFonts w:cs="Times New Roman"/>
        </w:rPr>
        <w:t>typical features</w:t>
      </w:r>
      <w:r>
        <w:rPr>
          <w:rFonts w:cs="Times New Roman"/>
        </w:rPr>
        <w:t>” include t</w:t>
      </w:r>
      <w:r w:rsidRPr="009744E8">
        <w:rPr>
          <w:rFonts w:cs="Times New Roman"/>
        </w:rPr>
        <w:t xml:space="preserve">he presence of </w:t>
      </w:r>
      <w:r>
        <w:rPr>
          <w:rFonts w:cs="Times New Roman"/>
        </w:rPr>
        <w:t>LVH (</w:t>
      </w:r>
      <w:r w:rsidRPr="009744E8">
        <w:rPr>
          <w:rFonts w:cs="Times New Roman"/>
        </w:rPr>
        <w:t>defined as</w:t>
      </w:r>
      <w:r w:rsidRPr="005A027F">
        <w:rPr>
          <w:rFonts w:cs="Times New Roman"/>
        </w:rPr>
        <w:t xml:space="preserve"> end-diastolic thickness of the interventricular septum &gt;12 mm in the absence</w:t>
      </w:r>
      <w:r>
        <w:rPr>
          <w:rFonts w:cs="Times New Roman" w:hint="eastAsia"/>
        </w:rPr>
        <w:t xml:space="preserve"> </w:t>
      </w:r>
      <w:r w:rsidRPr="005A027F">
        <w:rPr>
          <w:rFonts w:cs="Times New Roman"/>
        </w:rPr>
        <w:t>of hypertension or other potential causes</w:t>
      </w:r>
      <w:r>
        <w:rPr>
          <w:rFonts w:cs="Times New Roman"/>
        </w:rPr>
        <w:t xml:space="preserve">) </w:t>
      </w:r>
      <w:r>
        <w:rPr>
          <w:rFonts w:cs="Times New Roman"/>
        </w:rPr>
        <w:fldChar w:fldCharType="begin"/>
      </w:r>
      <w:r w:rsidR="001B60F8">
        <w:rPr>
          <w:rFonts w:cs="Times New Roman"/>
        </w:rPr>
        <w:instrText xml:space="preserve"> ADDIN ZOTERO_ITEM CSL_CITATION {"citationID":"UMjzuRRM","properties":{"formattedCitation":"(1)","plainCitation":"(1)","noteIndex":0},"citationItems":[{"id":1570,"uris":["http://zotero.org/users/7224870/items/9QX63Z79"],"itemData":{"id":1570,"type":"article-journal","abstract":"We undertook this study to develop uniformly accepted criteria for the definition of organ involvement and response for patients on treatment protocols for immunoglobulin light-chain amyloidosis (AL). A consensus panel was convened comprising 13 specialists actively involved in the treatment of patients with amyloidosis. Institutional criteria were submitted from each, and a consensus was developed defining each organ involved and the criteria for response. Specific criteria have been developed with agreed on definitions of organ and hematologic response as a result of discussions at the 10th International Symposium on Amyloid and Amyloidosis held in Tours, France, April 2004. These criteria now form the working definition of involvement and response for the purposes of future data collection and reporting. We report criteria that centers can now use to define organ involvement and uniform response criteria for reporting outcomes in patients with light-chain AL.","container-title":"American Journal of Hematology","DOI":"10.1002/ajh.20381","ISSN":"0361-8609","issue":"4","journalAbbreviation":"Am J Hematol","language":"eng","note":"PMID: 16044444","page":"319-328","source":"PubMed","title":"Definition of organ involvement and treatment response in immunoglobulin light chain amyloidosis (AL): a consensus opinion from the 10th International Symposium on Amyloid and Amyloidosis, Tours, France, 18-22 April 2004","title-short":"Definition of organ involvement and treatment response in immunoglobulin light chain amyloidosis (AL)","volume":"79","author":[{"family":"Gertz","given":"Morie A."},{"family":"Comenzo","given":"Ray"},{"family":"Falk","given":"Rodney H."},{"family":"Fermand","given":"Jean Paul"},{"family":"Hazenberg","given":"Bouke P."},{"family":"Hawkins","given":"Philip N."},{"family":"Merlini","given":"Giampaolo"},{"family":"Moreau","given":"Philippe"},{"family":"Ronco","given":"Pierre"},{"family":"Sanchorawala","given":"Vaishali"},{"family":"Sezer","given":"Orhan"},{"family":"Solomon","given":"Alan"},{"family":"Grateau","given":"Giles"}],"issued":{"date-parts":[["2005",8]]}}}],"schema":"https://github.com/citation-style-language/schema/raw/master/csl-citation.json"} </w:instrText>
      </w:r>
      <w:r>
        <w:rPr>
          <w:rFonts w:cs="Times New Roman"/>
        </w:rPr>
        <w:fldChar w:fldCharType="separate"/>
      </w:r>
      <w:r w:rsidR="001B60F8" w:rsidRPr="001B60F8">
        <w:rPr>
          <w:rFonts w:cs="Times New Roman"/>
        </w:rPr>
        <w:t>(1)</w:t>
      </w:r>
      <w:r>
        <w:rPr>
          <w:rFonts w:cs="Times New Roman"/>
        </w:rPr>
        <w:fldChar w:fldCharType="end"/>
      </w:r>
      <w:r>
        <w:rPr>
          <w:rFonts w:cs="Times New Roman"/>
        </w:rPr>
        <w:t xml:space="preserve">or </w:t>
      </w:r>
      <w:r w:rsidRPr="009744E8">
        <w:rPr>
          <w:rFonts w:cs="Times New Roman"/>
        </w:rPr>
        <w:t>LGE</w:t>
      </w:r>
      <w:r w:rsidRPr="005A027F">
        <w:rPr>
          <w:rFonts w:cs="Times New Roman"/>
        </w:rPr>
        <w:t xml:space="preserve"> was present in a </w:t>
      </w:r>
      <w:r>
        <w:rPr>
          <w:rFonts w:cs="Times New Roman"/>
        </w:rPr>
        <w:t>typical pattern (</w:t>
      </w:r>
      <w:r w:rsidRPr="005A027F">
        <w:rPr>
          <w:rFonts w:cs="Times New Roman"/>
        </w:rPr>
        <w:t>circumferential pattern involving the entire subendocardium, extending to adjacent myocardium</w:t>
      </w:r>
      <w:r>
        <w:rPr>
          <w:rFonts w:cs="Times New Roman"/>
        </w:rPr>
        <w:t>)</w:t>
      </w:r>
      <w:r w:rsidRPr="009744E8">
        <w:rPr>
          <w:rFonts w:cs="Times New Roman"/>
        </w:rPr>
        <w:t xml:space="preserve"> </w:t>
      </w:r>
      <w:r>
        <w:rPr>
          <w:rFonts w:cs="Times New Roman"/>
        </w:rPr>
        <w:fldChar w:fldCharType="begin"/>
      </w:r>
      <w:r w:rsidR="001B60F8">
        <w:rPr>
          <w:rFonts w:cs="Times New Roman"/>
        </w:rPr>
        <w:instrText xml:space="preserve"> ADDIN ZOTERO_ITEM CSL_CITATION {"citationID":"5F6HDj5x","properties":{"formattedCitation":"(2)","plainCitation":"(2)","noteIndex":0},"citationItems":[{"id":1563,"uris":["http://zotero.org/users/7224870/items/P8BHZTW8"],"itemData":{"id":1563,"type":"article-journal","abstract":"BACKGROUND: The prognosis and treatment of the 2 main types of cardiac amyloidosis, immunoglobulin light chain (AL) and transthyretin (ATTR) amyloidosis, are substantially influenced by cardiac involvement. Cardiovascular magnetic resonance with late gadolinium enhancement (LGE) is a reference standard for the diagnosis of cardiac amyloidosis, but its potential for stratifying risk is unknown.\nMETHODS AND RESULTS: Two hundred fifty prospectively recruited subjects, 122 patients with ATTR amyloid, 9 asymptomatic mutation carriers, and 119 patients with AL amyloidosis, underwent LGE cardiovascular magnetic resonance. Subjects were followed up for a mean of 24±13 months. LGE was performed with phase-sensitive inversion recovery (PSIR) and without (magnitude only). These were compared with extracellular volume measured with T1 mapping. PSIR was superior to magnitude-only inversion recovery LGE because PSIR always nulled the tissue (blood or myocardium) with the longest T1 (least gadolinium). LGE was classified into 3 patterns: none, subendocardial, and transmural, which were associated with increasing amyloid burden as defined by extracellular volume (P&lt;0.0001), with transitions from none to subendocardial LGE at an extracellular volume of 0.40 to 0.43 (AL) and 0.39 to 0.40 (ATTR) and to transmural at 0.48 to 0.55 (AL) and 0.47 to 0.59 (ATTR). Sixty-seven patients (27%) died. Transmural LGE predicted death (hazard ratio, 5.4; 95% confidence interval, 2.1-13.7; P&lt;0.0001) and remained independent after adjustment for N-terminal pro-brain natriuretic peptide, ejection fraction, stroke volume index, E/E', and left ventricular mass index (hazard ratio, 4.1; 95% confidence interval, 1.3-13.1; P&lt;0.05).\nCONCLUSIONS: There is a continuum of cardiac involvement in systemic AL and ATTR amyloidosis. Transmural LGE is determined reliably by PSIR and represents advanced cardiac amyloidosis. The PSIR technique provides incremental information on outcome even after adjustment for known prognostic factors.","container-title":"Circulation","DOI":"10.1161/CIRCULATIONAHA.115.016567","ISSN":"1524-4539","issue":"16","journalAbbreviation":"Circulation","language":"eng","note":"PMID: 26362631\nPMCID: PMC4606985","page":"1570-1579","source":"PubMed","title":"Prognostic Value of Late Gadolinium Enhancement Cardiovascular Magnetic Resonance in Cardiac Amyloidosis","volume":"132","author":[{"family":"Fontana","given":"Marianna"},{"family":"Pica","given":"Silvia"},{"family":"Reant","given":"Patricia"},{"family":"Abdel-Gadir","given":"Amna"},{"family":"Treibel","given":"Thomas A."},{"family":"Banypersad","given":"Sanjay M."},{"family":"Maestrini","given":"Viviana"},{"family":"Barcella","given":"William"},{"family":"Rosmini","given":"Stefania"},{"family":"Bulluck","given":"Heerajnarain"},{"family":"Sayed","given":"Rabya H."},{"family":"Patel","given":"Ketna"},{"family":"Mamhood","given":"Shameem"},{"family":"Bucciarelli-Ducci","given":"Chiara"},{"family":"Whelan","given":"Carol J."},{"family":"Herrey","given":"Anna S."},{"family":"Lachmann","given":"Helen J."},{"family":"Wechalekar","given":"Ashutosh D."},{"family":"Manisty","given":"Charlotte H."},{"family":"Schelbert","given":"Eric B."},{"family":"Kellman","given":"Peter"},{"family":"Gillmore","given":"Julian D."},{"family":"Hawkins","given":"Philip N."},{"family":"Moon","given":"James C."}],"issued":{"date-parts":[["2015",10,20]]}}}],"schema":"https://github.com/citation-style-language/schema/raw/master/csl-citation.json"} </w:instrText>
      </w:r>
      <w:r>
        <w:rPr>
          <w:rFonts w:cs="Times New Roman"/>
        </w:rPr>
        <w:fldChar w:fldCharType="separate"/>
      </w:r>
      <w:r w:rsidR="001B60F8" w:rsidRPr="001B60F8">
        <w:rPr>
          <w:rFonts w:cs="Times New Roman"/>
        </w:rPr>
        <w:t>(2)</w:t>
      </w:r>
      <w:r>
        <w:rPr>
          <w:rFonts w:cs="Times New Roman"/>
        </w:rPr>
        <w:fldChar w:fldCharType="end"/>
      </w:r>
      <w:r w:rsidRPr="001F509F">
        <w:rPr>
          <w:rFonts w:cs="Times New Roman"/>
        </w:rPr>
        <w:t xml:space="preserve"> </w:t>
      </w:r>
      <w:r>
        <w:rPr>
          <w:rFonts w:cs="Times New Roman"/>
        </w:rPr>
        <w:t>T</w:t>
      </w:r>
      <w:r w:rsidRPr="005A027F">
        <w:rPr>
          <w:rFonts w:cs="Times New Roman"/>
        </w:rPr>
        <w:t>he term, LVH, was synonymous with ‘</w:t>
      </w:r>
      <w:r>
        <w:rPr>
          <w:rFonts w:cs="Times New Roman"/>
        </w:rPr>
        <w:t xml:space="preserve">left ventricular </w:t>
      </w:r>
      <w:r w:rsidRPr="005A027F">
        <w:rPr>
          <w:rFonts w:cs="Times New Roman"/>
        </w:rPr>
        <w:t>wall thickness’, independent of LV mass.</w:t>
      </w:r>
    </w:p>
    <w:p w14:paraId="10223482" w14:textId="261D0718" w:rsidR="0078556E" w:rsidRDefault="0078556E" w:rsidP="00F449A1">
      <w:pPr>
        <w:pStyle w:val="2"/>
        <w:numPr>
          <w:ilvl w:val="1"/>
          <w:numId w:val="14"/>
        </w:numPr>
        <w:ind w:left="0" w:firstLine="0"/>
      </w:pPr>
      <w:r w:rsidRPr="0078556E">
        <w:t>C</w:t>
      </w:r>
      <w:r>
        <w:t>ontrol Cohort Composition</w:t>
      </w:r>
    </w:p>
    <w:p w14:paraId="7392F8EA" w14:textId="169B63C5" w:rsidR="00415F80" w:rsidRDefault="00415F80" w:rsidP="00F449A1">
      <w:pPr>
        <w:rPr>
          <w:rFonts w:cs="Times New Roman"/>
        </w:rPr>
      </w:pPr>
      <w:r w:rsidRPr="001E3F48">
        <w:rPr>
          <w:rFonts w:cs="Times New Roman"/>
        </w:rPr>
        <w:t xml:space="preserve">The control group consisted of </w:t>
      </w:r>
      <w:r>
        <w:rPr>
          <w:rFonts w:cs="Times New Roman"/>
        </w:rPr>
        <w:t>7</w:t>
      </w:r>
      <w:r w:rsidRPr="001E3F48">
        <w:rPr>
          <w:rFonts w:cs="Times New Roman"/>
        </w:rPr>
        <w:t xml:space="preserve"> healthy adult subjects recruited through advertisement and </w:t>
      </w:r>
      <w:r>
        <w:rPr>
          <w:rFonts w:cs="Times New Roman"/>
        </w:rPr>
        <w:t>77</w:t>
      </w:r>
      <w:r w:rsidRPr="001E3F48">
        <w:rPr>
          <w:rFonts w:cs="Times New Roman"/>
        </w:rPr>
        <w:t xml:space="preserve"> clinical patients screened for any history of cardiac disease. </w:t>
      </w:r>
      <w:r w:rsidR="00BA3C3D" w:rsidRPr="00BA3C3D">
        <w:rPr>
          <w:rFonts w:cs="Times New Roman"/>
        </w:rPr>
        <w:t xml:space="preserve">Referral indications for a clinical CMR were </w:t>
      </w:r>
      <w:r w:rsidR="00BA3C3D">
        <w:rPr>
          <w:rFonts w:cs="Times New Roman"/>
        </w:rPr>
        <w:t>e</w:t>
      </w:r>
      <w:r w:rsidRPr="001E3F48">
        <w:rPr>
          <w:rFonts w:cs="Times New Roman"/>
        </w:rPr>
        <w:t xml:space="preserve">xclusion of cardiomyopathies in patients with </w:t>
      </w:r>
      <w:r>
        <w:rPr>
          <w:rFonts w:cs="Times New Roman"/>
        </w:rPr>
        <w:t xml:space="preserve">a </w:t>
      </w:r>
      <w:r w:rsidRPr="001E3F48">
        <w:rPr>
          <w:rFonts w:cs="Times New Roman"/>
        </w:rPr>
        <w:t>known familial</w:t>
      </w:r>
      <w:r w:rsidRPr="00310A81">
        <w:rPr>
          <w:rFonts w:cs="Times New Roman"/>
          <w:color w:val="FF0000"/>
        </w:rPr>
        <w:t xml:space="preserve"> </w:t>
      </w:r>
      <w:r w:rsidR="00310A81" w:rsidRPr="00A63AA4">
        <w:rPr>
          <w:rFonts w:cs="Times New Roman"/>
        </w:rPr>
        <w:t>fabry</w:t>
      </w:r>
      <w:r w:rsidR="00310A81">
        <w:rPr>
          <w:rFonts w:cs="Times New Roman"/>
          <w:color w:val="FF0000"/>
        </w:rPr>
        <w:t xml:space="preserve"> </w:t>
      </w:r>
      <w:r w:rsidRPr="001E3F48">
        <w:rPr>
          <w:rFonts w:cs="Times New Roman"/>
        </w:rPr>
        <w:t>(n=</w:t>
      </w:r>
      <w:r w:rsidR="00310A81">
        <w:rPr>
          <w:rFonts w:cs="Times New Roman"/>
        </w:rPr>
        <w:t>6</w:t>
      </w:r>
      <w:r w:rsidRPr="001E3F48">
        <w:rPr>
          <w:rFonts w:cs="Times New Roman"/>
        </w:rPr>
        <w:t>)</w:t>
      </w:r>
      <w:r w:rsidR="004462D0">
        <w:rPr>
          <w:rFonts w:cs="Times New Roman"/>
        </w:rPr>
        <w:t>;</w:t>
      </w:r>
      <w:r w:rsidR="00441930">
        <w:rPr>
          <w:rFonts w:cs="Times New Roman"/>
        </w:rPr>
        <w:t xml:space="preserve"> </w:t>
      </w:r>
      <w:r w:rsidRPr="001E3F48">
        <w:rPr>
          <w:rFonts w:cs="Times New Roman"/>
        </w:rPr>
        <w:t>exclusion of structural heart disease</w:t>
      </w:r>
      <w:r w:rsidR="00E353BE" w:rsidRPr="00E353BE">
        <w:rPr>
          <w:rFonts w:cs="Times New Roman"/>
          <w:color w:val="FF0000"/>
        </w:rPr>
        <w:t xml:space="preserve"> </w:t>
      </w:r>
      <w:r w:rsidR="00E353BE" w:rsidRPr="00A63AA4">
        <w:rPr>
          <w:rFonts w:cs="Times New Roman"/>
        </w:rPr>
        <w:t>(coronary artery disease, valvular heart disease or congenital heart disease)</w:t>
      </w:r>
      <w:r w:rsidRPr="001E3F48">
        <w:rPr>
          <w:rFonts w:cs="Times New Roman"/>
        </w:rPr>
        <w:t xml:space="preserve"> as part of differential diagnostic processes (n=</w:t>
      </w:r>
      <w:r w:rsidR="00310A81">
        <w:rPr>
          <w:rFonts w:cs="Times New Roman"/>
        </w:rPr>
        <w:t>5</w:t>
      </w:r>
      <w:r>
        <w:rPr>
          <w:rFonts w:cs="Times New Roman"/>
        </w:rPr>
        <w:t>5</w:t>
      </w:r>
      <w:r w:rsidRPr="001E3F48">
        <w:rPr>
          <w:rFonts w:cs="Times New Roman"/>
        </w:rPr>
        <w:t>)</w:t>
      </w:r>
      <w:r>
        <w:rPr>
          <w:rFonts w:cs="Times New Roman"/>
        </w:rPr>
        <w:t>,</w:t>
      </w:r>
      <w:r w:rsidRPr="001E3F48">
        <w:rPr>
          <w:rFonts w:cs="Times New Roman"/>
        </w:rPr>
        <w:t xml:space="preserve"> or in the context of abnormal electrocardiograms (n=</w:t>
      </w:r>
      <w:r w:rsidR="00310A81">
        <w:rPr>
          <w:rFonts w:cs="Times New Roman"/>
        </w:rPr>
        <w:t>9</w:t>
      </w:r>
      <w:r w:rsidRPr="001E3F48">
        <w:rPr>
          <w:rFonts w:cs="Times New Roman"/>
        </w:rPr>
        <w:t>), and abnormal/inconclusive echocardiography findings (n=</w:t>
      </w:r>
      <w:r>
        <w:rPr>
          <w:rFonts w:cs="Times New Roman"/>
        </w:rPr>
        <w:t>8</w:t>
      </w:r>
      <w:r w:rsidRPr="001E3F48">
        <w:rPr>
          <w:rFonts w:cs="Times New Roman"/>
        </w:rPr>
        <w:t>).</w:t>
      </w:r>
    </w:p>
    <w:p w14:paraId="472DC910" w14:textId="7B9D3DE5" w:rsidR="00415F80" w:rsidRDefault="00415F80" w:rsidP="00F449A1">
      <w:pPr>
        <w:pStyle w:val="2"/>
        <w:numPr>
          <w:ilvl w:val="1"/>
          <w:numId w:val="14"/>
        </w:numPr>
        <w:ind w:left="0" w:firstLine="0"/>
      </w:pPr>
      <w:r w:rsidRPr="0078556E">
        <w:t>C</w:t>
      </w:r>
      <w:r>
        <w:t>ardiac MR Imaging Protocol</w:t>
      </w:r>
    </w:p>
    <w:p w14:paraId="3DB5060C" w14:textId="77777777" w:rsidR="00415F80" w:rsidRPr="005A027F" w:rsidRDefault="00415F80" w:rsidP="00F449A1">
      <w:pPr>
        <w:rPr>
          <w:rFonts w:cs="Times New Roman"/>
        </w:rPr>
      </w:pPr>
      <w:r w:rsidRPr="005A027F">
        <w:rPr>
          <w:rFonts w:cs="Times New Roman"/>
        </w:rPr>
        <w:t>The maximum gradient field was 45 mT / m, and the maximum gradient switching rate was 200 mT • m-1 • ms-1. An 18-element body matrix coil and a 32-cell array of spine arrays were used for data collection.</w:t>
      </w:r>
    </w:p>
    <w:p w14:paraId="64B5E1C2" w14:textId="77777777" w:rsidR="00415F80" w:rsidRPr="005A027F" w:rsidRDefault="00415F80" w:rsidP="00F449A1">
      <w:pPr>
        <w:rPr>
          <w:rFonts w:cs="Times New Roman"/>
        </w:rPr>
      </w:pPr>
      <w:r w:rsidRPr="005A027F">
        <w:rPr>
          <w:rFonts w:cs="Times New Roman"/>
        </w:rPr>
        <w:t>Both Cine and LGE images consisted of 2-chamber, 3-chamber, 4-chamber, and 10-12 short-axis images covering the entire ventricles from base to apex.</w:t>
      </w:r>
    </w:p>
    <w:p w14:paraId="30A2C2CB" w14:textId="77777777" w:rsidR="00415F80" w:rsidRPr="005A027F" w:rsidRDefault="00415F80" w:rsidP="00F449A1">
      <w:pPr>
        <w:rPr>
          <w:rFonts w:cs="Times New Roman"/>
        </w:rPr>
      </w:pPr>
      <w:r w:rsidRPr="005A027F">
        <w:rPr>
          <w:rFonts w:cs="Times New Roman"/>
        </w:rPr>
        <w:t>Typical parameters were as follows: repetition time (TR)/echo time (TE), 3.3/1.43 ms; flip angle (FA), 55°-70°; voxel size, 1.6x1.6x6.0 mm3; temporal resolution, 45.6 ms; and bandwidth, 962 Hz/pixel.)</w:t>
      </w:r>
    </w:p>
    <w:p w14:paraId="3B9A413D" w14:textId="77777777" w:rsidR="00415F80" w:rsidRPr="008A69B0" w:rsidRDefault="00415F80" w:rsidP="00F449A1">
      <w:pPr>
        <w:pStyle w:val="2"/>
      </w:pPr>
      <w:r w:rsidRPr="008A69B0">
        <w:t>Reasons for the ROIs placement</w:t>
      </w:r>
    </w:p>
    <w:p w14:paraId="55E3EB82" w14:textId="2F505A06" w:rsidR="00415F80" w:rsidRPr="00A63AA4" w:rsidRDefault="00415F80" w:rsidP="00F449A1">
      <w:pPr>
        <w:rPr>
          <w:rFonts w:cs="Times New Roman"/>
        </w:rPr>
      </w:pPr>
      <w:bookmarkStart w:id="0" w:name="OLE_LINK8"/>
      <w:r w:rsidRPr="00481C94">
        <w:rPr>
          <w:rFonts w:cs="Times New Roman"/>
        </w:rPr>
        <w:t xml:space="preserve">Alis </w:t>
      </w:r>
      <w:r>
        <w:rPr>
          <w:rFonts w:cs="Times New Roman"/>
        </w:rPr>
        <w:t xml:space="preserve">et al </w:t>
      </w:r>
      <w:r w:rsidRPr="005A027F">
        <w:rPr>
          <w:rFonts w:cs="Times New Roman"/>
        </w:rPr>
        <w:fldChar w:fldCharType="begin"/>
      </w:r>
      <w:r w:rsidR="001B60F8">
        <w:rPr>
          <w:rFonts w:cs="Times New Roman"/>
        </w:rPr>
        <w:instrText xml:space="preserve"> ADDIN ZOTERO_ITEM CSL_CITATION {"citationID":"n7njrfxV","properties":{"formattedCitation":"(3)","plainCitation":"(3)","noteIndex":0},"citationItems":[{"id":1273,"uris":["http://zotero.org/users/7224870/items/CEI3YY5Q"],"itemData":{"id":1273,"type":"article-journal","abstract":"Objectives The cardiac cycle might impair the reproducibility of radiomics features of cardiac magnetic resonance (CMR) cine images, yet this issue has not been addressed in the previous research. We aim to evaluate whether radiomics features of CMR cine images vary during the cardiac cycle and investigate the reproducibility of radiomics features of CMR cine images.\nMethods This retrospective study enrolled 59 healthy adults who underwent CMR examination. Two observers segmented the myocardium on a 4D stack of three consecutive mid-ventricular short-axis cine images covering the cardiac cycle. A total of 352 radiomics features were extracted. The coefficient of variation and intraclass correlation coefficient were used to assess the feature variability through the cycle and inter-observer reproducibility, respectively.\nResults Approximately 55% of radiomics features showed large variability through the cardiac cycle. The original features showed more variability than the Laplacian of Gaussian-filtered features (73.8% vs. 48%). The features of 4D stack cine images had a higher proportion of reproducible features (92.0%, 87.7%, and 76.1%) compared with the end-diastolic (77.8%, 62.2%, and 41.7%) and the end-systolic images (81.5%, 74.1%, and 58.8%) for intraclass correlation cut-off values of 30.80, &gt; 0.85, and &gt; 0.90, respectively.\nConclusions Radiomics features of CMR cine images greatly vary during the cardiac cycle. The radiomics features of 4D stack of cine images are more robust compared with end-diastolic and end-systolic cine images in terms of reproducibility. The impact of the cardiac cycle on the reproducibility of the features should be considered when employing CMR cine images radiomics.","container-title":"European Radiology","DOI":"10.1007/s00330-020-07370-y","ISSN":"0938-7994, 1432-1084","issue":"5","journalAbbreviation":"Eur Radiol","language":"en","page":"2706-2715","source":"DOI.org (Crossref)","title":"The influence of cardiac motion on radiomics features: radiomics features of non-enhanced CMR cine images greatly vary through the cardiac cycle","title-short":"The influence of cardiac motion on radiomics features","volume":"31","author":[{"family":"Alis","given":"Deniz"},{"family":"Yergin","given":"Mert"},{"family":"Asmakutlu","given":"Ozan"},{"family":"Topel","given":"Cagdas"},{"family":"Karaarslan","given":"Ercan"}],"issued":{"date-parts":[["2021",5]]}}}],"schema":"https://github.com/citation-style-language/schema/raw/master/csl-citation.json"} </w:instrText>
      </w:r>
      <w:r w:rsidRPr="005A027F">
        <w:rPr>
          <w:rFonts w:cs="Times New Roman"/>
        </w:rPr>
        <w:fldChar w:fldCharType="separate"/>
      </w:r>
      <w:r w:rsidR="001B60F8" w:rsidRPr="001B60F8">
        <w:rPr>
          <w:rFonts w:cs="Times New Roman"/>
        </w:rPr>
        <w:t>(3)</w:t>
      </w:r>
      <w:r w:rsidRPr="005A027F">
        <w:rPr>
          <w:rFonts w:cs="Times New Roman"/>
        </w:rPr>
        <w:fldChar w:fldCharType="end"/>
      </w:r>
      <w:r>
        <w:rPr>
          <w:rFonts w:cs="Times New Roman"/>
        </w:rPr>
        <w:t xml:space="preserve"> reported r</w:t>
      </w:r>
      <w:r w:rsidRPr="005A027F">
        <w:rPr>
          <w:rFonts w:cs="Times New Roman"/>
        </w:rPr>
        <w:t xml:space="preserve">adiomics features of CMR cine images greatly vary during the cardiac cycle. The radiomics features of end-systolic cine images are more robust than end-diastolic </w:t>
      </w:r>
      <w:r w:rsidRPr="005A027F">
        <w:rPr>
          <w:rFonts w:cs="Times New Roman" w:hint="eastAsia"/>
        </w:rPr>
        <w:t>cine</w:t>
      </w:r>
      <w:r w:rsidRPr="005A027F">
        <w:rPr>
          <w:rFonts w:cs="Times New Roman"/>
        </w:rPr>
        <w:t xml:space="preserve"> </w:t>
      </w:r>
      <w:r w:rsidRPr="005A027F">
        <w:rPr>
          <w:rFonts w:cs="Times New Roman" w:hint="eastAsia"/>
        </w:rPr>
        <w:t>images</w:t>
      </w:r>
      <w:r w:rsidRPr="005A027F">
        <w:rPr>
          <w:rFonts w:cs="Times New Roman"/>
        </w:rPr>
        <w:t xml:space="preserve"> in terms of reproducibility</w:t>
      </w:r>
      <w:r w:rsidRPr="005A027F">
        <w:rPr>
          <w:rFonts w:cs="Times New Roman" w:hint="eastAsia"/>
        </w:rPr>
        <w:t>.</w:t>
      </w:r>
      <w:r w:rsidRPr="005A027F">
        <w:rPr>
          <w:rFonts w:cs="Times New Roman"/>
        </w:rPr>
        <w:t xml:space="preserve"> Accuracy and consistency play a key role in diagnosis. Martini et al</w:t>
      </w:r>
      <w:r>
        <w:rPr>
          <w:rFonts w:cs="Times New Roman"/>
        </w:rPr>
        <w:t xml:space="preserve"> </w:t>
      </w:r>
      <w:r w:rsidRPr="005A027F">
        <w:rPr>
          <w:rFonts w:cs="Times New Roman"/>
        </w:rPr>
        <w:fldChar w:fldCharType="begin"/>
      </w:r>
      <w:r w:rsidR="001B60F8">
        <w:rPr>
          <w:rFonts w:cs="Times New Roman"/>
        </w:rPr>
        <w:instrText xml:space="preserve"> ADDIN ZOTERO_ITEM CSL_CITATION {"citationID":"wWU3Mqgr","properties":{"formattedCitation":"(4)","plainCitation":"(4)","noteIndex":0},"citationItems":[{"id":305,"uris":["http://zotero.org/users/7224870/items/7H7W5QDM"],"itemData":{"id":305,"type":"article-journal","abstract":"Background\nCardiovascular magnetic resonance (CMR) is part of the diagnostic work-up for cardiac amyloidosis (CA). Deep learning (DL) is an application of artificial intelligence that may allow to automatically analyze CMR findings and establish the likelihood of CA.\n\nMethods\n1.5 T CMR was performed in 206 subjects with suspected CA (n = 100, 49% with unexplained left ventricular (LV) hypertrophy; n = 106, 51% with blood dyscrasia and suspected light-chain amyloidosis). Patients were randomly assigned to the training (n = 134, 65%), validation (n = 30, 15%), and testing subgroups (n = 42, 20%). Short axis, 2-chamber, 4-chamber late gadolinium enhancement (LGE) images were evaluated by 3 networks (DL algorithms). The tags “amyloidosis present” or “absent” were attributed when the average probability of CA from the 3 networks was </w:instrText>
      </w:r>
      <w:r w:rsidR="001B60F8">
        <w:rPr>
          <w:rFonts w:cs="Times New Roman" w:hint="eastAsia"/>
        </w:rPr>
        <w:instrText>≥</w:instrText>
      </w:r>
      <w:r w:rsidR="001B60F8">
        <w:rPr>
          <w:rFonts w:cs="Times New Roman"/>
        </w:rPr>
        <w:instrText xml:space="preserve"> 50% or &lt; 50%, respectively. The DL strategy was compared to a machine learning (ML) algorithm considering all manually extracted features (LV volumes, mass and function, LGE pattern, early blood-pool darkening, pericardial and pleural effusion, etc.), to reproduce exam reading by an experienced operator.\n\nResults\nThe DL strategy displayed good diagnostic accuracy (88%), with an area under the curve (AUC) of 0.982. The precision (positive predictive value), recall score (sensitivity), and F1 score (a measure of test accuracy) were 83%, 95%, and 89% respectively. A ML algorithm considering all CMR features had a similar diagnostic yield to DL strategy (AUC 0.952 vs. 0.982; p = 0.39).\n\nConclusions\nA DL approach evaluating LGE acquisitions displayed a similar diagnostic performance for CA to a ML-based approach, which simulates CMR reading by experienced operators.","container-title":"Journal of Cardiovascular Magnetic Resonance","DOI":"10.1186/s12968-020-00690-4","ISSN":"1097-6647","journalAbbreviation":"J Cardiovasc Magn Reson","note":"PMID: 33287829\nPMCID: PMC7720569","source":"PubMed Central","title":"Deep learning to diagnose cardiac amyloidosis from cardiovascular magnetic resonance","URL":"https://www.ncbi.nlm.nih.gov/pmc/articles/PMC7720569/","volume":"22","author":[{"family":"Martini","given":"Nicola"},{"family":"Aimo","given":"Alberto"},{"family":"Barison","given":"Andrea"},{"family":"Della Latta","given":"Daniele"},{"family":"Vergaro","given":"Giuseppe"},{"family":"Aquaro","given":"Giovanni Donato"},{"family":"Ripoli","given":"Andrea"},{"family":"Emdin","given":"Michele"},{"family":"Chiappino","given":"Dante"}],"accessed":{"date-parts":[["2021",3,4]]},"issued":{"date-parts":[["2020",12,7]]}}}],"schema":"https://github.com/citation-style-language/schema/raw/master/csl-citation.json"} </w:instrText>
      </w:r>
      <w:r w:rsidRPr="005A027F">
        <w:rPr>
          <w:rFonts w:cs="Times New Roman"/>
        </w:rPr>
        <w:fldChar w:fldCharType="separate"/>
      </w:r>
      <w:r w:rsidR="001B60F8" w:rsidRPr="001B60F8">
        <w:rPr>
          <w:rFonts w:cs="Times New Roman"/>
        </w:rPr>
        <w:t>(4)</w:t>
      </w:r>
      <w:r w:rsidRPr="005A027F">
        <w:rPr>
          <w:rFonts w:cs="Times New Roman"/>
        </w:rPr>
        <w:fldChar w:fldCharType="end"/>
      </w:r>
      <w:r w:rsidRPr="005A027F">
        <w:rPr>
          <w:rFonts w:cs="Times New Roman"/>
        </w:rPr>
        <w:t xml:space="preserve"> found that the comparison of diagnosis performance obtained by analyzing images from different levels of cine sequence shows that 4</w:t>
      </w:r>
      <w:r>
        <w:rPr>
          <w:rFonts w:cs="Times New Roman"/>
        </w:rPr>
        <w:t>-</w:t>
      </w:r>
      <w:r w:rsidRPr="005A027F">
        <w:rPr>
          <w:rFonts w:cs="Times New Roman"/>
        </w:rPr>
        <w:t>ch</w:t>
      </w:r>
      <w:r>
        <w:rPr>
          <w:rFonts w:cs="Times New Roman"/>
        </w:rPr>
        <w:t xml:space="preserve">amber long-axis(LAX) </w:t>
      </w:r>
      <w:r w:rsidRPr="005A027F">
        <w:rPr>
          <w:rFonts w:cs="Times New Roman"/>
        </w:rPr>
        <w:t xml:space="preserve">images can obtain the most informative features, the loss of training and verification subset is the smallest, and the diagnosis </w:t>
      </w:r>
      <w:r w:rsidRPr="005A027F">
        <w:rPr>
          <w:rFonts w:cs="Times New Roman"/>
        </w:rPr>
        <w:lastRenderedPageBreak/>
        <w:t>performance and accuracy are the highest</w:t>
      </w:r>
      <w:r w:rsidRPr="005A027F">
        <w:rPr>
          <w:rFonts w:cs="Times New Roman" w:hint="eastAsia"/>
        </w:rPr>
        <w:t>.</w:t>
      </w:r>
      <w:r w:rsidRPr="005A027F">
        <w:rPr>
          <w:rFonts w:cs="Times New Roman"/>
        </w:rPr>
        <w:t xml:space="preserve"> However, the previous works investigating the radiomics features of CMR cine images </w:t>
      </w:r>
      <w:r>
        <w:rPr>
          <w:rFonts w:cs="Times New Roman"/>
        </w:rPr>
        <w:t xml:space="preserve">only </w:t>
      </w:r>
      <w:r w:rsidRPr="005A027F">
        <w:rPr>
          <w:rFonts w:cs="Times New Roman"/>
        </w:rPr>
        <w:t>at the mid-ventricular level</w:t>
      </w:r>
      <w:r w:rsidRPr="005A027F">
        <w:rPr>
          <w:rFonts w:cs="Times New Roman"/>
        </w:rPr>
        <w:fldChar w:fldCharType="begin"/>
      </w:r>
      <w:r w:rsidR="001B60F8">
        <w:rPr>
          <w:rFonts w:cs="Times New Roman"/>
        </w:rPr>
        <w:instrText xml:space="preserve"> ADDIN ZOTERO_ITEM CSL_CITATION {"citationID":"mApxXE4N","properties":{"formattedCitation":"(5\\uc0\\u8211{}9)","plainCitation":"(5–9)","noteIndex":0},"citationItems":[{"id":1490,"uris":["http://zotero.org/users/7224870/items/JPG4QK5V"],"itemData":{"id":1490,"type":"article-journal","abstract":"The purpose of this study was to differentiate acute from chronic myocardial infarction using machine learning techniques and texture features extracted from cardiac magnetic resonance imaging (MRI). The study group comprised 22 cases with acute myocardial infarction (AMI) and 22 cases with chronic myocardial infarction (CMI). Cine and late gadolinium enhancement (LGE) MRI were analyzed independently to differentiate AMI from CMI. A total of 279 texture features were extracted from predefined regions of interest (ROIs): the infarcted area on LGE MRI, and the entire myocardium on cine MRI. Classification performance was evaluated by a nested cross-validation approach combining a feature selection technique with three predictive models: random forest, support vector machine (SVM) with Gaussian Kernel, and SVM with polynomial kernel. The polynomial SVM yielded the best classification performance. Receiver operating characteristic curves provided area-under-the-curve (AUC) (mean±standard deviation) of 0.86±0.06 on LGE MRI using 72 features; AMI sensitivity=0.81±0.08 and specificity=0.84±0.09. On cine MRI, AUC=0.82±0.06 using 75 features; AMI sensitivity=0.79±0.10 and specificity=0.80±0.10. We concluded that texture analysis can be used for differentiation of AMI from CMI on cardiac LGE MRI, and also on standard cine sequences in which the infarction is visually imperceptible in most cases.","container-title":"European Journal of Radiology","DOI":"10.1016/j.ejrad.2017.04.024","ISSN":"1872-7727","journalAbbreviation":"Eur J Radiol","language":"eng","note":"PMID: 28624024","page":"78-83","source":"PubMed","title":"Differentiation between acute and chronic myocardial infarction by means of texture analysis of late gadolinium enhancement and cine cardiac magnetic resonance imaging","volume":"92","author":[{"family":"Larroza","given":"Andrés"},{"family":"Materka","given":"Andrzej"},{"family":"López-Lereu","given":"María P."},{"family":"Monmeneu","given":"José V."},{"family":"Bodí","given":"Vicente"},{"family":"Moratal","given":"David"}],"issued":{"date-parts":[["2017",7]]}},"label":"page"},{"id":696,"uris":["http://zotero.org/users/7224870/items/NDZ4Q2E7"],"itemData":{"id":696,"type":"article-journal","abstract":"AIM: To investigate whether unenhanced cardiovascular magnetic resonance (CMR) balanced steady state free precession (bSSFP) cine images could be analysed using textural analysis (TA) software to differentiate different aetiologies of disease causing increased myocardial wall thickness (left ventricular hypertrophy [LVH]) and indicate the severity of myocardial tissue abnormality.\nMATERIALS AND METHODS: A mid short axis unenhanced cine frame of 216 patients comprising 50 cases of hypertrophic cardiomyopathy (HCM; predominantly Left ventricular outflow tract obstruction [LVOTO] subtype), 52 cases of cardiac amyloid (CA; predominantly AL: light chain subtype), 68 cases of aortic stenosis (AS), 15 hypertensive patients with LVH (HTN+LVH), and 31 healthy volunteers (HV) underwent TA of the CMR cine images (CMRTA) using TexRAD (TexRAD Ltd, Cambridge, UK). Among the HV, 16/31 were scanned twice to form a test-retest reproducibility cohort. CMRTA comprised a filtration-histogram technique to extract and quantify features using six parameters.\nRESULTS: Test-retest analysis in the HV showed a medium filter (3 mm) was the most reproducible (intra-class correlation of 0.9 for kurtosis and skewness and 0.8 for mean and SD). Disease cohorts were statistically different (p&lt;0.001) to HV for all parameters. Pairwise comparisons of CMRTA parameters showed kurtosis and skewness was consistently significant in ranking the degree of difference from HV (greatest to least): CA, HCM, LVH+HTN, AS (p&lt;0.001). Similarly, mean, standard deviation, entropy, and mean positive pixel (MPP) were consistent in ranking degree of difference from HV: HCM, CA, AS and HTN+LVH.\nCONCLUSION: Radiomic features of bSSFP CMR data sets derived using TA show promise in discriminating between the aetiologies of LVH.","container-title":"Clinical Radiology","DOI":"10.1016/j.crad.2018.09.016","ISSN":"1365-229X","issue":"2","journalAbbreviation":"Clin Radiol","language":"eng","note":"PMID: 30527518","page":"140-149","source":"PubMed","title":"Texture analysis of cardiovascular magnetic resonance cine images differentiates aetiologies of left ventricular hypertrophy","volume":"74","author":[{"family":"Schofield","given":"R."},{"family":"Ganeshan","given":"B."},{"family":"Fontana","given":"M."},{"family":"Nasis","given":"A."},{"family":"Castelletti","given":"S."},{"family":"Rosmini","given":"S."},{"family":"Treibel","given":"T. A."},{"family":"Manisty","given":"C."},{"family":"Endozo","given":"R."},{"family":"Groves","given":"A."},{"family":"Moon","given":"J. C."}],"issued":{"date-parts":[["2019",2]]}},"label":"page"},{"id":684,"uris":["http://zotero.org/users/7224870/items/DBJVLTLV"],"itemData":{"id":684,"type":"article-journal","abstract":"Purpose: To test in a ﬁrst proof-of-concept study whether texture analysis (TA) allows for the detection of myocardial tissue alterations in hypertrophic cardiomyopathy (HCM) on non-contrast T1-weighted cardiac magnetic resonance (CMR) images using machine learning based approaches.\nMethods: This retrospective, IRB-approved study included 32 patients with known HCM. Thirty patients with normal CMR served as controls. Regions-of-interest for TA encompassing the left ventricle were drawn on shortaxis non-contrast T1-weighted images using a freely available software package. Step-wise dimension reduction and texture feature selection was performed for selecting features enabling the detection of myocardial tissue alterations in HCM patients on non-contrast T1-weighted CMR images.\nResults: Comparing HCM patients and controls, four texture features were identiﬁed showing signiﬁcant differences between groups (Grey-level Non-uniformity [GLevNonU]: 74 ± 17 vs. 38 ± 9, p &lt; .001; Energy of wavelet coeﬃcients in low-frequency sub-bands [WavEnLL]: 58 ± 5 vs. 48 ± 10, p &lt; .001; Fraction: 0.70 ± 0.07 vs. 0.78 ± 0.05, p &lt; .001; Sum Average: 16.6 ± 0.4 vs. 17.0 ± 0.5, p = .007). A model containing the single parameter GLevNonU proved to be the best for diﬀerentiating between HCM patients and controls with a sensitivity/speciﬁcity of 91%/93%. A cut-oﬀ of GLevNonU </w:instrText>
      </w:r>
      <w:r w:rsidR="001B60F8">
        <w:rPr>
          <w:rFonts w:cs="Times New Roman" w:hint="eastAsia"/>
        </w:rPr>
        <w:instrText>≥</w:instrText>
      </w:r>
      <w:r w:rsidR="001B60F8">
        <w:rPr>
          <w:rFonts w:cs="Times New Roman"/>
        </w:rPr>
        <w:instrText>46 allowed for distinguishing HCM patients from controls with a sensitivity/speciﬁcity of 94%/90%. Even in patients without late gadolinium enhancement (LGE), the deﬁned cut-oﬀ led to a diﬀerentiation of LGE- patients from healthy controls with 100% sensitivity and 90% speciﬁcity.\nConclusions: TA on non-contrast T1-weighted images allows for the detection of myocardial tissue alterations in the setting of HCM with excellent accuracy, delivering potential novel parameters for a non-contrast assessment of myocardial texture alterations.","container-title":"European Journal of Radiology","DOI":"10.1016/j.ejrad.2018.03.013","ISSN":"0720048X","journalAbbreviation":"European Journal of Radiology","language":"en","page":"61-67","source":"DOI.org (Crossref)","title":"Texture analysis and machine learning of non-contrast T1-weighted MR images in patients with hypertrophic cardiomyopathy—Preliminary results","volume":"102","author":[{"family":"Baeßler","given":"Bettina"},{"family":"Mannil","given":"Manoj"},{"family":"Maintz","given":"David"},{"family":"Alkadhi","given":"Hatem"},{"family":"Manka","given":"Robert"}],"issued":{"date-parts":[["2018",5]]}},"label":"page"},{"id":638,"uris":["http://zotero.org/users/7224870/items/FARXRZ5A"],"itemData":{"id":638,"type":"article-journal","abstract":"Purpose To test whether texture analysis (TA) allows for the diagnosis of subacute and chronic myocardial infarction (MI) on noncontrast material-enhanced cine cardiac magnetic resonance (MR) images. Materials and Methods In this retrospective, institutional review board-approved study, 120 patients who underwent cardiac MR imaging and showed large transmural (volume of enhancement on late gadolinium enhancement [LGE] images &gt;20%, n = 72) or small (enhanc</w:instrText>
      </w:r>
      <w:r w:rsidR="001B60F8">
        <w:rPr>
          <w:rFonts w:cs="Times New Roman" w:hint="eastAsia"/>
        </w:rPr>
        <w:instrText xml:space="preserve">ed volume </w:instrText>
      </w:r>
      <w:r w:rsidR="001B60F8">
        <w:rPr>
          <w:rFonts w:cs="Times New Roman" w:hint="eastAsia"/>
        </w:rPr>
        <w:instrText>≤</w:instrText>
      </w:r>
      <w:r w:rsidR="001B60F8">
        <w:rPr>
          <w:rFonts w:cs="Times New Roman" w:hint="eastAsia"/>
        </w:rPr>
        <w:instrText xml:space="preserve">20%, n = 48) subacute or chronic ischemic scars were included. Sixty patients with normal cardiac MR imaging findings served as control subjects. Regions of interest for TA encompassing the left ventricle were drawn by two blinded, independent </w:instrText>
      </w:r>
      <w:r w:rsidR="001B60F8">
        <w:rPr>
          <w:rFonts w:cs="Times New Roman"/>
        </w:rPr>
        <w:instrText xml:space="preserve">readers on cine images in end systole by using a freely available software package. Stepwise dimension reduction and texture feature selection based on reproducibility, machine learning, and correlation analyses were performed for selecting features, enabling the diagnosis of MI on nonenhanced cine MR images by using LGE imaging as the standard of reference. Results Five independent texture features allowed for differentiation between ischemic scar and normal myocardium on cine MR images in both subgroups: Teta1, Perc.01, Variance, WavEnHH.s-3, and S(5,5)SumEntrp (in patients with large MI: all P values &lt; .001; in patients with small MI: Teta1 and Perc.01, P &lt; .001; Variance, P = .026; WavEnHH.s-3, P = .007; S[5,5]SumEntrp, P = .045). Multiple logistic regression models revealed that combining the features Teta1 and Perc.01 resulted in the highest accuracy for diagnosing large and small MI on cine MR images, with an area under the curve of 0.93 and 0.92, respectively. Conclusion This proof-of-concept study indicates that TA of nonenhanced cine MR images allows for the diagnosis of subacute and chronic MI with high accuracy. © RSNA, 2017 Online supplemental material is available for this article.","container-title":"Radiology","DOI":"10.1148/radiol.2017170213","ISSN":"1527-1315","issue":"1","journalAbbreviation":"Radiology","language":"eng","note":"PMID: 28836886","page":"103-112","source":"PubMed","title":"Subacute and Chronic Left Ventricular Myocardial Scar: Accuracy of Texture Analysis on Nonenhanced Cine MR Images","title-short":"Subacute and Chronic Left Ventricular Myocardial Scar","volume":"286","author":[{"family":"Baessler","given":"Bettina"},{"family":"Mannil","given":"Manoj"},{"family":"Oebel","given":"Sabrina"},{"family":"Maintz","given":"David"},{"family":"Alkadhi","given":"Hatem"},{"family":"Manka","given":"Robert"}],"issued":{"date-parts":[["2018",1]]}},"label":"page"},{"id":1262,"uris":["http://zotero.org/users/7224870/items/SEL6ZMX8"],"itemData":{"id":1262,"type":"article-journal","container-title":"Radiology","DOI":"10.1148/radiol.2018180411","ISSN":"0033-8419, 1527-1315","issue":"2","journalAbbreviation":"Radiology","language":"en","page":"357-365","source":"DOI.org (Crossref)","title":"Cardiac MRI Texture Analysis of T1 and T2 Maps in Patients with Infarctlike Acute Myocarditis","volume":"289","author":[{"family":"Baessler","given":"Bettina"},{"family":"Luecke","given":"Christian"},{"family":"Lurz","given":"Julia"},{"family":"Klingel","given":"Karin"},{"family":"Roeder","given":"Maximilian","non-dropping-particle":"von"},{"family":"Waha","given":"Suzanne","non-dropping-particle":"de"},{"family":"Besler","given":"Christian"},{"family":"Maintz","given":"David"},{"family":"Gutberlet","given":"Matthias"},{"family":"Thiele","given":"Holger"},{"family":"Lurz","given":"Philipp"}],"issued":{"date-parts":[["2018",11]]}},"label":"page"}],"schema":"https://github.com/citation-style-language/schema/raw/master/csl-citation.json"} </w:instrText>
      </w:r>
      <w:r w:rsidRPr="005A027F">
        <w:rPr>
          <w:rFonts w:cs="Times New Roman"/>
        </w:rPr>
        <w:fldChar w:fldCharType="separate"/>
      </w:r>
      <w:r w:rsidR="001B60F8" w:rsidRPr="001B60F8">
        <w:rPr>
          <w:rFonts w:cs="Times New Roman"/>
          <w:szCs w:val="24"/>
        </w:rPr>
        <w:t>(5–9)</w:t>
      </w:r>
      <w:r w:rsidRPr="005A027F">
        <w:rPr>
          <w:rFonts w:cs="Times New Roman"/>
        </w:rPr>
        <w:fldChar w:fldCharType="end"/>
      </w:r>
      <w:r>
        <w:rPr>
          <w:rFonts w:cs="Times New Roman"/>
        </w:rPr>
        <w:t>,</w:t>
      </w:r>
      <w:r w:rsidRPr="003A5B0D">
        <w:rPr>
          <w:rFonts w:cs="Times New Roman"/>
        </w:rPr>
        <w:t xml:space="preserve"> </w:t>
      </w:r>
      <w:r w:rsidRPr="005A027F">
        <w:rPr>
          <w:rFonts w:cs="Times New Roman"/>
        </w:rPr>
        <w:t>the 4ch image position is relatively fixed, and it can take into account the basal segment, middle segment and apical segment of myocardium</w:t>
      </w:r>
      <w:r w:rsidR="000044D0">
        <w:rPr>
          <w:rFonts w:cs="Times New Roman"/>
        </w:rPr>
        <w:t>;</w:t>
      </w:r>
      <w:r w:rsidRPr="005A027F">
        <w:rPr>
          <w:rFonts w:cs="Times New Roman"/>
        </w:rPr>
        <w:t xml:space="preserve"> hence, the</w:t>
      </w:r>
      <w:r w:rsidRPr="005A027F">
        <w:rPr>
          <w:rFonts w:cs="Times New Roman" w:hint="eastAsia"/>
        </w:rPr>
        <w:t xml:space="preserve"> </w:t>
      </w:r>
      <w:r w:rsidRPr="005A027F">
        <w:rPr>
          <w:rFonts w:cs="Times New Roman"/>
        </w:rPr>
        <w:t xml:space="preserve">radiomics analysis of </w:t>
      </w:r>
      <w:r>
        <w:rPr>
          <w:rFonts w:cs="Times New Roman"/>
        </w:rPr>
        <w:t xml:space="preserve">LAX </w:t>
      </w:r>
      <w:r w:rsidRPr="005A027F">
        <w:rPr>
          <w:rFonts w:cs="Times New Roman"/>
        </w:rPr>
        <w:t>cine images seems to</w:t>
      </w:r>
      <w:r w:rsidRPr="005A027F">
        <w:rPr>
          <w:rFonts w:cs="Times New Roman" w:hint="eastAsia"/>
        </w:rPr>
        <w:t xml:space="preserve"> </w:t>
      </w:r>
      <w:r w:rsidRPr="005A027F">
        <w:rPr>
          <w:rFonts w:cs="Times New Roman"/>
        </w:rPr>
        <w:t>be a noteworthy topic to explore in future studies.</w:t>
      </w:r>
      <w:r w:rsidRPr="00A63AA4">
        <w:rPr>
          <w:rFonts w:cs="Times New Roman"/>
        </w:rPr>
        <w:t xml:space="preserve"> </w:t>
      </w:r>
      <w:r w:rsidR="003C3E78" w:rsidRPr="00A63AA4">
        <w:rPr>
          <w:rFonts w:cs="Times New Roman"/>
        </w:rPr>
        <w:t>Ci</w:t>
      </w:r>
      <w:r w:rsidR="0068329D" w:rsidRPr="00A63AA4">
        <w:rPr>
          <w:rFonts w:cs="Times New Roman"/>
        </w:rPr>
        <w:t>ne 4ch LAX</w:t>
      </w:r>
      <w:r w:rsidR="003C3E78" w:rsidRPr="00A63AA4">
        <w:rPr>
          <w:rFonts w:cs="Times New Roman"/>
        </w:rPr>
        <w:t xml:space="preserve"> images are generally acquired </w:t>
      </w:r>
      <w:r w:rsidR="000044D0" w:rsidRPr="00A63AA4">
        <w:rPr>
          <w:rFonts w:cs="Times New Roman"/>
        </w:rPr>
        <w:t>before</w:t>
      </w:r>
      <w:r w:rsidR="003C3E78" w:rsidRPr="00A63AA4">
        <w:rPr>
          <w:rFonts w:cs="Times New Roman"/>
        </w:rPr>
        <w:t xml:space="preserve"> the c</w:t>
      </w:r>
      <w:r w:rsidR="00D65773" w:rsidRPr="00A63AA4">
        <w:rPr>
          <w:rFonts w:cs="Times New Roman"/>
        </w:rPr>
        <w:t>ontrast administration, whil</w:t>
      </w:r>
      <w:r w:rsidR="001E20DA" w:rsidRPr="00A63AA4">
        <w:rPr>
          <w:rFonts w:cs="Times New Roman"/>
        </w:rPr>
        <w:t>e</w:t>
      </w:r>
      <w:r w:rsidR="00D65773" w:rsidRPr="00A63AA4">
        <w:rPr>
          <w:rFonts w:cs="Times New Roman"/>
        </w:rPr>
        <w:t xml:space="preserve"> in some institutions, Cine sax images are obtained after contrast injection</w:t>
      </w:r>
      <w:r w:rsidR="003C3E78" w:rsidRPr="00A63AA4">
        <w:rPr>
          <w:rFonts w:cs="Times New Roman"/>
        </w:rPr>
        <w:t>.</w:t>
      </w:r>
      <w:r w:rsidR="00D65773" w:rsidRPr="00A63AA4">
        <w:rPr>
          <w:rFonts w:cs="Times New Roman"/>
        </w:rPr>
        <w:t xml:space="preserve"> </w:t>
      </w:r>
      <w:r w:rsidRPr="00A63AA4">
        <w:rPr>
          <w:rFonts w:cs="Times New Roman"/>
        </w:rPr>
        <w:t>To sum</w:t>
      </w:r>
      <w:r w:rsidR="00D65773" w:rsidRPr="00A63AA4">
        <w:rPr>
          <w:rFonts w:cs="Times New Roman"/>
        </w:rPr>
        <w:t>marize</w:t>
      </w:r>
      <w:r w:rsidRPr="00A63AA4">
        <w:rPr>
          <w:rFonts w:cs="Times New Roman"/>
        </w:rPr>
        <w:t>, 4ch LAX image (end-systolic</w:t>
      </w:r>
      <w:bookmarkStart w:id="1" w:name="OLE_LINK14"/>
      <w:bookmarkStart w:id="2" w:name="OLE_LINK11"/>
      <w:r w:rsidRPr="00A63AA4">
        <w:rPr>
          <w:rFonts w:cs="Times New Roman"/>
        </w:rPr>
        <w:t>)  selected for ROI drawing</w:t>
      </w:r>
      <w:bookmarkEnd w:id="1"/>
      <w:bookmarkEnd w:id="2"/>
      <w:r w:rsidR="00D65773" w:rsidRPr="00A63AA4">
        <w:rPr>
          <w:rFonts w:cs="Times New Roman"/>
        </w:rPr>
        <w:t xml:space="preserve"> is appropriate</w:t>
      </w:r>
      <w:r w:rsidRPr="00A63AA4">
        <w:rPr>
          <w:rFonts w:cs="Times New Roman"/>
        </w:rPr>
        <w:t xml:space="preserve">. </w:t>
      </w:r>
      <w:bookmarkStart w:id="3" w:name="OLE_LINK9"/>
    </w:p>
    <w:bookmarkEnd w:id="0"/>
    <w:bookmarkEnd w:id="3"/>
    <w:p w14:paraId="37D80864" w14:textId="77777777" w:rsidR="00415F80" w:rsidRPr="008A69B0" w:rsidRDefault="00415F80" w:rsidP="00F449A1">
      <w:pPr>
        <w:pStyle w:val="2"/>
      </w:pPr>
      <w:r w:rsidRPr="008A69B0">
        <w:t>Define of asymmetric hypertrophy (ASH)</w:t>
      </w:r>
    </w:p>
    <w:p w14:paraId="04AAA178" w14:textId="77777777" w:rsidR="00415F80" w:rsidRDefault="00415F80" w:rsidP="00F449A1">
      <w:pPr>
        <w:rPr>
          <w:rFonts w:cs="Times New Roman"/>
        </w:rPr>
      </w:pPr>
      <w:r w:rsidRPr="00ED56CB">
        <w:rPr>
          <w:rFonts w:cs="Times New Roman"/>
        </w:rPr>
        <w:t>In a standard 17-segment model, we recorded maximal and minimal dimensions and their location based on end-diastolic short-axis cine images</w:t>
      </w:r>
    </w:p>
    <w:p w14:paraId="21011C69" w14:textId="32F831A2" w:rsidR="00415F80" w:rsidRPr="005A027F" w:rsidRDefault="00415F80" w:rsidP="00F449A1">
      <w:pPr>
        <w:rPr>
          <w:rFonts w:cs="Times New Roman"/>
        </w:rPr>
      </w:pPr>
      <w:r w:rsidRPr="005A027F">
        <w:rPr>
          <w:rFonts w:cs="Times New Roman"/>
        </w:rPr>
        <w:t>An asymmetry</w:t>
      </w:r>
      <w:r w:rsidRPr="005A027F">
        <w:rPr>
          <w:rFonts w:cs="Times New Roman" w:hint="eastAsia"/>
        </w:rPr>
        <w:t xml:space="preserve"> </w:t>
      </w:r>
      <w:r w:rsidRPr="005A027F">
        <w:rPr>
          <w:rFonts w:cs="Times New Roman"/>
        </w:rPr>
        <w:t>ratio was obtained by dividing the maximal by the minimal LV</w:t>
      </w:r>
      <w:r w:rsidRPr="005A027F">
        <w:rPr>
          <w:rFonts w:cs="Times New Roman" w:hint="eastAsia"/>
        </w:rPr>
        <w:t xml:space="preserve"> </w:t>
      </w:r>
      <w:r w:rsidRPr="005A027F">
        <w:rPr>
          <w:rFonts w:cs="Times New Roman"/>
        </w:rPr>
        <w:t>wall thicknesses within the same slice. ASH was</w:t>
      </w:r>
      <w:r w:rsidRPr="005A027F">
        <w:rPr>
          <w:rFonts w:cs="Times New Roman" w:hint="eastAsia"/>
        </w:rPr>
        <w:t xml:space="preserve"> </w:t>
      </w:r>
      <w:r w:rsidRPr="005A027F">
        <w:rPr>
          <w:rFonts w:cs="Times New Roman"/>
        </w:rPr>
        <w:t>considered present if one of the segments was &gt;12 mm in thickness</w:t>
      </w:r>
      <w:r w:rsidRPr="005A027F">
        <w:rPr>
          <w:rFonts w:cs="Times New Roman"/>
        </w:rPr>
        <w:fldChar w:fldCharType="begin"/>
      </w:r>
      <w:r w:rsidRPr="005A027F">
        <w:rPr>
          <w:rFonts w:cs="Times New Roman"/>
        </w:rPr>
        <w:instrText xml:space="preserve"> ADDIN ZOTERO_ITEM CSL_CITATION {"citationID":"qBM3fidU","properties":{"custom":"(8)","formattedCitation":"(8)","plainCitation":"(8)","noteIndex":0},"citationItems":[{"id":1534,"uris":["http://zotero.org/users/7224870/items/GC2UJPS2"],"itemData":{"id":1534,"type":"article-journal","container-title":"Journal of the American Society of Echocardiography: Official Publication of the American Society of Echocardiography","DOI":"10.1016/j.echo.2005.10.005","ISSN":"1097-6795","issue":"12","journalAbbreviation":"J Am Soc Echocardiogr","language":"eng","note":"PMID: 16376782","page":"1440-1463","source":"PubMed","title":"Recommendations for chamber quantification: a report from the American Society of Echocardiography's Guidelines and Standards Committee and the Chamber Quantification Writing Group, developed in conjunction with the European Association of Echocardiography, a branch of the European Society of Cardiology","title-short":"Recommendations for chamber quantification","volume":"18","author":[{"family":"Lang","given":"Roberto M."},{"family":"Bierig","given":"Michelle"},{"family":"Devereux","given":"Richard B."},{"family":"Flachskampf","given":"Frank A."},{"family":"Foster","given":"Elyse"},{"family":"Pellikka","given":"Patricia A."},{"family":"Picard","given":"Michael H."},{"family":"Roman","given":"Mary J."},{"family":"Seward","given":"James"},{"family":"Shanewise","given":"Jack S."},{"family":"Solomon","given":"Scott D."},{"family":"Spencer","given":"Kirk T."},{"family":"Sutton","given":"Martin St John"},{"family":"Stewart","given":"William J."},{"literal":"Chamber Quantification Writing Group"},{"literal":"American Society of Echocardiography's Guidelines and Standards Committee"},{"literal":"European Association of Echocardiography"}],"issued":{"date-parts":[["2005",12]]}}}],"schema":"https://github.com/citation-style-language/schema/raw/master/csl-citation.json"} </w:instrText>
      </w:r>
      <w:r w:rsidRPr="005A027F">
        <w:rPr>
          <w:rFonts w:cs="Times New Roman"/>
        </w:rPr>
        <w:fldChar w:fldCharType="separate"/>
      </w:r>
      <w:r w:rsidR="001B60F8" w:rsidRPr="001B60F8">
        <w:rPr>
          <w:rFonts w:cs="Times New Roman"/>
        </w:rPr>
        <w:t>(8)</w:t>
      </w:r>
      <w:r w:rsidRPr="005A027F">
        <w:rPr>
          <w:rFonts w:cs="Times New Roman"/>
        </w:rPr>
        <w:fldChar w:fldCharType="end"/>
      </w:r>
      <w:r w:rsidRPr="005A027F">
        <w:rPr>
          <w:rFonts w:cs="Times New Roman"/>
        </w:rPr>
        <w:t xml:space="preserve"> and the asymmetry ratio was</w:t>
      </w:r>
      <w:r w:rsidRPr="005A027F">
        <w:rPr>
          <w:rFonts w:cs="Times New Roman" w:hint="eastAsia"/>
        </w:rPr>
        <w:t>≥</w:t>
      </w:r>
      <w:r w:rsidRPr="005A027F">
        <w:rPr>
          <w:rFonts w:cs="Times New Roman"/>
        </w:rPr>
        <w:t>1.322</w:t>
      </w:r>
      <w:r w:rsidRPr="005A027F">
        <w:rPr>
          <w:rFonts w:cs="Times New Roman"/>
        </w:rPr>
        <w:fldChar w:fldCharType="begin"/>
      </w:r>
      <w:r w:rsidR="001B60F8">
        <w:rPr>
          <w:rFonts w:cs="Times New Roman"/>
        </w:rPr>
        <w:instrText xml:space="preserve"> ADDIN ZOTERO_ITEM CSL_CITATION {"citationID":"jN46LPTY","properties":{"formattedCitation":"(11,12)","plainCitation":"(11,12)","noteIndex":0},"citationItems":[{"id":1536,"uris":["http://zotero.org/users/7224870/items/YDG2VU35"],"itemData":{"id":1536,"type":"article-journal","container-title":"The American Journal of Cardiology","DOI":"10.1016/0002-9149(85)90166-3","ISSN":"0002-9149","issue":"6","journalAbbreviation":"Am J Cardiol","language":"eng","note":"PMID: 3156484","page":"835-838","source":"PubMed","title":"Asymmetry in hypertrophic cardiomyopathy: the septal to free wall thickness ratio revisited","title-short":"Asymmetry in hypertrophic cardiomyopathy","volume":"55","author":[{"family":"Maron","given":"B. J."}],"issued":{"date-parts":[["1985",3,1]]}},"label":"page"},{"id":1538,"uris":["http://zotero.org/users/7224870/items/ISRJ6CRG"],"itemData":{"id":1538,"type":"article-journal","abstract":"Hypertrophic cardiomyopathy is a relatively common inherited cardiomyopathy that is occasionally challenging to differentiate from hypertensive heart disease and athlete hearts on the basis of morphologic or functional abnormalities alone. Echocardiography has traditionally played a preeminent role in the diagnosis, formulation of management strategies, and the prognostication of this complex disease. In this review, we briefly profile the utility and pitfalls of established echocardiographic modalities and discuss the evolving role of novel echocardiographic imaging modalities such as tissue Doppler, Doppler-based strain, 2-dimensional strain (speckle tracking imaging), and 3-dimensional imaging in the assessment of hypertrophic cardiomyopathy.","container-title":"JACC. Cardiovascular imaging","DOI":"10.1016/j.jcmg.2008.09.002","ISSN":"1876-7591","issue":"6","journalAbbreviation":"JACC Cardiovasc Imaging","language":"eng","note":"PMID: 19356516","page":"787-800","source":"PubMed","title":"Echocardiography in hypertrophic cardiomyopathy: the role of conventional and emerging technologies","title-short":"Echocardiography in hypertrophic cardiomyopathy","volume":"1","author":[{"family":"Afonso","given":"Luis C."},{"family":"Bernal","given":"Juan"},{"family":"Bax","given":"Jeroen J."},{"family":"Abraham","given":"Theodore P."}],"issued":{"date-parts":[["2008",11]]}},"label":"page"}],"schema":"https://github.com/citation-style-language/schema/raw/master/csl-citation.json"} </w:instrText>
      </w:r>
      <w:r w:rsidRPr="005A027F">
        <w:rPr>
          <w:rFonts w:cs="Times New Roman"/>
        </w:rPr>
        <w:fldChar w:fldCharType="separate"/>
      </w:r>
      <w:r w:rsidR="001B60F8" w:rsidRPr="001B60F8">
        <w:rPr>
          <w:rFonts w:cs="Times New Roman"/>
        </w:rPr>
        <w:t>(11,12)</w:t>
      </w:r>
      <w:r w:rsidRPr="005A027F">
        <w:rPr>
          <w:rFonts w:cs="Times New Roman"/>
        </w:rPr>
        <w:fldChar w:fldCharType="end"/>
      </w:r>
      <w:r w:rsidRPr="005A027F">
        <w:rPr>
          <w:rFonts w:cs="Times New Roman"/>
        </w:rPr>
        <w:t xml:space="preserve"> </w:t>
      </w:r>
    </w:p>
    <w:p w14:paraId="4CDE8F9D" w14:textId="0DEB2A90" w:rsidR="001B60F8" w:rsidRDefault="001B60F8" w:rsidP="00415F80">
      <w:pPr>
        <w:pStyle w:val="1"/>
        <w:numPr>
          <w:ilvl w:val="0"/>
          <w:numId w:val="14"/>
        </w:numPr>
        <w:rPr>
          <w:rFonts w:eastAsiaTheme="minorEastAsia"/>
          <w:lang w:eastAsia="zh-CN"/>
        </w:rPr>
      </w:pPr>
      <w:r>
        <w:rPr>
          <w:rFonts w:eastAsiaTheme="minorEastAsia" w:hint="eastAsia"/>
          <w:lang w:eastAsia="zh-CN"/>
        </w:rPr>
        <w:t>S</w:t>
      </w:r>
      <w:r>
        <w:rPr>
          <w:rFonts w:eastAsiaTheme="minorEastAsia"/>
          <w:lang w:eastAsia="zh-CN"/>
        </w:rPr>
        <w:t>upplementary References</w:t>
      </w:r>
    </w:p>
    <w:p w14:paraId="6E5EBD55" w14:textId="77777777" w:rsidR="001B60F8" w:rsidRDefault="001B60F8" w:rsidP="001B60F8">
      <w:pPr>
        <w:rPr>
          <w:lang w:eastAsia="zh-CN"/>
        </w:rPr>
      </w:pPr>
      <w:r>
        <w:rPr>
          <w:lang w:eastAsia="zh-CN"/>
        </w:rPr>
        <w:t xml:space="preserve">1. </w:t>
      </w:r>
      <w:r>
        <w:rPr>
          <w:lang w:eastAsia="zh-CN"/>
        </w:rPr>
        <w:tab/>
        <w:t>Gertz MA, Comenzo R, Falk RH, Fermand JP, Hazenberg BP, Hawkins PN, Merlini G, Moreau P, Ronco P, Sanchorawala V, et al. Definition of organ involvement and treatment response in immunoglobulin light chain amyloidosis (AL): a consensus opinion from the 10th International Symposium on Amyloid and Amyloidosis, Tours, France, 18-22 April 2004. Am J Hematol (2005) 79:319–328. doi: 10.1002/ajh.20381</w:t>
      </w:r>
    </w:p>
    <w:p w14:paraId="43926B54" w14:textId="77777777" w:rsidR="001B60F8" w:rsidRDefault="001B60F8" w:rsidP="001B60F8">
      <w:pPr>
        <w:rPr>
          <w:lang w:eastAsia="zh-CN"/>
        </w:rPr>
      </w:pPr>
      <w:r>
        <w:rPr>
          <w:lang w:eastAsia="zh-CN"/>
        </w:rPr>
        <w:t xml:space="preserve">2. </w:t>
      </w:r>
      <w:r>
        <w:rPr>
          <w:lang w:eastAsia="zh-CN"/>
        </w:rPr>
        <w:tab/>
        <w:t>Fontana M, Pica S, Reant P, Abdel-Gadir A, Treibel TA, Banypersad SM, Maestrini V, Barcella W, Rosmini S, Bulluck H, et al. Prognostic Value of Late Gadolinium Enhancement Cardiovascular Magnetic Resonance in Cardiac Amyloidosis. Circulation (2015) 132:1570–1579. doi: 10.1161/CIRCULATIONAHA.115.016567</w:t>
      </w:r>
    </w:p>
    <w:p w14:paraId="632C3C52" w14:textId="77777777" w:rsidR="001B60F8" w:rsidRDefault="001B60F8" w:rsidP="001B60F8">
      <w:pPr>
        <w:rPr>
          <w:lang w:eastAsia="zh-CN"/>
        </w:rPr>
      </w:pPr>
      <w:r>
        <w:rPr>
          <w:lang w:eastAsia="zh-CN"/>
        </w:rPr>
        <w:t xml:space="preserve">3. </w:t>
      </w:r>
      <w:r>
        <w:rPr>
          <w:lang w:eastAsia="zh-CN"/>
        </w:rPr>
        <w:tab/>
        <w:t>Alis D, Yergin M, Asmakutlu O, Topel C, Karaarslan E. The influence of cardiac motion on radiomics features: radiomics features of non-enhanced CMR cine images greatly vary through the cardiac cycle. Eur Radiol (2021) 31:2706–2715. doi: 10.1007/s00330-020-07370-y</w:t>
      </w:r>
    </w:p>
    <w:p w14:paraId="33130895" w14:textId="77777777" w:rsidR="001B60F8" w:rsidRDefault="001B60F8" w:rsidP="001B60F8">
      <w:pPr>
        <w:rPr>
          <w:lang w:eastAsia="zh-CN"/>
        </w:rPr>
      </w:pPr>
      <w:r>
        <w:rPr>
          <w:lang w:eastAsia="zh-CN"/>
        </w:rPr>
        <w:t xml:space="preserve">4. </w:t>
      </w:r>
      <w:r>
        <w:rPr>
          <w:lang w:eastAsia="zh-CN"/>
        </w:rPr>
        <w:tab/>
        <w:t>Martini N, Aimo A, Barison A, Della Latta D, Vergaro G, Aquaro GD, Ripoli A, Emdin M, Chiappino D. Deep learning to diagnose cardiac amyloidosis from cardiovascular magnetic resonance. J Cardiovasc Magn Reson (2020) 22: doi: 10.1186/s12968-020-00690-4</w:t>
      </w:r>
    </w:p>
    <w:p w14:paraId="7C3CFA17" w14:textId="77777777" w:rsidR="001B60F8" w:rsidRDefault="001B60F8" w:rsidP="001B60F8">
      <w:pPr>
        <w:rPr>
          <w:lang w:eastAsia="zh-CN"/>
        </w:rPr>
      </w:pPr>
      <w:r>
        <w:rPr>
          <w:lang w:eastAsia="zh-CN"/>
        </w:rPr>
        <w:t xml:space="preserve">5. </w:t>
      </w:r>
      <w:r>
        <w:rPr>
          <w:lang w:eastAsia="zh-CN"/>
        </w:rPr>
        <w:tab/>
        <w:t>Larroza A, Materka A, López-Lereu MP, Monmeneu JV, Bodí V, Moratal D. Differentiation between acute and chronic myocardial infarction by means of texture analysis of late gadolinium enhancement and cine cardiac magnetic resonance imaging. Eur J Radiol (2017) 92:78–83. doi: 10.1016/j.ejrad.2017.04.024</w:t>
      </w:r>
    </w:p>
    <w:p w14:paraId="4A534CE0" w14:textId="77777777" w:rsidR="001B60F8" w:rsidRDefault="001B60F8" w:rsidP="001B60F8">
      <w:pPr>
        <w:rPr>
          <w:lang w:eastAsia="zh-CN"/>
        </w:rPr>
      </w:pPr>
      <w:r>
        <w:rPr>
          <w:lang w:eastAsia="zh-CN"/>
        </w:rPr>
        <w:t xml:space="preserve">6. </w:t>
      </w:r>
      <w:r>
        <w:rPr>
          <w:lang w:eastAsia="zh-CN"/>
        </w:rPr>
        <w:tab/>
        <w:t>Schofield R, Ganeshan B, Fontana M, Nasis A, Castelletti S, Rosmini S, Treibel TA, Manisty C, Endozo R, Groves A, et al. Texture analysis of cardiovascular magnetic resonance cine images differentiates aetiologies of left ventricular hypertrophy. Clin Radiol (2019) 74:140–149. doi: 10.1016/j.crad.2018.09.016</w:t>
      </w:r>
    </w:p>
    <w:p w14:paraId="78B9056A" w14:textId="77777777" w:rsidR="001B60F8" w:rsidRDefault="001B60F8" w:rsidP="001B60F8">
      <w:pPr>
        <w:rPr>
          <w:lang w:eastAsia="zh-CN"/>
        </w:rPr>
      </w:pPr>
      <w:r>
        <w:rPr>
          <w:lang w:eastAsia="zh-CN"/>
        </w:rPr>
        <w:lastRenderedPageBreak/>
        <w:t xml:space="preserve">7. </w:t>
      </w:r>
      <w:r>
        <w:rPr>
          <w:lang w:eastAsia="zh-CN"/>
        </w:rPr>
        <w:tab/>
        <w:t>Baeßler B, Mannil M, Maintz D, Alkadhi H, Manka R. Texture analysis and machine learning of non-contrast T1-weighted MR images in patients with hypertrophic cardiomyopathy—Preliminary results. Eur J Radiol (2018) 102:61–67. doi: 10.1016/j.ejrad.2018.03.013</w:t>
      </w:r>
    </w:p>
    <w:p w14:paraId="6D119DC1" w14:textId="77777777" w:rsidR="001B60F8" w:rsidRDefault="001B60F8" w:rsidP="001B60F8">
      <w:pPr>
        <w:rPr>
          <w:lang w:eastAsia="zh-CN"/>
        </w:rPr>
      </w:pPr>
      <w:r>
        <w:rPr>
          <w:lang w:eastAsia="zh-CN"/>
        </w:rPr>
        <w:t xml:space="preserve">8. </w:t>
      </w:r>
      <w:r>
        <w:rPr>
          <w:lang w:eastAsia="zh-CN"/>
        </w:rPr>
        <w:tab/>
        <w:t>Baessler B, Mannil M, Oebel S, Maintz D, Alkadhi H, Manka R. Subacute and Chronic Left Ventricular Myocardial Scar: Accuracy of Texture Analysis on Nonenhanced Cine MR Images. Radiology (2018) 286:103–112. doi: 10.1148/radiol.2017170213</w:t>
      </w:r>
    </w:p>
    <w:p w14:paraId="57DDE4D5" w14:textId="77777777" w:rsidR="001B60F8" w:rsidRDefault="001B60F8" w:rsidP="001B60F8">
      <w:pPr>
        <w:rPr>
          <w:lang w:eastAsia="zh-CN"/>
        </w:rPr>
      </w:pPr>
      <w:r>
        <w:rPr>
          <w:lang w:eastAsia="zh-CN"/>
        </w:rPr>
        <w:t xml:space="preserve">9. </w:t>
      </w:r>
      <w:r>
        <w:rPr>
          <w:lang w:eastAsia="zh-CN"/>
        </w:rPr>
        <w:tab/>
        <w:t>Baessler B, Luecke C, Lurz J, Klingel K, von Roeder M, de Waha S, Besler C, Maintz D, Gutberlet M, Thiele H, et al. Cardiac MRI Texture Analysis of T1 and T2 Maps in Patients with Infarctlike Acute Myocarditis. Radiology (2018) 289:357–365. doi: 10.1148/radiol.2018180411</w:t>
      </w:r>
    </w:p>
    <w:p w14:paraId="76A0929F" w14:textId="77777777" w:rsidR="001B60F8" w:rsidRDefault="001B60F8" w:rsidP="001B60F8">
      <w:pPr>
        <w:rPr>
          <w:lang w:eastAsia="zh-CN"/>
        </w:rPr>
      </w:pPr>
      <w:r>
        <w:rPr>
          <w:lang w:eastAsia="zh-CN"/>
        </w:rPr>
        <w:t xml:space="preserve">10. </w:t>
      </w:r>
      <w:r>
        <w:rPr>
          <w:lang w:eastAsia="zh-CN"/>
        </w:rPr>
        <w:tab/>
        <w:t>Lang RM, Bierig M, Devereux RB, Flachskampf FA, Foster E, Pellikka PA, Picard MH, Roman MJ, Seward J, Shanewise JS, et al. Recommendations for chamber quantification: a report from the American Society of Echocardiography’s Guidelines and Standards Committee and the Chamber Quantification Writing Group, developed in conjunction with the European Association of Echocardiography, a branch of the European Society of Cardiology. J Am Soc Echocardiogr Off Publ Am Soc Echocardiogr (2005) 18:1440–1463. doi: 10.1016/j.echo.2005.10.005</w:t>
      </w:r>
    </w:p>
    <w:p w14:paraId="0925D666" w14:textId="77777777" w:rsidR="001B60F8" w:rsidRDefault="001B60F8" w:rsidP="001B60F8">
      <w:pPr>
        <w:rPr>
          <w:lang w:eastAsia="zh-CN"/>
        </w:rPr>
      </w:pPr>
      <w:r>
        <w:rPr>
          <w:lang w:eastAsia="zh-CN"/>
        </w:rPr>
        <w:t xml:space="preserve">11. </w:t>
      </w:r>
      <w:r>
        <w:rPr>
          <w:lang w:eastAsia="zh-CN"/>
        </w:rPr>
        <w:tab/>
        <w:t>Maron BJ. Asymmetry in hypertrophic cardiomyopathy: the septal to free wall thickness ratio revisited. Am J Cardiol (1985) 55:835–838. doi: 10.1016/0002-9149(85)90166-3</w:t>
      </w:r>
    </w:p>
    <w:p w14:paraId="0B9ECB9E" w14:textId="77777777" w:rsidR="001B60F8" w:rsidRDefault="001B60F8" w:rsidP="001B60F8">
      <w:pPr>
        <w:rPr>
          <w:lang w:eastAsia="zh-CN"/>
        </w:rPr>
      </w:pPr>
      <w:r>
        <w:rPr>
          <w:lang w:eastAsia="zh-CN"/>
        </w:rPr>
        <w:t xml:space="preserve">12. </w:t>
      </w:r>
      <w:r>
        <w:rPr>
          <w:lang w:eastAsia="zh-CN"/>
        </w:rPr>
        <w:tab/>
        <w:t>Afonso LC, Bernal J, Bax JJ, Abraham TP. Echocardiography in hypertrophic cardiomyopathy: the role of conventional and emerging technologies. JACC Cardiovasc Imaging (2008) 1:787–800. doi: 10.1016/j.jcmg.2008.09.002</w:t>
      </w:r>
    </w:p>
    <w:p w14:paraId="11CC9661" w14:textId="77777777" w:rsidR="001B60F8" w:rsidRPr="001B60F8" w:rsidRDefault="001B60F8" w:rsidP="001B60F8">
      <w:pPr>
        <w:rPr>
          <w:lang w:eastAsia="zh-CN"/>
        </w:rPr>
      </w:pPr>
    </w:p>
    <w:p w14:paraId="0293D8D2" w14:textId="44F93F33" w:rsidR="00417AA5" w:rsidRDefault="00417AA5" w:rsidP="00417AA5">
      <w:pPr>
        <w:pStyle w:val="1"/>
      </w:pPr>
      <w:r w:rsidRPr="0001436A">
        <w:t>Supplementary</w:t>
      </w:r>
      <w:r w:rsidRPr="001549D3">
        <w:t xml:space="preserve"> Figure</w:t>
      </w:r>
      <w:r>
        <w:t xml:space="preserve"> </w:t>
      </w:r>
    </w:p>
    <w:p w14:paraId="28FA5860" w14:textId="42DF6FDA" w:rsidR="00417AA5" w:rsidRPr="00417AA5" w:rsidRDefault="00417AA5" w:rsidP="00417AA5">
      <w:pPr>
        <w:pStyle w:val="2"/>
      </w:pPr>
      <w:r>
        <w:rPr>
          <w:rFonts w:eastAsiaTheme="minorEastAsia" w:hint="eastAsia"/>
          <w:lang w:eastAsia="zh-CN"/>
        </w:rPr>
        <w:t>S</w:t>
      </w:r>
      <w:r>
        <w:rPr>
          <w:rFonts w:eastAsiaTheme="minorEastAsia"/>
          <w:lang w:eastAsia="zh-CN"/>
        </w:rPr>
        <w:t>upplementary Figure S1</w:t>
      </w:r>
    </w:p>
    <w:p w14:paraId="2737B722" w14:textId="18290B85" w:rsidR="001B60F8" w:rsidRPr="001B60F8" w:rsidRDefault="001B60F8" w:rsidP="001B60F8">
      <w:pPr>
        <w:pStyle w:val="aff8"/>
        <w:rPr>
          <w:rFonts w:ascii="Times New Roman" w:hAnsi="Times New Roman" w:cs="Times New Roman"/>
        </w:rPr>
      </w:pPr>
      <w:r w:rsidRPr="005A027F">
        <w:fldChar w:fldCharType="begin"/>
      </w:r>
      <w:r>
        <w:instrText xml:space="preserve"> ADDIN ZOTERO_BIBL {"uncited":[],"omitted":[],"custom":[]} CSL_BIBLIOGRAPHY </w:instrText>
      </w:r>
      <w:r w:rsidRPr="005A027F">
        <w:fldChar w:fldCharType="separate"/>
      </w:r>
    </w:p>
    <w:p w14:paraId="1F796686" w14:textId="4FF59B95" w:rsidR="001B60F8" w:rsidRPr="00086248" w:rsidRDefault="00A05E05" w:rsidP="001B60F8">
      <w:r>
        <w:rPr>
          <w:noProof/>
          <w:lang w:eastAsia="zh-CN"/>
        </w:rPr>
        <w:lastRenderedPageBreak/>
        <w:drawing>
          <wp:inline distT="0" distB="0" distL="0" distR="0" wp14:anchorId="1C5E880F" wp14:editId="6A6D64BE">
            <wp:extent cx="5087112" cy="6815328"/>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87112" cy="6815328"/>
                    </a:xfrm>
                    <a:prstGeom prst="rect">
                      <a:avLst/>
                    </a:prstGeom>
                  </pic:spPr>
                </pic:pic>
              </a:graphicData>
            </a:graphic>
          </wp:inline>
        </w:drawing>
      </w:r>
    </w:p>
    <w:p w14:paraId="0F5EEDFC" w14:textId="6D117FAC" w:rsidR="001B60F8" w:rsidRDefault="001B60F8" w:rsidP="001B60F8">
      <w:pPr>
        <w:rPr>
          <w:rFonts w:cs="Times New Roman"/>
        </w:rPr>
      </w:pPr>
      <w:r w:rsidRPr="0001436A">
        <w:rPr>
          <w:rFonts w:cs="Times New Roman"/>
          <w:b/>
          <w:szCs w:val="24"/>
        </w:rPr>
        <w:t xml:space="preserve">Figure </w:t>
      </w:r>
      <w:r w:rsidR="00417AA5">
        <w:rPr>
          <w:rFonts w:cs="Times New Roman"/>
          <w:b/>
          <w:szCs w:val="24"/>
        </w:rPr>
        <w:t>S</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Pr="00BA503E">
        <w:rPr>
          <w:rFonts w:cs="Times New Roman"/>
          <w:szCs w:val="24"/>
        </w:rPr>
        <w:t>Flow diagram of the CINE image texture analysis plan.</w:t>
      </w:r>
      <w:r w:rsidRPr="0097192B">
        <w:rPr>
          <w:rFonts w:cs="Times New Roman"/>
        </w:rPr>
        <w:t xml:space="preserve"> </w:t>
      </w:r>
      <w:r w:rsidRPr="00054FC7">
        <w:rPr>
          <w:rFonts w:cs="Times New Roman"/>
        </w:rPr>
        <w:t>Illustrated are the division into feature selection and test validation datasets, as well as test accuracies for the selected tissue features.</w:t>
      </w:r>
      <w:r>
        <w:rPr>
          <w:rFonts w:cs="Times New Roman" w:hint="eastAsia"/>
          <w:lang w:eastAsia="zh-CN"/>
        </w:rPr>
        <w:t xml:space="preserve"> </w:t>
      </w:r>
      <w:r w:rsidRPr="00C77643">
        <w:rPr>
          <w:rFonts w:cs="Times New Roman"/>
        </w:rPr>
        <w:t>LVWT, left ventricular wall thickness; ASH</w:t>
      </w:r>
      <w:r>
        <w:rPr>
          <w:rFonts w:cs="Times New Roman"/>
        </w:rPr>
        <w:t xml:space="preserve">: </w:t>
      </w:r>
      <w:r w:rsidRPr="00C77643">
        <w:rPr>
          <w:rFonts w:cs="Times New Roman"/>
        </w:rPr>
        <w:t>asymmetric septal hypertrophy;LGE:</w:t>
      </w:r>
      <w:r>
        <w:rPr>
          <w:rFonts w:cs="Times New Roman"/>
        </w:rPr>
        <w:t xml:space="preserve"> </w:t>
      </w:r>
      <w:r w:rsidRPr="00C77643">
        <w:rPr>
          <w:rFonts w:cs="Times New Roman"/>
        </w:rPr>
        <w:t>late gadolinium enhancement</w:t>
      </w:r>
      <w:r w:rsidR="004730AC">
        <w:rPr>
          <w:rFonts w:cs="Times New Roman"/>
        </w:rPr>
        <w:t>.</w:t>
      </w:r>
    </w:p>
    <w:p w14:paraId="7329B6CA" w14:textId="28C95FFB" w:rsidR="004159B6" w:rsidRDefault="004159B6">
      <w:pPr>
        <w:spacing w:before="0" w:after="200" w:line="276" w:lineRule="auto"/>
        <w:rPr>
          <w:rFonts w:cs="Times New Roman"/>
        </w:rPr>
      </w:pPr>
      <w:r>
        <w:rPr>
          <w:rFonts w:cs="Times New Roman"/>
        </w:rPr>
        <w:br w:type="page"/>
      </w:r>
    </w:p>
    <w:p w14:paraId="5073D6A8" w14:textId="48DD178A" w:rsidR="002B05DF" w:rsidRPr="00A63AA4" w:rsidRDefault="004159B6" w:rsidP="004159B6">
      <w:pPr>
        <w:pStyle w:val="2"/>
        <w:rPr>
          <w:rFonts w:eastAsiaTheme="minorEastAsia"/>
          <w:lang w:eastAsia="zh-CN"/>
        </w:rPr>
      </w:pPr>
      <w:r w:rsidRPr="00A63AA4">
        <w:rPr>
          <w:rFonts w:eastAsiaTheme="minorEastAsia"/>
          <w:lang w:eastAsia="zh-CN"/>
        </w:rPr>
        <w:lastRenderedPageBreak/>
        <w:t>Supplementary Figure S2</w:t>
      </w:r>
    </w:p>
    <w:p w14:paraId="64DCE9A3" w14:textId="3684DCA2" w:rsidR="002B05DF" w:rsidRDefault="002B05DF" w:rsidP="002B05DF">
      <w:pPr>
        <w:rPr>
          <w:lang w:eastAsia="zh-CN"/>
        </w:rPr>
      </w:pPr>
      <w:r>
        <w:rPr>
          <w:rFonts w:hint="eastAsia"/>
          <w:noProof/>
          <w:lang w:eastAsia="zh-CN"/>
        </w:rPr>
        <w:drawing>
          <wp:inline distT="0" distB="0" distL="0" distR="0" wp14:anchorId="65C7DC13" wp14:editId="3A401CE2">
            <wp:extent cx="6208395" cy="3637915"/>
            <wp:effectExtent l="0" t="0" r="190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3637915"/>
                    </a:xfrm>
                    <a:prstGeom prst="rect">
                      <a:avLst/>
                    </a:prstGeom>
                  </pic:spPr>
                </pic:pic>
              </a:graphicData>
            </a:graphic>
          </wp:inline>
        </w:drawing>
      </w:r>
    </w:p>
    <w:p w14:paraId="2210F205" w14:textId="0E515457" w:rsidR="002B05DF" w:rsidRPr="00A63AA4" w:rsidRDefault="002B05DF" w:rsidP="002B05DF">
      <w:pPr>
        <w:rPr>
          <w:lang w:eastAsia="zh-CN"/>
        </w:rPr>
      </w:pPr>
      <w:r w:rsidRPr="00A63AA4">
        <w:rPr>
          <w:rFonts w:hint="eastAsia"/>
          <w:b/>
          <w:lang w:eastAsia="zh-CN"/>
        </w:rPr>
        <w:t>F</w:t>
      </w:r>
      <w:r w:rsidRPr="00A63AA4">
        <w:rPr>
          <w:b/>
          <w:lang w:eastAsia="zh-CN"/>
        </w:rPr>
        <w:t>igure S2</w:t>
      </w:r>
      <w:r w:rsidR="00A61E13" w:rsidRPr="00A63AA4">
        <w:rPr>
          <w:b/>
          <w:lang w:eastAsia="zh-CN"/>
        </w:rPr>
        <w:t xml:space="preserve">. </w:t>
      </w:r>
      <w:r w:rsidR="009363D2" w:rsidRPr="00A63AA4">
        <w:rPr>
          <w:lang w:eastAsia="zh-CN"/>
        </w:rPr>
        <w:t>T</w:t>
      </w:r>
      <w:r w:rsidR="00600264" w:rsidRPr="00A63AA4">
        <w:rPr>
          <w:lang w:eastAsia="zh-CN"/>
        </w:rPr>
        <w:t>he Intraclass Correlation Coefficient (ICC)</w:t>
      </w:r>
      <w:r w:rsidR="009363D2" w:rsidRPr="00A63AA4">
        <w:t xml:space="preserve"> </w:t>
      </w:r>
      <w:r w:rsidR="009363D2" w:rsidRPr="00A63AA4">
        <w:rPr>
          <w:lang w:eastAsia="zh-CN"/>
        </w:rPr>
        <w:t>is given for scatter plot and h</w:t>
      </w:r>
      <w:r w:rsidR="00600264" w:rsidRPr="00A63AA4">
        <w:rPr>
          <w:lang w:eastAsia="zh-CN"/>
        </w:rPr>
        <w:t>orizontal lines are inserted to denote ICC cut off at 0.75</w:t>
      </w:r>
      <w:r w:rsidR="004730AC" w:rsidRPr="00A63AA4">
        <w:rPr>
          <w:lang w:eastAsia="zh-CN"/>
        </w:rPr>
        <w:t>.</w:t>
      </w:r>
    </w:p>
    <w:p w14:paraId="6AF7B6BA" w14:textId="77777777" w:rsidR="002B05DF" w:rsidRDefault="002B05DF">
      <w:pPr>
        <w:spacing w:before="0" w:after="200" w:line="276" w:lineRule="auto"/>
        <w:rPr>
          <w:rFonts w:cs="Times New Roman"/>
          <w:b/>
          <w:szCs w:val="24"/>
          <w:lang w:eastAsia="zh-CN"/>
        </w:rPr>
      </w:pPr>
      <w:r>
        <w:rPr>
          <w:lang w:eastAsia="zh-CN"/>
        </w:rPr>
        <w:br w:type="page"/>
      </w:r>
    </w:p>
    <w:p w14:paraId="0B7223A6" w14:textId="57697CD9" w:rsidR="004159B6" w:rsidRDefault="00D10941" w:rsidP="004159B6">
      <w:pPr>
        <w:pStyle w:val="2"/>
      </w:pPr>
      <w:r>
        <w:rPr>
          <w:rFonts w:eastAsiaTheme="minorEastAsia" w:hint="eastAsia"/>
          <w:lang w:eastAsia="zh-CN"/>
        </w:rPr>
        <w:lastRenderedPageBreak/>
        <w:t>S</w:t>
      </w:r>
      <w:r>
        <w:rPr>
          <w:rFonts w:eastAsiaTheme="minorEastAsia"/>
          <w:lang w:eastAsia="zh-CN"/>
        </w:rPr>
        <w:t>upplementary Figure S3</w:t>
      </w:r>
    </w:p>
    <w:p w14:paraId="47DCA514" w14:textId="30F6A9A4" w:rsidR="001B60F8" w:rsidRDefault="001B60F8" w:rsidP="001B60F8">
      <w:pPr>
        <w:keepNext/>
        <w:rPr>
          <w:rFonts w:cs="Times New Roman"/>
          <w:szCs w:val="24"/>
          <w:lang w:eastAsia="zh-CN"/>
        </w:rPr>
      </w:pPr>
      <w:r>
        <w:rPr>
          <w:rFonts w:cs="Times New Roman"/>
          <w:noProof/>
          <w:szCs w:val="24"/>
          <w:lang w:eastAsia="zh-CN"/>
        </w:rPr>
        <w:drawing>
          <wp:inline distT="0" distB="0" distL="0" distR="0" wp14:anchorId="2534FEBB" wp14:editId="7D1D168F">
            <wp:extent cx="3335655" cy="29546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5655" cy="2954655"/>
                    </a:xfrm>
                    <a:prstGeom prst="rect">
                      <a:avLst/>
                    </a:prstGeom>
                    <a:noFill/>
                    <a:ln>
                      <a:noFill/>
                    </a:ln>
                  </pic:spPr>
                </pic:pic>
              </a:graphicData>
            </a:graphic>
          </wp:inline>
        </w:drawing>
      </w:r>
      <w:r>
        <w:rPr>
          <w:rFonts w:cs="Times New Roman" w:hint="eastAsia"/>
          <w:szCs w:val="24"/>
          <w:lang w:eastAsia="zh-CN"/>
        </w:rPr>
        <w:t>(</w:t>
      </w:r>
      <w:r w:rsidR="004E7DB0">
        <w:rPr>
          <w:rFonts w:cs="Times New Roman"/>
          <w:szCs w:val="24"/>
          <w:lang w:eastAsia="zh-CN"/>
        </w:rPr>
        <w:t>a</w:t>
      </w:r>
      <w:r>
        <w:rPr>
          <w:rFonts w:cs="Times New Roman"/>
          <w:szCs w:val="24"/>
          <w:lang w:eastAsia="zh-CN"/>
        </w:rPr>
        <w:t>)</w:t>
      </w:r>
    </w:p>
    <w:p w14:paraId="76B5C382" w14:textId="05DE6093" w:rsidR="001B60F8" w:rsidRDefault="001B60F8" w:rsidP="001B60F8">
      <w:pPr>
        <w:rPr>
          <w:rFonts w:cs="Times New Roman"/>
          <w:b/>
          <w:szCs w:val="24"/>
        </w:rPr>
      </w:pPr>
      <w:r>
        <w:rPr>
          <w:rFonts w:cs="Times New Roman" w:hint="eastAsia"/>
          <w:noProof/>
          <w:szCs w:val="24"/>
          <w:lang w:eastAsia="zh-CN"/>
        </w:rPr>
        <w:drawing>
          <wp:inline distT="0" distB="0" distL="0" distR="0" wp14:anchorId="5FF768DA" wp14:editId="317E6B9B">
            <wp:extent cx="3335655" cy="29546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5655" cy="2954655"/>
                    </a:xfrm>
                    <a:prstGeom prst="rect">
                      <a:avLst/>
                    </a:prstGeom>
                    <a:noFill/>
                    <a:ln>
                      <a:noFill/>
                    </a:ln>
                  </pic:spPr>
                </pic:pic>
              </a:graphicData>
            </a:graphic>
          </wp:inline>
        </w:drawing>
      </w:r>
      <w:r>
        <w:rPr>
          <w:rFonts w:cs="Times New Roman" w:hint="eastAsia"/>
          <w:szCs w:val="24"/>
          <w:lang w:eastAsia="zh-CN"/>
        </w:rPr>
        <w:t>(</w:t>
      </w:r>
      <w:r w:rsidR="004E7DB0">
        <w:rPr>
          <w:rFonts w:cs="Times New Roman"/>
          <w:szCs w:val="24"/>
          <w:lang w:eastAsia="zh-CN"/>
        </w:rPr>
        <w:t>b</w:t>
      </w:r>
      <w:r>
        <w:rPr>
          <w:rFonts w:cs="Times New Roman"/>
          <w:szCs w:val="24"/>
          <w:lang w:eastAsia="zh-CN"/>
        </w:rPr>
        <w:t>)</w:t>
      </w:r>
      <w:r w:rsidRPr="00086248">
        <w:rPr>
          <w:rFonts w:cs="Times New Roman"/>
          <w:b/>
          <w:szCs w:val="24"/>
        </w:rPr>
        <w:t xml:space="preserve"> </w:t>
      </w:r>
    </w:p>
    <w:p w14:paraId="361A4ADD" w14:textId="0875852E" w:rsidR="005C7A67" w:rsidRDefault="001B60F8" w:rsidP="001B60F8">
      <w:pPr>
        <w:rPr>
          <w:rFonts w:cs="Times New Roman"/>
        </w:rPr>
      </w:pPr>
      <w:r w:rsidRPr="00426D11">
        <w:rPr>
          <w:rFonts w:cs="Times New Roman"/>
          <w:b/>
          <w:szCs w:val="24"/>
        </w:rPr>
        <w:t xml:space="preserve">Figure </w:t>
      </w:r>
      <w:r w:rsidR="00EF7122">
        <w:rPr>
          <w:rFonts w:cs="Times New Roman"/>
          <w:b/>
          <w:szCs w:val="24"/>
        </w:rPr>
        <w:t>S</w:t>
      </w:r>
      <w:r w:rsidR="00511769">
        <w:rPr>
          <w:rFonts w:cs="Times New Roman"/>
          <w:b/>
          <w:bCs/>
        </w:rPr>
        <w:t>3</w:t>
      </w:r>
      <w:r>
        <w:rPr>
          <w:rFonts w:cs="Times New Roman"/>
          <w:b/>
          <w:bCs/>
        </w:rPr>
        <w:t>.</w:t>
      </w:r>
      <w:r w:rsidRPr="007359E8">
        <w:rPr>
          <w:b/>
          <w:bCs/>
        </w:rPr>
        <w:t xml:space="preserve"> </w:t>
      </w:r>
      <w:r w:rsidRPr="007C60F1">
        <w:rPr>
          <w:rFonts w:cs="Times New Roman"/>
        </w:rPr>
        <w:t>Lasso regression analysis results</w:t>
      </w:r>
      <w:r>
        <w:rPr>
          <w:rFonts w:cs="Times New Roman"/>
        </w:rPr>
        <w:t>:</w:t>
      </w:r>
      <w:r w:rsidRPr="007C60F1">
        <w:rPr>
          <w:rFonts w:cs="Times New Roman"/>
        </w:rPr>
        <w:t xml:space="preserve"> (</w:t>
      </w:r>
      <w:r w:rsidR="004E7DB0">
        <w:rPr>
          <w:rFonts w:cs="Times New Roman"/>
        </w:rPr>
        <w:t>a</w:t>
      </w:r>
      <w:r w:rsidRPr="007C60F1">
        <w:rPr>
          <w:rFonts w:cs="Times New Roman"/>
        </w:rPr>
        <w:t xml:space="preserve">) </w:t>
      </w:r>
      <w:r w:rsidRPr="002E36BE">
        <w:rPr>
          <w:rFonts w:cs="Times New Roman"/>
        </w:rPr>
        <w:t xml:space="preserve">The area under the curve (AUC) </w:t>
      </w:r>
      <w:r w:rsidRPr="007C60F1">
        <w:rPr>
          <w:rFonts w:cs="Times New Roman"/>
        </w:rPr>
        <w:t>for the lasso regression; (</w:t>
      </w:r>
      <w:r w:rsidR="004E7DB0">
        <w:rPr>
          <w:rFonts w:cs="Times New Roman"/>
        </w:rPr>
        <w:t>b</w:t>
      </w:r>
      <w:r w:rsidR="00DC657E">
        <w:rPr>
          <w:rFonts w:cs="Times New Roman"/>
        </w:rPr>
        <w:t>) L</w:t>
      </w:r>
      <w:r w:rsidRPr="007C60F1">
        <w:rPr>
          <w:rFonts w:cs="Times New Roman"/>
        </w:rPr>
        <w:t>asso regression analysis</w:t>
      </w:r>
      <w:r w:rsidR="004730AC">
        <w:rPr>
          <w:rFonts w:cs="Times New Roman"/>
        </w:rPr>
        <w:t>.</w:t>
      </w:r>
    </w:p>
    <w:p w14:paraId="39418DAF" w14:textId="77777777" w:rsidR="005C7A67" w:rsidRDefault="005C7A67">
      <w:pPr>
        <w:spacing w:before="0" w:after="200" w:line="276" w:lineRule="auto"/>
        <w:rPr>
          <w:rFonts w:cs="Times New Roman"/>
        </w:rPr>
      </w:pPr>
      <w:r>
        <w:rPr>
          <w:rFonts w:cs="Times New Roman"/>
        </w:rPr>
        <w:br w:type="page"/>
      </w:r>
    </w:p>
    <w:p w14:paraId="24D81992" w14:textId="7D180DAF" w:rsidR="001B60F8" w:rsidRDefault="005C7A67" w:rsidP="005C7A67">
      <w:pPr>
        <w:pStyle w:val="2"/>
      </w:pPr>
      <w:r>
        <w:rPr>
          <w:rFonts w:eastAsiaTheme="minorEastAsia" w:hint="eastAsia"/>
          <w:lang w:eastAsia="zh-CN"/>
        </w:rPr>
        <w:lastRenderedPageBreak/>
        <w:t>S</w:t>
      </w:r>
      <w:r>
        <w:rPr>
          <w:rFonts w:eastAsiaTheme="minorEastAsia"/>
          <w:lang w:eastAsia="zh-CN"/>
        </w:rPr>
        <w:t>upplementary Figure S</w:t>
      </w:r>
      <w:r w:rsidR="00511769">
        <w:rPr>
          <w:rFonts w:eastAsiaTheme="minorEastAsia"/>
          <w:lang w:eastAsia="zh-CN"/>
        </w:rPr>
        <w:t>4</w:t>
      </w:r>
    </w:p>
    <w:p w14:paraId="29B6C4D9" w14:textId="77777777" w:rsidR="001B60F8" w:rsidRDefault="001B60F8" w:rsidP="001B60F8">
      <w:pPr>
        <w:rPr>
          <w:rFonts w:cs="Times New Roman"/>
        </w:rPr>
      </w:pPr>
      <w:r>
        <w:rPr>
          <w:b/>
          <w:noProof/>
          <w:lang w:eastAsia="zh-CN"/>
        </w:rPr>
        <w:drawing>
          <wp:inline distT="0" distB="0" distL="0" distR="0" wp14:anchorId="59F2EF2D" wp14:editId="57CE7154">
            <wp:extent cx="3093720" cy="282244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3720" cy="2822448"/>
                    </a:xfrm>
                    <a:prstGeom prst="rect">
                      <a:avLst/>
                    </a:prstGeom>
                  </pic:spPr>
                </pic:pic>
              </a:graphicData>
            </a:graphic>
          </wp:inline>
        </w:drawing>
      </w:r>
    </w:p>
    <w:p w14:paraId="63AA7406" w14:textId="7C5943A3" w:rsidR="001B60F8" w:rsidRDefault="001B60F8" w:rsidP="001B60F8">
      <w:pPr>
        <w:rPr>
          <w:rFonts w:cs="Times New Roman"/>
        </w:rPr>
      </w:pPr>
      <w:r w:rsidRPr="00426D11">
        <w:rPr>
          <w:rFonts w:cs="Times New Roman"/>
          <w:b/>
          <w:szCs w:val="24"/>
        </w:rPr>
        <w:t xml:space="preserve">Figure </w:t>
      </w:r>
      <w:r w:rsidR="0046101A">
        <w:rPr>
          <w:rFonts w:cs="Times New Roman"/>
          <w:b/>
          <w:szCs w:val="24"/>
        </w:rPr>
        <w:t>S</w:t>
      </w:r>
      <w:r w:rsidR="00511769">
        <w:rPr>
          <w:rFonts w:cs="Times New Roman"/>
          <w:b/>
          <w:bCs/>
        </w:rPr>
        <w:t>4</w:t>
      </w:r>
      <w:r>
        <w:rPr>
          <w:rFonts w:cs="Times New Roman"/>
          <w:b/>
          <w:bCs/>
        </w:rPr>
        <w:t>.</w:t>
      </w:r>
      <w:r w:rsidRPr="007F3F14">
        <w:rPr>
          <w:rFonts w:cs="Times New Roman"/>
        </w:rPr>
        <w:t xml:space="preserve"> </w:t>
      </w:r>
      <w:r w:rsidRPr="005A027F">
        <w:rPr>
          <w:rFonts w:cs="Times New Roman"/>
        </w:rPr>
        <w:t>Correlogram illustrating auto- and cross-correlations of the 19 most important</w:t>
      </w:r>
      <w:r w:rsidRPr="005A027F">
        <w:rPr>
          <w:rFonts w:cs="Times New Roman" w:hint="eastAsia"/>
        </w:rPr>
        <w:t xml:space="preserve"> </w:t>
      </w:r>
      <w:r w:rsidRPr="005A027F">
        <w:rPr>
          <w:rFonts w:cs="Times New Roman"/>
        </w:rPr>
        <w:t>texture features. Texture features were reordered after hierarchical clustering for visualizing different feature clusters. Blue circles indicate positive correlation, red circles negative correlation. The larger the circle and the darker the colour, the higher is the correlation between two</w:t>
      </w:r>
      <w:r w:rsidRPr="005A027F">
        <w:rPr>
          <w:rFonts w:cs="Times New Roman" w:hint="eastAsia"/>
        </w:rPr>
        <w:t xml:space="preserve"> </w:t>
      </w:r>
      <w:r w:rsidRPr="005A027F">
        <w:rPr>
          <w:rFonts w:cs="Times New Roman"/>
        </w:rPr>
        <w:t xml:space="preserve">variables. </w:t>
      </w:r>
    </w:p>
    <w:p w14:paraId="1D31F70E" w14:textId="1448A918" w:rsidR="003C6A48" w:rsidRDefault="003C6A48">
      <w:pPr>
        <w:spacing w:before="0" w:after="200" w:line="276" w:lineRule="auto"/>
        <w:rPr>
          <w:rFonts w:cs="Times New Roman"/>
          <w:szCs w:val="24"/>
          <w:lang w:eastAsia="zh-CN"/>
        </w:rPr>
      </w:pPr>
      <w:r>
        <w:rPr>
          <w:rFonts w:cs="Times New Roman"/>
          <w:szCs w:val="24"/>
          <w:lang w:eastAsia="zh-CN"/>
        </w:rPr>
        <w:br w:type="page"/>
      </w:r>
    </w:p>
    <w:p w14:paraId="428BC68D" w14:textId="1BEECCC1" w:rsidR="001B60F8" w:rsidRDefault="003C6A48" w:rsidP="003C6A48">
      <w:pPr>
        <w:pStyle w:val="2"/>
        <w:rPr>
          <w:rFonts w:eastAsiaTheme="minorEastAsia"/>
          <w:lang w:eastAsia="zh-CN"/>
        </w:rPr>
      </w:pPr>
      <w:r>
        <w:rPr>
          <w:rFonts w:eastAsiaTheme="minorEastAsia"/>
          <w:lang w:eastAsia="zh-CN"/>
        </w:rPr>
        <w:lastRenderedPageBreak/>
        <w:t xml:space="preserve">Supplementary </w:t>
      </w:r>
      <w:r>
        <w:rPr>
          <w:rFonts w:eastAsiaTheme="minorEastAsia" w:hint="eastAsia"/>
          <w:lang w:eastAsia="zh-CN"/>
        </w:rPr>
        <w:t>F</w:t>
      </w:r>
      <w:r>
        <w:rPr>
          <w:rFonts w:eastAsiaTheme="minorEastAsia"/>
          <w:lang w:eastAsia="zh-CN"/>
        </w:rPr>
        <w:t>igure 5</w:t>
      </w:r>
    </w:p>
    <w:p w14:paraId="3331BCCA" w14:textId="24DB0A98" w:rsidR="00A05E05" w:rsidRPr="00A05E05" w:rsidRDefault="00A05E05" w:rsidP="00A05E05">
      <w:pPr>
        <w:rPr>
          <w:lang w:eastAsia="zh-CN"/>
        </w:rPr>
      </w:pPr>
      <w:r>
        <w:rPr>
          <w:rFonts w:hint="eastAsia"/>
          <w:noProof/>
          <w:lang w:eastAsia="zh-CN"/>
        </w:rPr>
        <w:drawing>
          <wp:inline distT="0" distB="0" distL="0" distR="0" wp14:anchorId="69FF1237" wp14:editId="358367C8">
            <wp:extent cx="2831592" cy="3026664"/>
            <wp:effectExtent l="0" t="0" r="698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5_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1592" cy="3026664"/>
                    </a:xfrm>
                    <a:prstGeom prst="rect">
                      <a:avLst/>
                    </a:prstGeom>
                  </pic:spPr>
                </pic:pic>
              </a:graphicData>
            </a:graphic>
          </wp:inline>
        </w:drawing>
      </w:r>
      <w:r>
        <w:rPr>
          <w:rFonts w:hint="eastAsia"/>
          <w:lang w:eastAsia="zh-CN"/>
        </w:rPr>
        <w:t>a</w:t>
      </w:r>
      <w:r>
        <w:rPr>
          <w:rFonts w:hint="eastAsia"/>
          <w:noProof/>
          <w:lang w:eastAsia="zh-CN"/>
        </w:rPr>
        <w:drawing>
          <wp:inline distT="0" distB="0" distL="0" distR="0" wp14:anchorId="541E4688" wp14:editId="549E43DB">
            <wp:extent cx="2831592" cy="2904744"/>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5_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1592" cy="2904744"/>
                    </a:xfrm>
                    <a:prstGeom prst="rect">
                      <a:avLst/>
                    </a:prstGeom>
                  </pic:spPr>
                </pic:pic>
              </a:graphicData>
            </a:graphic>
          </wp:inline>
        </w:drawing>
      </w:r>
      <w:r>
        <w:rPr>
          <w:rFonts w:hint="eastAsia"/>
          <w:lang w:eastAsia="zh-CN"/>
        </w:rPr>
        <w:t>b</w:t>
      </w:r>
    </w:p>
    <w:p w14:paraId="7C085D15" w14:textId="6BAD7D7A" w:rsidR="003C6A48" w:rsidRPr="00A63AA4" w:rsidRDefault="003C6A48" w:rsidP="003C6A48">
      <w:pPr>
        <w:rPr>
          <w:lang w:eastAsia="zh-CN"/>
        </w:rPr>
      </w:pPr>
    </w:p>
    <w:p w14:paraId="7F3684BC" w14:textId="2AAF56AF" w:rsidR="00C61278" w:rsidRPr="00A63AA4" w:rsidRDefault="006010CF" w:rsidP="003C6A48">
      <w:pPr>
        <w:rPr>
          <w:lang w:eastAsia="zh-CN"/>
        </w:rPr>
      </w:pPr>
      <w:r w:rsidRPr="00A63AA4">
        <w:rPr>
          <w:rFonts w:hint="eastAsia"/>
          <w:b/>
          <w:lang w:eastAsia="zh-CN"/>
        </w:rPr>
        <w:t>F</w:t>
      </w:r>
      <w:r w:rsidRPr="00A63AA4">
        <w:rPr>
          <w:b/>
          <w:lang w:eastAsia="zh-CN"/>
        </w:rPr>
        <w:t>igure S5.</w:t>
      </w:r>
      <w:r w:rsidR="00A05E05" w:rsidRPr="00A63AA4">
        <w:t xml:space="preserve"> </w:t>
      </w:r>
      <w:r w:rsidR="00A05E05" w:rsidRPr="00A63AA4">
        <w:rPr>
          <w:lang w:eastAsia="zh-CN"/>
        </w:rPr>
        <w:t xml:space="preserve">ROC analysis indicating the accuracy of the texture feature </w:t>
      </w:r>
      <w:r w:rsidR="003716F5" w:rsidRPr="00A63AA4">
        <w:rPr>
          <w:rFonts w:cs="Times New Roman"/>
        </w:rPr>
        <w:t>Gray level non-uniformity (GLevNonU)</w:t>
      </w:r>
      <w:r w:rsidR="00A05E05" w:rsidRPr="00A63AA4">
        <w:rPr>
          <w:lang w:eastAsia="zh-CN"/>
        </w:rPr>
        <w:t xml:space="preserve"> for diagnosing the CA in all patients with cut-off (a) and the equal subgroup with cut-off (b)</w:t>
      </w:r>
    </w:p>
    <w:p w14:paraId="4BE05789" w14:textId="2B9BF564" w:rsidR="006010CF" w:rsidRPr="00482F1A" w:rsidRDefault="00C61278" w:rsidP="00CC4443">
      <w:pPr>
        <w:spacing w:before="0" w:after="200" w:line="276" w:lineRule="auto"/>
        <w:rPr>
          <w:lang w:eastAsia="zh-CN"/>
        </w:rPr>
      </w:pPr>
      <w:r>
        <w:rPr>
          <w:lang w:eastAsia="zh-CN"/>
        </w:rPr>
        <w:br w:type="page"/>
      </w:r>
    </w:p>
    <w:p w14:paraId="20DF84A4" w14:textId="12A21DE3" w:rsidR="001B60F8" w:rsidRDefault="001B60F8" w:rsidP="002B583E">
      <w:pPr>
        <w:pStyle w:val="1"/>
      </w:pPr>
      <w:r w:rsidRPr="0001436A">
        <w:lastRenderedPageBreak/>
        <w:t>Supplementary</w:t>
      </w:r>
      <w:r w:rsidRPr="001549D3">
        <w:t xml:space="preserve"> </w:t>
      </w:r>
      <w:r>
        <w:t xml:space="preserve">Tables </w:t>
      </w:r>
    </w:p>
    <w:p w14:paraId="706137B9" w14:textId="77777777" w:rsidR="002B583E" w:rsidRPr="002B583E" w:rsidRDefault="002B583E" w:rsidP="002B583E"/>
    <w:p w14:paraId="39F05607" w14:textId="3B262D18" w:rsidR="001B60F8" w:rsidRPr="00363B08" w:rsidRDefault="001B60F8" w:rsidP="00E91925">
      <w:pPr>
        <w:pStyle w:val="2"/>
        <w:rPr>
          <w:bCs/>
          <w:lang w:eastAsia="zh-CN"/>
        </w:rPr>
      </w:pPr>
      <w:r w:rsidRPr="0020652A">
        <w:rPr>
          <w:bCs/>
          <w:lang w:eastAsia="zh-CN"/>
        </w:rPr>
        <w:t xml:space="preserve">Table </w:t>
      </w:r>
      <w:r w:rsidR="00E91925">
        <w:rPr>
          <w:bCs/>
          <w:lang w:eastAsia="zh-CN"/>
        </w:rPr>
        <w:t>S</w:t>
      </w:r>
      <w:r w:rsidRPr="0020652A">
        <w:rPr>
          <w:bCs/>
          <w:lang w:eastAsia="zh-CN"/>
        </w:rPr>
        <w:t>1</w:t>
      </w:r>
      <w:r>
        <w:rPr>
          <w:bCs/>
          <w:lang w:eastAsia="zh-CN"/>
        </w:rPr>
        <w:t xml:space="preserve">. </w:t>
      </w:r>
      <w:r w:rsidRPr="00326142">
        <w:t>Clinical characteristics of the equal subgroup.</w:t>
      </w:r>
    </w:p>
    <w:tbl>
      <w:tblPr>
        <w:tblStyle w:val="aff9"/>
        <w:tblW w:w="0" w:type="auto"/>
        <w:tblLook w:val="04A0" w:firstRow="1" w:lastRow="0" w:firstColumn="1" w:lastColumn="0" w:noHBand="0" w:noVBand="1"/>
      </w:tblPr>
      <w:tblGrid>
        <w:gridCol w:w="2931"/>
        <w:gridCol w:w="2070"/>
        <w:gridCol w:w="2138"/>
        <w:gridCol w:w="1501"/>
      </w:tblGrid>
      <w:tr w:rsidR="001B60F8" w:rsidRPr="00A15EFA" w14:paraId="6D72FF48" w14:textId="77777777" w:rsidTr="003240DE">
        <w:trPr>
          <w:cnfStyle w:val="100000000000" w:firstRow="1" w:lastRow="0" w:firstColumn="0" w:lastColumn="0" w:oddVBand="0" w:evenVBand="0" w:oddHBand="0" w:evenHBand="0" w:firstRowFirstColumn="0" w:firstRowLastColumn="0" w:lastRowFirstColumn="0" w:lastRowLastColumn="0"/>
        </w:trPr>
        <w:tc>
          <w:tcPr>
            <w:tcW w:w="2931" w:type="dxa"/>
          </w:tcPr>
          <w:p w14:paraId="54212B33" w14:textId="77777777" w:rsidR="001B60F8" w:rsidRPr="00A15EFA" w:rsidRDefault="001B60F8" w:rsidP="003240DE">
            <w:pPr>
              <w:rPr>
                <w:rFonts w:cs="Times New Roman"/>
                <w:szCs w:val="21"/>
              </w:rPr>
            </w:pPr>
            <w:r w:rsidRPr="00A15EFA">
              <w:rPr>
                <w:rFonts w:cs="Times New Roman"/>
                <w:szCs w:val="21"/>
              </w:rPr>
              <w:t>Parameter</w:t>
            </w:r>
          </w:p>
        </w:tc>
        <w:tc>
          <w:tcPr>
            <w:tcW w:w="2070" w:type="dxa"/>
          </w:tcPr>
          <w:p w14:paraId="3A22C69B" w14:textId="77777777" w:rsidR="00661A1D" w:rsidRDefault="001B60F8" w:rsidP="003240DE">
            <w:pPr>
              <w:rPr>
                <w:rFonts w:cs="Times New Roman"/>
                <w:szCs w:val="21"/>
              </w:rPr>
            </w:pPr>
            <w:r w:rsidRPr="00A15EFA">
              <w:rPr>
                <w:rFonts w:cs="Times New Roman"/>
                <w:szCs w:val="21"/>
              </w:rPr>
              <w:t xml:space="preserve">CA </w:t>
            </w:r>
          </w:p>
          <w:p w14:paraId="17832982" w14:textId="1DC21816" w:rsidR="001B60F8" w:rsidRPr="00A15EFA" w:rsidRDefault="001B60F8" w:rsidP="003240DE">
            <w:pPr>
              <w:rPr>
                <w:rFonts w:cs="Times New Roman"/>
                <w:szCs w:val="21"/>
              </w:rPr>
            </w:pPr>
            <w:r w:rsidRPr="00A15EFA">
              <w:rPr>
                <w:rFonts w:cs="Times New Roman"/>
                <w:szCs w:val="21"/>
              </w:rPr>
              <w:t>patients(</w:t>
            </w:r>
            <w:r>
              <w:rPr>
                <w:rFonts w:cs="Times New Roman"/>
                <w:szCs w:val="21"/>
              </w:rPr>
              <w:t>n</w:t>
            </w:r>
            <w:r w:rsidRPr="00A15EFA">
              <w:rPr>
                <w:rFonts w:cs="Times New Roman"/>
                <w:szCs w:val="21"/>
              </w:rPr>
              <w:t>=</w:t>
            </w:r>
            <w:r>
              <w:rPr>
                <w:rFonts w:cs="Times New Roman"/>
                <w:szCs w:val="21"/>
              </w:rPr>
              <w:t>19</w:t>
            </w:r>
            <w:r w:rsidRPr="00A15EFA">
              <w:rPr>
                <w:rFonts w:cs="Times New Roman"/>
                <w:szCs w:val="21"/>
              </w:rPr>
              <w:t>)</w:t>
            </w:r>
          </w:p>
        </w:tc>
        <w:tc>
          <w:tcPr>
            <w:tcW w:w="2138" w:type="dxa"/>
          </w:tcPr>
          <w:p w14:paraId="3E6678FD" w14:textId="77777777" w:rsidR="00661A1D" w:rsidRDefault="001B60F8" w:rsidP="003240DE">
            <w:pPr>
              <w:rPr>
                <w:rFonts w:cs="Times New Roman"/>
                <w:szCs w:val="21"/>
              </w:rPr>
            </w:pPr>
            <w:r w:rsidRPr="00A15EFA">
              <w:rPr>
                <w:rFonts w:cs="Times New Roman"/>
                <w:szCs w:val="21"/>
              </w:rPr>
              <w:t xml:space="preserve">HCM </w:t>
            </w:r>
          </w:p>
          <w:p w14:paraId="1DDC1BDF" w14:textId="6577C251" w:rsidR="001B60F8" w:rsidRPr="00A15EFA" w:rsidRDefault="001B60F8" w:rsidP="003240DE">
            <w:pPr>
              <w:rPr>
                <w:rFonts w:cs="Times New Roman"/>
                <w:szCs w:val="21"/>
              </w:rPr>
            </w:pPr>
            <w:r w:rsidRPr="00A15EFA">
              <w:rPr>
                <w:rFonts w:cs="Times New Roman"/>
                <w:szCs w:val="21"/>
              </w:rPr>
              <w:t>patients(</w:t>
            </w:r>
            <w:r>
              <w:rPr>
                <w:rFonts w:cs="Times New Roman"/>
                <w:szCs w:val="21"/>
              </w:rPr>
              <w:t>n</w:t>
            </w:r>
            <w:r w:rsidRPr="00A15EFA">
              <w:rPr>
                <w:rFonts w:cs="Times New Roman"/>
                <w:szCs w:val="21"/>
              </w:rPr>
              <w:t>=</w:t>
            </w:r>
            <w:r>
              <w:rPr>
                <w:rFonts w:cs="Times New Roman"/>
                <w:szCs w:val="21"/>
              </w:rPr>
              <w:t>23</w:t>
            </w:r>
            <w:r w:rsidRPr="00A15EFA">
              <w:rPr>
                <w:rFonts w:cs="Times New Roman"/>
                <w:szCs w:val="21"/>
              </w:rPr>
              <w:t>)</w:t>
            </w:r>
          </w:p>
        </w:tc>
        <w:tc>
          <w:tcPr>
            <w:tcW w:w="1501" w:type="dxa"/>
          </w:tcPr>
          <w:p w14:paraId="202603F8" w14:textId="77777777" w:rsidR="001B60F8" w:rsidRPr="00A15EFA" w:rsidRDefault="001B60F8" w:rsidP="003240DE">
            <w:pPr>
              <w:rPr>
                <w:rFonts w:cs="Times New Roman"/>
                <w:szCs w:val="21"/>
              </w:rPr>
            </w:pPr>
            <w:r w:rsidRPr="00C33FBB">
              <w:rPr>
                <w:rFonts w:cs="Times New Roman" w:hint="eastAsia"/>
                <w:i/>
                <w:szCs w:val="21"/>
              </w:rPr>
              <w:t>P</w:t>
            </w:r>
            <w:r>
              <w:rPr>
                <w:rFonts w:cs="Times New Roman"/>
                <w:szCs w:val="21"/>
              </w:rPr>
              <w:t>-value</w:t>
            </w:r>
          </w:p>
        </w:tc>
      </w:tr>
      <w:tr w:rsidR="001B60F8" w:rsidRPr="00A15EFA" w14:paraId="4C51B1E2" w14:textId="77777777" w:rsidTr="003240DE">
        <w:tc>
          <w:tcPr>
            <w:tcW w:w="2931" w:type="dxa"/>
          </w:tcPr>
          <w:p w14:paraId="6FB86437" w14:textId="77777777" w:rsidR="001B60F8" w:rsidRPr="00A15EFA" w:rsidRDefault="001B60F8" w:rsidP="003240DE">
            <w:pPr>
              <w:rPr>
                <w:rFonts w:cs="Times New Roman"/>
                <w:szCs w:val="21"/>
              </w:rPr>
            </w:pPr>
            <w:r w:rsidRPr="00A15EFA">
              <w:rPr>
                <w:rFonts w:cs="Times New Roman"/>
                <w:szCs w:val="21"/>
              </w:rPr>
              <w:t>Age (year)</w:t>
            </w:r>
          </w:p>
        </w:tc>
        <w:tc>
          <w:tcPr>
            <w:tcW w:w="2070" w:type="dxa"/>
          </w:tcPr>
          <w:p w14:paraId="0FE983F3" w14:textId="77777777" w:rsidR="001B60F8" w:rsidRPr="00A15EFA" w:rsidRDefault="001B60F8" w:rsidP="003240DE">
            <w:pPr>
              <w:rPr>
                <w:rFonts w:cs="Times New Roman"/>
                <w:szCs w:val="21"/>
              </w:rPr>
            </w:pPr>
            <w:r w:rsidRPr="00A15EFA">
              <w:rPr>
                <w:rFonts w:cs="Times New Roman"/>
                <w:szCs w:val="21"/>
              </w:rPr>
              <w:t>54±9</w:t>
            </w:r>
          </w:p>
        </w:tc>
        <w:tc>
          <w:tcPr>
            <w:tcW w:w="2138" w:type="dxa"/>
          </w:tcPr>
          <w:p w14:paraId="0C77BF65" w14:textId="77777777" w:rsidR="001B60F8" w:rsidRPr="00A15EFA" w:rsidRDefault="001B60F8" w:rsidP="003240DE">
            <w:pPr>
              <w:rPr>
                <w:rFonts w:cs="Times New Roman"/>
                <w:szCs w:val="21"/>
              </w:rPr>
            </w:pPr>
            <w:r w:rsidRPr="00A15EFA">
              <w:rPr>
                <w:rFonts w:cs="Times New Roman"/>
                <w:szCs w:val="21"/>
              </w:rPr>
              <w:t>46±14</w:t>
            </w:r>
          </w:p>
        </w:tc>
        <w:tc>
          <w:tcPr>
            <w:tcW w:w="1501" w:type="dxa"/>
          </w:tcPr>
          <w:p w14:paraId="68F64F6B" w14:textId="77777777" w:rsidR="001B60F8" w:rsidRPr="00A15EFA" w:rsidRDefault="001B60F8" w:rsidP="003240DE">
            <w:pPr>
              <w:rPr>
                <w:rFonts w:cs="Times New Roman"/>
                <w:szCs w:val="21"/>
              </w:rPr>
            </w:pPr>
            <w:r>
              <w:rPr>
                <w:rFonts w:cs="Times New Roman" w:hint="eastAsia"/>
                <w:szCs w:val="21"/>
              </w:rPr>
              <w:t>0</w:t>
            </w:r>
            <w:r>
              <w:rPr>
                <w:rFonts w:cs="Times New Roman"/>
                <w:szCs w:val="21"/>
              </w:rPr>
              <w:t>.47</w:t>
            </w:r>
          </w:p>
        </w:tc>
      </w:tr>
      <w:tr w:rsidR="001B60F8" w:rsidRPr="00A15EFA" w14:paraId="178F130B" w14:textId="77777777" w:rsidTr="003240DE">
        <w:tc>
          <w:tcPr>
            <w:tcW w:w="2931" w:type="dxa"/>
          </w:tcPr>
          <w:p w14:paraId="75220829" w14:textId="77777777" w:rsidR="001B60F8" w:rsidRPr="00A15EFA" w:rsidRDefault="001B60F8" w:rsidP="003240DE">
            <w:pPr>
              <w:rPr>
                <w:rFonts w:cs="Times New Roman"/>
                <w:szCs w:val="21"/>
              </w:rPr>
            </w:pPr>
            <w:r w:rsidRPr="00A15EFA">
              <w:rPr>
                <w:rFonts w:cs="Times New Roman"/>
                <w:szCs w:val="21"/>
              </w:rPr>
              <w:t>Male,n(%)</w:t>
            </w:r>
          </w:p>
          <w:p w14:paraId="359FFDAA" w14:textId="77777777" w:rsidR="001B60F8" w:rsidRDefault="001B60F8" w:rsidP="003240DE">
            <w:pPr>
              <w:rPr>
                <w:rFonts w:cs="Times New Roman"/>
                <w:szCs w:val="21"/>
              </w:rPr>
            </w:pPr>
            <w:r w:rsidRPr="00326142">
              <w:rPr>
                <w:rFonts w:cs="Times New Roman"/>
              </w:rPr>
              <w:t xml:space="preserve">LVWT </w:t>
            </w:r>
            <w:r>
              <w:rPr>
                <w:rFonts w:cs="Times New Roman"/>
              </w:rPr>
              <w:t>≥15</w:t>
            </w:r>
            <w:r w:rsidRPr="00326142">
              <w:rPr>
                <w:rFonts w:cs="Times New Roman"/>
              </w:rPr>
              <w:t xml:space="preserve"> mm, n (%)</w:t>
            </w:r>
          </w:p>
          <w:p w14:paraId="55D32478" w14:textId="77777777" w:rsidR="001B60F8" w:rsidRPr="00A15EFA" w:rsidRDefault="001B60F8" w:rsidP="003240DE">
            <w:pPr>
              <w:rPr>
                <w:rFonts w:cs="Times New Roman"/>
                <w:szCs w:val="21"/>
              </w:rPr>
            </w:pPr>
            <w:r>
              <w:rPr>
                <w:rFonts w:cs="Times New Roman"/>
                <w:szCs w:val="21"/>
              </w:rPr>
              <w:t>Maximal LVWT,mm</w:t>
            </w:r>
          </w:p>
        </w:tc>
        <w:tc>
          <w:tcPr>
            <w:tcW w:w="2070" w:type="dxa"/>
          </w:tcPr>
          <w:p w14:paraId="202AF4E6" w14:textId="77777777" w:rsidR="001B60F8" w:rsidRPr="00A15EFA" w:rsidRDefault="001B60F8" w:rsidP="003240DE">
            <w:pPr>
              <w:rPr>
                <w:rFonts w:cs="Times New Roman"/>
                <w:szCs w:val="21"/>
              </w:rPr>
            </w:pPr>
            <w:r w:rsidRPr="00A15EFA">
              <w:rPr>
                <w:rFonts w:cs="Times New Roman"/>
                <w:szCs w:val="21"/>
              </w:rPr>
              <w:t>40(47)</w:t>
            </w:r>
          </w:p>
          <w:p w14:paraId="2B01E536" w14:textId="77777777" w:rsidR="001B60F8" w:rsidRPr="00A15EFA" w:rsidRDefault="001B60F8" w:rsidP="003240DE">
            <w:pPr>
              <w:rPr>
                <w:rFonts w:cs="Times New Roman"/>
                <w:szCs w:val="21"/>
              </w:rPr>
            </w:pPr>
            <w:r>
              <w:rPr>
                <w:rFonts w:cs="Times New Roman" w:hint="eastAsia"/>
                <w:szCs w:val="21"/>
              </w:rPr>
              <w:t>9</w:t>
            </w:r>
            <w:r>
              <w:rPr>
                <w:rFonts w:cs="Times New Roman"/>
                <w:szCs w:val="21"/>
              </w:rPr>
              <w:t>(49)</w:t>
            </w:r>
          </w:p>
          <w:p w14:paraId="02C3114D" w14:textId="77777777" w:rsidR="001B60F8" w:rsidRPr="00A15EFA" w:rsidRDefault="001B60F8" w:rsidP="003240DE">
            <w:pPr>
              <w:rPr>
                <w:rFonts w:cs="Times New Roman"/>
                <w:szCs w:val="21"/>
              </w:rPr>
            </w:pPr>
            <w:r w:rsidRPr="00326142">
              <w:rPr>
                <w:rFonts w:cs="Times New Roman"/>
              </w:rPr>
              <w:t>14.</w:t>
            </w:r>
            <w:r>
              <w:rPr>
                <w:rFonts w:cs="Times New Roman"/>
              </w:rPr>
              <w:t>4</w:t>
            </w:r>
            <w:r w:rsidRPr="00326142">
              <w:rPr>
                <w:rFonts w:cs="Times New Roman"/>
              </w:rPr>
              <w:t>±2.</w:t>
            </w:r>
            <w:r>
              <w:rPr>
                <w:rFonts w:cs="Times New Roman"/>
              </w:rPr>
              <w:t>0</w:t>
            </w:r>
          </w:p>
        </w:tc>
        <w:tc>
          <w:tcPr>
            <w:tcW w:w="2138" w:type="dxa"/>
          </w:tcPr>
          <w:p w14:paraId="107B71CB" w14:textId="77777777" w:rsidR="001B60F8" w:rsidRPr="00A15EFA" w:rsidRDefault="001B60F8" w:rsidP="003240DE">
            <w:pPr>
              <w:rPr>
                <w:rFonts w:cs="Times New Roman"/>
                <w:szCs w:val="21"/>
              </w:rPr>
            </w:pPr>
            <w:r w:rsidRPr="00A15EFA">
              <w:rPr>
                <w:rFonts w:cs="Times New Roman"/>
                <w:szCs w:val="21"/>
              </w:rPr>
              <w:t>44(54)</w:t>
            </w:r>
          </w:p>
          <w:p w14:paraId="6AC942C6" w14:textId="77777777" w:rsidR="001B60F8" w:rsidRPr="00A15EFA" w:rsidRDefault="001B60F8" w:rsidP="003240DE">
            <w:pPr>
              <w:rPr>
                <w:rFonts w:cs="Times New Roman"/>
                <w:szCs w:val="21"/>
              </w:rPr>
            </w:pPr>
            <w:r>
              <w:rPr>
                <w:rFonts w:cs="Times New Roman" w:hint="eastAsia"/>
                <w:szCs w:val="21"/>
              </w:rPr>
              <w:t>1</w:t>
            </w:r>
            <w:r>
              <w:rPr>
                <w:rFonts w:cs="Times New Roman"/>
                <w:szCs w:val="21"/>
              </w:rPr>
              <w:t>2(52)</w:t>
            </w:r>
          </w:p>
          <w:p w14:paraId="4613A874" w14:textId="77777777" w:rsidR="001B60F8" w:rsidRPr="00A15EFA" w:rsidRDefault="001B60F8" w:rsidP="003240DE">
            <w:pPr>
              <w:rPr>
                <w:rFonts w:cs="Times New Roman"/>
                <w:szCs w:val="21"/>
              </w:rPr>
            </w:pPr>
            <w:r w:rsidRPr="00326142">
              <w:rPr>
                <w:rFonts w:cs="Times New Roman"/>
              </w:rPr>
              <w:t>14.</w:t>
            </w:r>
            <w:r>
              <w:rPr>
                <w:rFonts w:cs="Times New Roman"/>
              </w:rPr>
              <w:t>6</w:t>
            </w:r>
            <w:r w:rsidRPr="00326142">
              <w:rPr>
                <w:rFonts w:cs="Times New Roman"/>
              </w:rPr>
              <w:t>±</w:t>
            </w:r>
            <w:r>
              <w:rPr>
                <w:rFonts w:cs="Times New Roman"/>
              </w:rPr>
              <w:t>1</w:t>
            </w:r>
            <w:r w:rsidRPr="00326142">
              <w:rPr>
                <w:rFonts w:cs="Times New Roman"/>
              </w:rPr>
              <w:t>.</w:t>
            </w:r>
            <w:r>
              <w:rPr>
                <w:rFonts w:cs="Times New Roman"/>
              </w:rPr>
              <w:t>2</w:t>
            </w:r>
          </w:p>
        </w:tc>
        <w:tc>
          <w:tcPr>
            <w:tcW w:w="1501" w:type="dxa"/>
          </w:tcPr>
          <w:p w14:paraId="7B325429" w14:textId="77777777" w:rsidR="001B60F8" w:rsidRPr="00A15EFA" w:rsidRDefault="001B60F8" w:rsidP="003240DE">
            <w:pPr>
              <w:rPr>
                <w:rFonts w:cs="Times New Roman"/>
                <w:szCs w:val="21"/>
              </w:rPr>
            </w:pPr>
            <w:r>
              <w:rPr>
                <w:rFonts w:cs="Times New Roman" w:hint="eastAsia"/>
                <w:szCs w:val="21"/>
              </w:rPr>
              <w:t>0</w:t>
            </w:r>
            <w:r>
              <w:rPr>
                <w:rFonts w:cs="Times New Roman"/>
                <w:szCs w:val="21"/>
              </w:rPr>
              <w:t>.96</w:t>
            </w:r>
          </w:p>
          <w:p w14:paraId="54D3A9EC" w14:textId="77777777" w:rsidR="001B60F8" w:rsidRPr="00A15EFA" w:rsidRDefault="001B60F8" w:rsidP="003240DE">
            <w:pPr>
              <w:rPr>
                <w:rFonts w:cs="Times New Roman"/>
                <w:szCs w:val="21"/>
              </w:rPr>
            </w:pPr>
            <w:r>
              <w:rPr>
                <w:rFonts w:cs="Times New Roman" w:hint="eastAsia"/>
                <w:szCs w:val="21"/>
              </w:rPr>
              <w:t>0</w:t>
            </w:r>
            <w:r>
              <w:rPr>
                <w:rFonts w:cs="Times New Roman"/>
                <w:szCs w:val="21"/>
              </w:rPr>
              <w:t>.85</w:t>
            </w:r>
          </w:p>
          <w:p w14:paraId="572A947B" w14:textId="77777777" w:rsidR="001B60F8" w:rsidRPr="00A15EFA" w:rsidRDefault="001B60F8" w:rsidP="003240DE">
            <w:pPr>
              <w:rPr>
                <w:rFonts w:cs="Times New Roman"/>
                <w:szCs w:val="21"/>
              </w:rPr>
            </w:pPr>
            <w:r>
              <w:rPr>
                <w:rFonts w:cs="Times New Roman" w:hint="eastAsia"/>
              </w:rPr>
              <w:t>0</w:t>
            </w:r>
            <w:r>
              <w:rPr>
                <w:rFonts w:cs="Times New Roman"/>
              </w:rPr>
              <w:t>.89</w:t>
            </w:r>
          </w:p>
        </w:tc>
      </w:tr>
      <w:tr w:rsidR="001B60F8" w:rsidRPr="00A15EFA" w14:paraId="5DD1B1EB" w14:textId="77777777" w:rsidTr="003240DE">
        <w:tc>
          <w:tcPr>
            <w:tcW w:w="2931" w:type="dxa"/>
          </w:tcPr>
          <w:p w14:paraId="66DA5719" w14:textId="77777777" w:rsidR="001B60F8" w:rsidRPr="00A15EFA" w:rsidRDefault="001B60F8" w:rsidP="003240DE">
            <w:pPr>
              <w:rPr>
                <w:rFonts w:cs="Times New Roman"/>
                <w:szCs w:val="21"/>
              </w:rPr>
            </w:pPr>
            <w:r w:rsidRPr="00A15EFA">
              <w:rPr>
                <w:rFonts w:cs="Times New Roman"/>
                <w:szCs w:val="21"/>
              </w:rPr>
              <w:t>LV mass(g/m</w:t>
            </w:r>
            <w:r w:rsidRPr="00A15EFA">
              <w:rPr>
                <w:rFonts w:cs="Times New Roman"/>
                <w:szCs w:val="21"/>
                <w:vertAlign w:val="superscript"/>
              </w:rPr>
              <w:t>2</w:t>
            </w:r>
            <w:r w:rsidRPr="00A15EFA">
              <w:rPr>
                <w:rFonts w:cs="Times New Roman"/>
                <w:szCs w:val="21"/>
              </w:rPr>
              <w:t>)</w:t>
            </w:r>
          </w:p>
        </w:tc>
        <w:tc>
          <w:tcPr>
            <w:tcW w:w="2070" w:type="dxa"/>
          </w:tcPr>
          <w:p w14:paraId="614C4C92" w14:textId="77777777" w:rsidR="001B60F8" w:rsidRPr="00A15EFA" w:rsidRDefault="001B60F8" w:rsidP="003240DE">
            <w:pPr>
              <w:rPr>
                <w:rFonts w:cs="Times New Roman"/>
                <w:szCs w:val="21"/>
              </w:rPr>
            </w:pPr>
            <w:r w:rsidRPr="00326142">
              <w:rPr>
                <w:rFonts w:cs="Times New Roman"/>
              </w:rPr>
              <w:t>7</w:t>
            </w:r>
            <w:r>
              <w:rPr>
                <w:rFonts w:cs="Times New Roman"/>
              </w:rPr>
              <w:t>6</w:t>
            </w:r>
            <w:r w:rsidRPr="00326142">
              <w:rPr>
                <w:rFonts w:cs="Times New Roman"/>
              </w:rPr>
              <w:t>.9±18.2</w:t>
            </w:r>
          </w:p>
        </w:tc>
        <w:tc>
          <w:tcPr>
            <w:tcW w:w="2138" w:type="dxa"/>
          </w:tcPr>
          <w:p w14:paraId="47226BDC" w14:textId="77777777" w:rsidR="001B60F8" w:rsidRPr="00A15EFA" w:rsidRDefault="001B60F8" w:rsidP="003240DE">
            <w:pPr>
              <w:rPr>
                <w:rFonts w:cs="Times New Roman"/>
                <w:szCs w:val="21"/>
              </w:rPr>
            </w:pPr>
            <w:r w:rsidRPr="00182678">
              <w:rPr>
                <w:rFonts w:cs="Times New Roman"/>
              </w:rPr>
              <w:t>7</w:t>
            </w:r>
            <w:r>
              <w:rPr>
                <w:rFonts w:cs="Times New Roman"/>
              </w:rPr>
              <w:t>5.7</w:t>
            </w:r>
            <w:r>
              <w:rPr>
                <w:rFonts w:cs="Times New Roman" w:hint="eastAsia"/>
              </w:rPr>
              <w:t>.</w:t>
            </w:r>
            <w:r w:rsidRPr="00182678">
              <w:rPr>
                <w:rFonts w:cs="Times New Roman"/>
              </w:rPr>
              <w:t>±24</w:t>
            </w:r>
            <w:r>
              <w:rPr>
                <w:rFonts w:cs="Times New Roman"/>
              </w:rPr>
              <w:t>.1</w:t>
            </w:r>
          </w:p>
        </w:tc>
        <w:tc>
          <w:tcPr>
            <w:tcW w:w="1501" w:type="dxa"/>
          </w:tcPr>
          <w:p w14:paraId="0E90A334" w14:textId="77777777" w:rsidR="001B60F8" w:rsidRPr="00A15EFA" w:rsidRDefault="001B60F8" w:rsidP="003240DE">
            <w:pPr>
              <w:rPr>
                <w:rFonts w:cs="Times New Roman"/>
                <w:szCs w:val="21"/>
              </w:rPr>
            </w:pPr>
            <w:r>
              <w:rPr>
                <w:rFonts w:cs="Times New Roman" w:hint="eastAsia"/>
              </w:rPr>
              <w:t>0</w:t>
            </w:r>
            <w:r>
              <w:rPr>
                <w:rFonts w:cs="Times New Roman"/>
              </w:rPr>
              <w:t>.71</w:t>
            </w:r>
          </w:p>
        </w:tc>
      </w:tr>
    </w:tbl>
    <w:p w14:paraId="4EEBD1CD" w14:textId="1E5CA732" w:rsidR="00DF0EB9" w:rsidRDefault="001B60F8" w:rsidP="001B60F8">
      <w:pPr>
        <w:spacing w:line="480" w:lineRule="auto"/>
        <w:rPr>
          <w:rFonts w:cs="Times New Roman"/>
          <w:i/>
        </w:rPr>
        <w:sectPr w:rsidR="00DF0EB9"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pPr>
      <w:bookmarkStart w:id="4" w:name="_Hlk104884721"/>
      <w:r w:rsidRPr="00FE7E8B">
        <w:rPr>
          <w:rFonts w:cs="Times New Roman"/>
          <w:i/>
        </w:rPr>
        <w:t xml:space="preserve">CA, cardiac amyloidosis; HCM, hypertrophic cardiomyopathy; LV mass LVWT, left ventricular wall thickness. </w:t>
      </w:r>
      <w:r w:rsidR="007960B9" w:rsidRPr="007960B9">
        <w:rPr>
          <w:rFonts w:cs="Times New Roman"/>
          <w:i/>
        </w:rPr>
        <w:t xml:space="preserve">Continuous variables are presented </w:t>
      </w:r>
      <w:r w:rsidR="00554C41" w:rsidRPr="00554C41">
        <w:rPr>
          <w:rFonts w:cs="Times New Roman"/>
          <w:i/>
        </w:rPr>
        <w:t>as</w:t>
      </w:r>
      <w:r w:rsidR="000156AC">
        <w:rPr>
          <w:rFonts w:cs="Times New Roman"/>
          <w:i/>
        </w:rPr>
        <w:t xml:space="preserve"> </w:t>
      </w:r>
      <w:r w:rsidR="000156AC" w:rsidRPr="00A00453">
        <w:rPr>
          <w:rFonts w:cs="Times New Roman"/>
          <w:i/>
        </w:rPr>
        <w:t>mean ± standard deviation</w:t>
      </w:r>
      <w:r w:rsidR="000156AC">
        <w:rPr>
          <w:rFonts w:cs="Times New Roman"/>
          <w:i/>
        </w:rPr>
        <w:t xml:space="preserve"> or as</w:t>
      </w:r>
      <w:r w:rsidR="00554C41" w:rsidRPr="00554C41">
        <w:rPr>
          <w:rFonts w:cs="Times New Roman"/>
          <w:i/>
        </w:rPr>
        <w:t xml:space="preserve"> median, interquartile range, and 95% confidence interval (CI).</w:t>
      </w:r>
      <w:r w:rsidR="007960B9" w:rsidRPr="007960B9">
        <w:t xml:space="preserve"> </w:t>
      </w:r>
      <w:r w:rsidR="007960B9">
        <w:rPr>
          <w:rFonts w:cs="Times New Roman"/>
          <w:i/>
        </w:rPr>
        <w:t>C</w:t>
      </w:r>
      <w:r w:rsidR="007960B9" w:rsidRPr="007960B9">
        <w:rPr>
          <w:rFonts w:cs="Times New Roman"/>
          <w:i/>
        </w:rPr>
        <w:t>ategorical variables are presented as n (%).</w:t>
      </w:r>
    </w:p>
    <w:p w14:paraId="53959C79" w14:textId="2D0C60D7" w:rsidR="00DE520B" w:rsidRPr="00FE7E8B" w:rsidRDefault="00DE520B" w:rsidP="001B60F8">
      <w:pPr>
        <w:spacing w:line="480" w:lineRule="auto"/>
        <w:rPr>
          <w:rFonts w:cs="Times New Roman"/>
          <w:i/>
        </w:rPr>
      </w:pPr>
    </w:p>
    <w:bookmarkEnd w:id="4"/>
    <w:p w14:paraId="28DD52B6" w14:textId="4844B172" w:rsidR="001B60F8" w:rsidRPr="001C75CC" w:rsidRDefault="001B60F8" w:rsidP="00E91925">
      <w:pPr>
        <w:pStyle w:val="2"/>
        <w:rPr>
          <w:bCs/>
          <w:lang w:eastAsia="zh-CN"/>
        </w:rPr>
      </w:pPr>
      <w:r>
        <w:rPr>
          <w:rFonts w:hint="eastAsia"/>
          <w:bCs/>
          <w:lang w:eastAsia="zh-CN"/>
        </w:rPr>
        <w:t>T</w:t>
      </w:r>
      <w:r>
        <w:rPr>
          <w:bCs/>
          <w:lang w:eastAsia="zh-CN"/>
        </w:rPr>
        <w:t xml:space="preserve">able </w:t>
      </w:r>
      <w:r w:rsidR="00E91925">
        <w:rPr>
          <w:bCs/>
          <w:lang w:eastAsia="zh-CN"/>
        </w:rPr>
        <w:t>S</w:t>
      </w:r>
      <w:r>
        <w:rPr>
          <w:rFonts w:hint="eastAsia"/>
          <w:bCs/>
          <w:lang w:eastAsia="zh-CN"/>
        </w:rPr>
        <w:t>2</w:t>
      </w:r>
      <w:r>
        <w:rPr>
          <w:bCs/>
          <w:lang w:eastAsia="zh-CN"/>
        </w:rPr>
        <w:t>.</w:t>
      </w:r>
      <w:r w:rsidRPr="00363B08">
        <w:t xml:space="preserve"> </w:t>
      </w:r>
      <w:r w:rsidRPr="005A027F">
        <w:t>Values of GLevNonU in the different subgroups</w:t>
      </w:r>
    </w:p>
    <w:tbl>
      <w:tblPr>
        <w:tblStyle w:val="aff9"/>
        <w:tblW w:w="13970" w:type="dxa"/>
        <w:tblLook w:val="04A0" w:firstRow="1" w:lastRow="0" w:firstColumn="1" w:lastColumn="0" w:noHBand="0" w:noVBand="1"/>
      </w:tblPr>
      <w:tblGrid>
        <w:gridCol w:w="222"/>
        <w:gridCol w:w="1350"/>
        <w:gridCol w:w="2306"/>
        <w:gridCol w:w="2523"/>
        <w:gridCol w:w="2523"/>
        <w:gridCol w:w="2523"/>
        <w:gridCol w:w="2523"/>
      </w:tblGrid>
      <w:tr w:rsidR="001B60F8" w:rsidRPr="0003555A" w14:paraId="3D650130" w14:textId="77777777" w:rsidTr="003240DE">
        <w:trPr>
          <w:cnfStyle w:val="100000000000" w:firstRow="1" w:lastRow="0" w:firstColumn="0" w:lastColumn="0" w:oddVBand="0" w:evenVBand="0" w:oddHBand="0" w:evenHBand="0" w:firstRowFirstColumn="0" w:firstRowLastColumn="0" w:lastRowFirstColumn="0" w:lastRowLastColumn="0"/>
        </w:trPr>
        <w:tc>
          <w:tcPr>
            <w:tcW w:w="222" w:type="dxa"/>
          </w:tcPr>
          <w:p w14:paraId="4DBACD1C" w14:textId="77777777" w:rsidR="001B60F8" w:rsidRPr="0003555A" w:rsidRDefault="001B60F8" w:rsidP="003240DE">
            <w:pPr>
              <w:rPr>
                <w:rFonts w:cs="Times New Roman"/>
                <w:szCs w:val="21"/>
              </w:rPr>
            </w:pPr>
          </w:p>
        </w:tc>
        <w:tc>
          <w:tcPr>
            <w:tcW w:w="1350" w:type="dxa"/>
          </w:tcPr>
          <w:p w14:paraId="125B7F78" w14:textId="77777777" w:rsidR="001B60F8" w:rsidRPr="0003555A" w:rsidRDefault="001B60F8" w:rsidP="003240DE">
            <w:pPr>
              <w:rPr>
                <w:rFonts w:cs="Times New Roman"/>
                <w:szCs w:val="21"/>
              </w:rPr>
            </w:pPr>
          </w:p>
        </w:tc>
        <w:tc>
          <w:tcPr>
            <w:tcW w:w="2306" w:type="dxa"/>
            <w:noWrap/>
            <w:hideMark/>
          </w:tcPr>
          <w:p w14:paraId="5B35DF55" w14:textId="77777777" w:rsidR="001B60F8" w:rsidRPr="0003555A" w:rsidRDefault="001B60F8" w:rsidP="003240DE">
            <w:pPr>
              <w:rPr>
                <w:rFonts w:cs="Times New Roman"/>
                <w:szCs w:val="21"/>
              </w:rPr>
            </w:pPr>
            <w:r w:rsidRPr="0003555A">
              <w:rPr>
                <w:rFonts w:cs="Times New Roman"/>
                <w:szCs w:val="21"/>
              </w:rPr>
              <w:t>CA-(n=17)</w:t>
            </w:r>
          </w:p>
        </w:tc>
        <w:tc>
          <w:tcPr>
            <w:tcW w:w="2523" w:type="dxa"/>
            <w:noWrap/>
            <w:hideMark/>
          </w:tcPr>
          <w:p w14:paraId="3CC59752" w14:textId="77777777" w:rsidR="001B60F8" w:rsidRPr="0003555A" w:rsidRDefault="001B60F8" w:rsidP="003240DE">
            <w:pPr>
              <w:rPr>
                <w:rFonts w:cs="Times New Roman"/>
                <w:szCs w:val="21"/>
              </w:rPr>
            </w:pPr>
            <w:r w:rsidRPr="0003555A">
              <w:rPr>
                <w:rFonts w:cs="Times New Roman"/>
                <w:szCs w:val="21"/>
              </w:rPr>
              <w:t>CA+</w:t>
            </w:r>
            <w:r w:rsidRPr="0003555A">
              <w:rPr>
                <w:rFonts w:cs="Times New Roman" w:hint="eastAsia"/>
                <w:szCs w:val="21"/>
              </w:rPr>
              <w:t>(</w:t>
            </w:r>
            <w:r w:rsidRPr="0003555A">
              <w:rPr>
                <w:rFonts w:cs="Times New Roman"/>
                <w:szCs w:val="21"/>
              </w:rPr>
              <w:t>n=68)</w:t>
            </w:r>
          </w:p>
        </w:tc>
        <w:tc>
          <w:tcPr>
            <w:tcW w:w="2523" w:type="dxa"/>
            <w:noWrap/>
            <w:hideMark/>
          </w:tcPr>
          <w:p w14:paraId="034AFDA8" w14:textId="77777777" w:rsidR="001B60F8" w:rsidRPr="0003555A" w:rsidRDefault="001B60F8" w:rsidP="003240DE">
            <w:pPr>
              <w:rPr>
                <w:rFonts w:cs="Times New Roman"/>
                <w:szCs w:val="21"/>
              </w:rPr>
            </w:pPr>
            <w:r w:rsidRPr="0003555A">
              <w:rPr>
                <w:rFonts w:cs="Times New Roman"/>
                <w:szCs w:val="21"/>
              </w:rPr>
              <w:t>HCM-(n=31)</w:t>
            </w:r>
          </w:p>
        </w:tc>
        <w:tc>
          <w:tcPr>
            <w:tcW w:w="2523" w:type="dxa"/>
            <w:noWrap/>
            <w:hideMark/>
          </w:tcPr>
          <w:p w14:paraId="6EF1D9D7" w14:textId="77777777" w:rsidR="001B60F8" w:rsidRPr="0003555A" w:rsidRDefault="001B60F8" w:rsidP="003240DE">
            <w:pPr>
              <w:rPr>
                <w:rFonts w:cs="Times New Roman"/>
                <w:szCs w:val="21"/>
              </w:rPr>
            </w:pPr>
            <w:r w:rsidRPr="0003555A">
              <w:rPr>
                <w:rFonts w:cs="Times New Roman"/>
                <w:szCs w:val="21"/>
              </w:rPr>
              <w:t>HCM+(n=51)</w:t>
            </w:r>
          </w:p>
        </w:tc>
        <w:tc>
          <w:tcPr>
            <w:tcW w:w="2523" w:type="dxa"/>
            <w:noWrap/>
            <w:hideMark/>
          </w:tcPr>
          <w:p w14:paraId="4F3EF5B5" w14:textId="77777777" w:rsidR="001B60F8" w:rsidRPr="0003555A" w:rsidRDefault="001B60F8" w:rsidP="003240DE">
            <w:pPr>
              <w:rPr>
                <w:rFonts w:cs="Times New Roman"/>
                <w:szCs w:val="21"/>
              </w:rPr>
            </w:pPr>
            <w:r w:rsidRPr="0003555A">
              <w:rPr>
                <w:rFonts w:cs="Times New Roman"/>
                <w:szCs w:val="21"/>
              </w:rPr>
              <w:t>Control(n=84)</w:t>
            </w:r>
          </w:p>
        </w:tc>
      </w:tr>
      <w:tr w:rsidR="001B60F8" w:rsidRPr="0003555A" w14:paraId="24C39C3B" w14:textId="77777777" w:rsidTr="003240DE">
        <w:tc>
          <w:tcPr>
            <w:tcW w:w="0" w:type="auto"/>
          </w:tcPr>
          <w:p w14:paraId="66EB5F82" w14:textId="77777777" w:rsidR="001B60F8" w:rsidRPr="00B65925" w:rsidRDefault="001B60F8" w:rsidP="003240DE">
            <w:pPr>
              <w:rPr>
                <w:rFonts w:cs="Times New Roman"/>
                <w:color w:val="FF0000"/>
                <w:szCs w:val="21"/>
              </w:rPr>
            </w:pPr>
          </w:p>
        </w:tc>
        <w:tc>
          <w:tcPr>
            <w:tcW w:w="1350" w:type="dxa"/>
          </w:tcPr>
          <w:p w14:paraId="6EBBEC98" w14:textId="60533827" w:rsidR="001B60F8" w:rsidRPr="00B65925" w:rsidRDefault="005A2556" w:rsidP="003240DE">
            <w:pPr>
              <w:rPr>
                <w:rFonts w:cs="Times New Roman"/>
                <w:color w:val="FF0000"/>
                <w:szCs w:val="21"/>
              </w:rPr>
            </w:pPr>
            <w:r w:rsidRPr="00A63AA4">
              <w:rPr>
                <w:rFonts w:cs="Times New Roman"/>
              </w:rPr>
              <w:t>GLevNonU</w:t>
            </w:r>
          </w:p>
        </w:tc>
        <w:tc>
          <w:tcPr>
            <w:tcW w:w="2306" w:type="dxa"/>
            <w:noWrap/>
            <w:hideMark/>
          </w:tcPr>
          <w:p w14:paraId="3A70726A" w14:textId="77777777" w:rsidR="001B60F8" w:rsidRPr="0003555A" w:rsidRDefault="001B60F8" w:rsidP="003240DE">
            <w:pPr>
              <w:rPr>
                <w:rFonts w:cs="Times New Roman"/>
                <w:szCs w:val="21"/>
              </w:rPr>
            </w:pPr>
            <w:r w:rsidRPr="0003555A">
              <w:rPr>
                <w:rFonts w:cs="Times New Roman"/>
                <w:szCs w:val="21"/>
              </w:rPr>
              <w:t>18.71(17.62, 22.29)</w:t>
            </w:r>
          </w:p>
        </w:tc>
        <w:tc>
          <w:tcPr>
            <w:tcW w:w="0" w:type="auto"/>
            <w:noWrap/>
            <w:hideMark/>
          </w:tcPr>
          <w:p w14:paraId="06E21544" w14:textId="77777777" w:rsidR="001B60F8" w:rsidRPr="0003555A" w:rsidRDefault="001B60F8" w:rsidP="003240DE">
            <w:pPr>
              <w:rPr>
                <w:rFonts w:cs="Times New Roman"/>
                <w:szCs w:val="21"/>
              </w:rPr>
            </w:pPr>
            <w:r w:rsidRPr="0003555A">
              <w:rPr>
                <w:rFonts w:cs="Times New Roman"/>
                <w:szCs w:val="21"/>
              </w:rPr>
              <w:t>26.12(22.87, 32.45)</w:t>
            </w:r>
          </w:p>
        </w:tc>
        <w:tc>
          <w:tcPr>
            <w:tcW w:w="0" w:type="auto"/>
            <w:noWrap/>
            <w:hideMark/>
          </w:tcPr>
          <w:p w14:paraId="2A56937E" w14:textId="77777777" w:rsidR="001B60F8" w:rsidRPr="0003555A" w:rsidRDefault="001B60F8" w:rsidP="003240DE">
            <w:pPr>
              <w:rPr>
                <w:rFonts w:cs="Times New Roman"/>
                <w:szCs w:val="21"/>
              </w:rPr>
            </w:pPr>
            <w:r w:rsidRPr="0003555A">
              <w:rPr>
                <w:rFonts w:cs="Times New Roman"/>
                <w:szCs w:val="21"/>
              </w:rPr>
              <w:t>27.12(23.41, 30.60)</w:t>
            </w:r>
          </w:p>
        </w:tc>
        <w:tc>
          <w:tcPr>
            <w:tcW w:w="0" w:type="auto"/>
            <w:noWrap/>
            <w:hideMark/>
          </w:tcPr>
          <w:p w14:paraId="56650EAE" w14:textId="77777777" w:rsidR="001B60F8" w:rsidRPr="0003555A" w:rsidRDefault="001B60F8" w:rsidP="003240DE">
            <w:pPr>
              <w:rPr>
                <w:rFonts w:cs="Times New Roman"/>
                <w:szCs w:val="21"/>
              </w:rPr>
            </w:pPr>
            <w:r w:rsidRPr="0003555A">
              <w:rPr>
                <w:rFonts w:cs="Times New Roman"/>
                <w:szCs w:val="21"/>
              </w:rPr>
              <w:t>39.55(35.38, 47.24)</w:t>
            </w:r>
          </w:p>
        </w:tc>
        <w:tc>
          <w:tcPr>
            <w:tcW w:w="0" w:type="auto"/>
            <w:noWrap/>
            <w:hideMark/>
          </w:tcPr>
          <w:p w14:paraId="7DF1151B" w14:textId="77777777" w:rsidR="001B60F8" w:rsidRPr="0003555A" w:rsidRDefault="001B60F8" w:rsidP="003240DE">
            <w:pPr>
              <w:rPr>
                <w:rFonts w:cs="Times New Roman"/>
                <w:szCs w:val="21"/>
              </w:rPr>
            </w:pPr>
            <w:r w:rsidRPr="0003555A">
              <w:rPr>
                <w:rFonts w:cs="Times New Roman"/>
                <w:szCs w:val="21"/>
              </w:rPr>
              <w:t>12.24(9.031, 15.50)</w:t>
            </w:r>
          </w:p>
        </w:tc>
      </w:tr>
      <w:tr w:rsidR="001B60F8" w:rsidRPr="0003555A" w14:paraId="22FC8519" w14:textId="77777777" w:rsidTr="003240DE">
        <w:tc>
          <w:tcPr>
            <w:tcW w:w="0" w:type="auto"/>
          </w:tcPr>
          <w:p w14:paraId="7F4D3ACD" w14:textId="77777777" w:rsidR="001B60F8" w:rsidRPr="0003555A" w:rsidRDefault="001B60F8" w:rsidP="003240DE">
            <w:pPr>
              <w:rPr>
                <w:rFonts w:cs="Times New Roman"/>
                <w:szCs w:val="21"/>
              </w:rPr>
            </w:pPr>
          </w:p>
        </w:tc>
        <w:tc>
          <w:tcPr>
            <w:tcW w:w="1350" w:type="dxa"/>
          </w:tcPr>
          <w:p w14:paraId="50D5D397" w14:textId="77777777" w:rsidR="001B60F8" w:rsidRPr="0003555A" w:rsidRDefault="001B60F8" w:rsidP="003240DE">
            <w:pPr>
              <w:rPr>
                <w:rFonts w:cs="Times New Roman"/>
                <w:szCs w:val="21"/>
              </w:rPr>
            </w:pPr>
            <w:r w:rsidRPr="0003555A">
              <w:rPr>
                <w:rFonts w:cs="Times New Roman"/>
                <w:szCs w:val="21"/>
              </w:rPr>
              <w:t xml:space="preserve">95% </w:t>
            </w:r>
            <w:r w:rsidRPr="0003555A">
              <w:rPr>
                <w:rFonts w:cs="Times New Roman" w:hint="eastAsia"/>
                <w:szCs w:val="21"/>
              </w:rPr>
              <w:t>C</w:t>
            </w:r>
            <w:r w:rsidRPr="0003555A">
              <w:rPr>
                <w:rFonts w:cs="Times New Roman"/>
                <w:szCs w:val="21"/>
              </w:rPr>
              <w:t>I</w:t>
            </w:r>
          </w:p>
        </w:tc>
        <w:tc>
          <w:tcPr>
            <w:tcW w:w="2306" w:type="dxa"/>
            <w:noWrap/>
            <w:hideMark/>
          </w:tcPr>
          <w:p w14:paraId="36233148" w14:textId="77777777" w:rsidR="001B60F8" w:rsidRPr="0003555A" w:rsidRDefault="001B60F8" w:rsidP="003240DE">
            <w:pPr>
              <w:rPr>
                <w:rFonts w:cs="Times New Roman"/>
                <w:szCs w:val="21"/>
              </w:rPr>
            </w:pPr>
            <w:r w:rsidRPr="0003555A">
              <w:rPr>
                <w:rFonts w:cs="Times New Roman"/>
                <w:szCs w:val="21"/>
              </w:rPr>
              <w:t>17.66-22.10</w:t>
            </w:r>
          </w:p>
        </w:tc>
        <w:tc>
          <w:tcPr>
            <w:tcW w:w="0" w:type="auto"/>
            <w:noWrap/>
            <w:hideMark/>
          </w:tcPr>
          <w:p w14:paraId="7F26606F" w14:textId="77777777" w:rsidR="001B60F8" w:rsidRPr="0003555A" w:rsidRDefault="001B60F8" w:rsidP="003240DE">
            <w:pPr>
              <w:rPr>
                <w:rFonts w:cs="Times New Roman"/>
                <w:szCs w:val="21"/>
              </w:rPr>
            </w:pPr>
            <w:r w:rsidRPr="0003555A">
              <w:rPr>
                <w:rFonts w:cs="Times New Roman"/>
                <w:szCs w:val="21"/>
              </w:rPr>
              <w:t>24.25-29.04</w:t>
            </w:r>
          </w:p>
        </w:tc>
        <w:tc>
          <w:tcPr>
            <w:tcW w:w="0" w:type="auto"/>
            <w:noWrap/>
            <w:hideMark/>
          </w:tcPr>
          <w:p w14:paraId="7E4E74E3" w14:textId="77777777" w:rsidR="001B60F8" w:rsidRPr="0003555A" w:rsidRDefault="001B60F8" w:rsidP="003240DE">
            <w:pPr>
              <w:rPr>
                <w:rFonts w:cs="Times New Roman"/>
                <w:szCs w:val="21"/>
              </w:rPr>
            </w:pPr>
            <w:r w:rsidRPr="0003555A">
              <w:rPr>
                <w:rFonts w:cs="Times New Roman"/>
                <w:szCs w:val="21"/>
              </w:rPr>
              <w:t>24.49-29.49</w:t>
            </w:r>
          </w:p>
        </w:tc>
        <w:tc>
          <w:tcPr>
            <w:tcW w:w="0" w:type="auto"/>
            <w:noWrap/>
            <w:hideMark/>
          </w:tcPr>
          <w:p w14:paraId="22E71E54" w14:textId="77777777" w:rsidR="001B60F8" w:rsidRPr="0003555A" w:rsidRDefault="001B60F8" w:rsidP="003240DE">
            <w:pPr>
              <w:rPr>
                <w:rFonts w:cs="Times New Roman"/>
                <w:szCs w:val="21"/>
              </w:rPr>
            </w:pPr>
            <w:r w:rsidRPr="0003555A">
              <w:rPr>
                <w:rFonts w:cs="Times New Roman"/>
                <w:szCs w:val="21"/>
              </w:rPr>
              <w:t>36.70-42.51</w:t>
            </w:r>
          </w:p>
        </w:tc>
        <w:tc>
          <w:tcPr>
            <w:tcW w:w="0" w:type="auto"/>
            <w:noWrap/>
            <w:hideMark/>
          </w:tcPr>
          <w:p w14:paraId="17834BB8" w14:textId="77777777" w:rsidR="001B60F8" w:rsidRPr="0003555A" w:rsidRDefault="001B60F8" w:rsidP="003240DE">
            <w:pPr>
              <w:rPr>
                <w:rFonts w:cs="Times New Roman"/>
                <w:szCs w:val="21"/>
              </w:rPr>
            </w:pPr>
            <w:r w:rsidRPr="0003555A">
              <w:rPr>
                <w:rFonts w:cs="Times New Roman"/>
                <w:szCs w:val="21"/>
              </w:rPr>
              <w:t>12.11-13.70</w:t>
            </w:r>
          </w:p>
        </w:tc>
      </w:tr>
    </w:tbl>
    <w:p w14:paraId="4C8ACCD9" w14:textId="3572784F" w:rsidR="001B60F8" w:rsidRPr="00FE7E8B" w:rsidRDefault="001E71DA" w:rsidP="001B60F8">
      <w:pPr>
        <w:spacing w:line="480" w:lineRule="auto"/>
        <w:rPr>
          <w:rFonts w:cs="Times New Roman"/>
          <w:i/>
        </w:rPr>
      </w:pPr>
      <w:bookmarkStart w:id="5" w:name="_Hlk104884749"/>
      <w:r w:rsidRPr="001E71DA">
        <w:rPr>
          <w:rFonts w:cs="Times New Roman"/>
          <w:i/>
        </w:rPr>
        <w:t>Abbreviations as Table S1.</w:t>
      </w:r>
      <w:r>
        <w:rPr>
          <w:rFonts w:cs="Times New Roman"/>
          <w:i/>
        </w:rPr>
        <w:t xml:space="preserve"> </w:t>
      </w:r>
      <w:r w:rsidR="001B60F8" w:rsidRPr="00FE7E8B">
        <w:rPr>
          <w:rFonts w:cs="Times New Roman"/>
          <w:i/>
        </w:rPr>
        <w:t>Data are presented as median, interquartile range, and 95% confidence interval (CI).</w:t>
      </w:r>
    </w:p>
    <w:p w14:paraId="03E18697" w14:textId="77777777" w:rsidR="001B60F8" w:rsidRPr="00E771E8" w:rsidRDefault="001B60F8" w:rsidP="001B60F8">
      <w:bookmarkStart w:id="6" w:name="_GoBack"/>
      <w:bookmarkEnd w:id="5"/>
      <w:bookmarkEnd w:id="6"/>
    </w:p>
    <w:p w14:paraId="7DF4F597" w14:textId="77777777" w:rsidR="001B60F8" w:rsidRPr="007C60F1" w:rsidRDefault="001B60F8" w:rsidP="001B60F8">
      <w:pPr>
        <w:rPr>
          <w:rFonts w:cs="Times New Roman"/>
        </w:rPr>
      </w:pPr>
      <w:r w:rsidRPr="005A027F">
        <w:rPr>
          <w:rFonts w:cs="Times New Roman"/>
        </w:rPr>
        <w:fldChar w:fldCharType="end"/>
      </w:r>
    </w:p>
    <w:p w14:paraId="7B65BC41" w14:textId="77777777" w:rsidR="00DE23E8" w:rsidRPr="001549D3" w:rsidRDefault="00DE23E8" w:rsidP="00654E8F">
      <w:pPr>
        <w:spacing w:before="240"/>
      </w:pPr>
    </w:p>
    <w:sectPr w:rsidR="00DE23E8" w:rsidRPr="001549D3" w:rsidSect="00DF0EB9">
      <w:pgSz w:w="15840" w:h="12240" w:orient="landscape"/>
      <w:pgMar w:top="1282" w:right="1138" w:bottom="1181"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DADFBE" w14:textId="77777777" w:rsidR="006C3FF1" w:rsidRDefault="006C3FF1" w:rsidP="00117666">
      <w:pPr>
        <w:spacing w:after="0"/>
      </w:pPr>
      <w:r>
        <w:separator/>
      </w:r>
    </w:p>
  </w:endnote>
  <w:endnote w:type="continuationSeparator" w:id="0">
    <w:p w14:paraId="6AD6481B" w14:textId="77777777" w:rsidR="006C3FF1" w:rsidRDefault="006C3FF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43AD8D6"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A2556">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43AD8D6"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A2556">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4DCF41E0"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A2556">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4DCF41E0"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A2556">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CA480F" w14:textId="77777777" w:rsidR="006C3FF1" w:rsidRDefault="006C3FF1" w:rsidP="00117666">
      <w:pPr>
        <w:spacing w:after="0"/>
      </w:pPr>
      <w:r>
        <w:separator/>
      </w:r>
    </w:p>
  </w:footnote>
  <w:footnote w:type="continuationSeparator" w:id="0">
    <w:p w14:paraId="2B988FD9" w14:textId="77777777" w:rsidR="006C3FF1" w:rsidRDefault="006C3FF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lang w:eastAsia="zh-CN"/>
      </w:rPr>
      <w:drawing>
        <wp:inline distT="0" distB="0" distL="0" distR="0" wp14:anchorId="07D26A56" wp14:editId="2E460F0E">
          <wp:extent cx="1382534" cy="497091"/>
          <wp:effectExtent l="0" t="0" r="0" b="0"/>
          <wp:docPr id="4"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BC6657"/>
    <w:multiLevelType w:val="hybridMultilevel"/>
    <w:tmpl w:val="AC6A0962"/>
    <w:lvl w:ilvl="0" w:tplc="0409000F">
      <w:start w:val="1"/>
      <w:numFmt w:val="decimal"/>
      <w:lvlText w:val="%1."/>
      <w:lvlJc w:val="left"/>
      <w:pPr>
        <w:ind w:left="562" w:hanging="420"/>
      </w:p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992"/>
        </w:tabs>
        <w:ind w:left="992"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BCD0240"/>
    <w:multiLevelType w:val="hybridMultilevel"/>
    <w:tmpl w:val="FBA44C7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6EF001E"/>
    <w:multiLevelType w:val="hybridMultilevel"/>
    <w:tmpl w:val="35123A5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0" w15:restartNumberingAfterBreak="0">
    <w:nsid w:val="6E9F0A77"/>
    <w:multiLevelType w:val="hybridMultilevel"/>
    <w:tmpl w:val="695C805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7"/>
  </w:num>
  <w:num w:numId="3">
    <w:abstractNumId w:val="2"/>
  </w:num>
  <w:num w:numId="4">
    <w:abstractNumId w:val="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9"/>
  </w:num>
  <w:num w:numId="8">
    <w:abstractNumId w:val="9"/>
  </w:num>
  <w:num w:numId="9">
    <w:abstractNumId w:val="9"/>
  </w:num>
  <w:num w:numId="10">
    <w:abstractNumId w:val="9"/>
  </w:num>
  <w:num w:numId="11">
    <w:abstractNumId w:val="9"/>
  </w:num>
  <w:num w:numId="12">
    <w:abstractNumId w:val="9"/>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6"/>
  </w:num>
  <w:num w:numId="21">
    <w:abstractNumId w:val="1"/>
  </w:num>
  <w:num w:numId="22">
    <w:abstractNumId w:val="5"/>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bordersDoNotSurroundHeader/>
  <w:bordersDoNotSurroundFooter/>
  <w:hideSpellingErrors/>
  <w:hideGrammaticalErrors/>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QxMzIwMzcxMLWwMDFR0lEKTi0uzszPAykwMqgFABjhJd4tAAAA"/>
  </w:docVars>
  <w:rsids>
    <w:rsidRoot w:val="00ED20B5"/>
    <w:rsid w:val="000044D0"/>
    <w:rsid w:val="0001436A"/>
    <w:rsid w:val="000156AC"/>
    <w:rsid w:val="00020EB0"/>
    <w:rsid w:val="000231DC"/>
    <w:rsid w:val="00034304"/>
    <w:rsid w:val="00035434"/>
    <w:rsid w:val="000364DC"/>
    <w:rsid w:val="00052A14"/>
    <w:rsid w:val="00054FC7"/>
    <w:rsid w:val="000612F2"/>
    <w:rsid w:val="00077D53"/>
    <w:rsid w:val="00086248"/>
    <w:rsid w:val="0009315A"/>
    <w:rsid w:val="000B5129"/>
    <w:rsid w:val="000C0C5A"/>
    <w:rsid w:val="000D1B90"/>
    <w:rsid w:val="000E0359"/>
    <w:rsid w:val="00105FD9"/>
    <w:rsid w:val="00117666"/>
    <w:rsid w:val="00153FE3"/>
    <w:rsid w:val="001549D3"/>
    <w:rsid w:val="00160065"/>
    <w:rsid w:val="00177D84"/>
    <w:rsid w:val="001B60F8"/>
    <w:rsid w:val="001B7138"/>
    <w:rsid w:val="001C75CC"/>
    <w:rsid w:val="001D54D8"/>
    <w:rsid w:val="001E20DA"/>
    <w:rsid w:val="001E71DA"/>
    <w:rsid w:val="001F5B62"/>
    <w:rsid w:val="0020652A"/>
    <w:rsid w:val="00222710"/>
    <w:rsid w:val="00267D18"/>
    <w:rsid w:val="00274347"/>
    <w:rsid w:val="00284FBD"/>
    <w:rsid w:val="002868E2"/>
    <w:rsid w:val="002869C3"/>
    <w:rsid w:val="002936E4"/>
    <w:rsid w:val="002B05DF"/>
    <w:rsid w:val="002B4A57"/>
    <w:rsid w:val="002B583E"/>
    <w:rsid w:val="002C74CA"/>
    <w:rsid w:val="00310A81"/>
    <w:rsid w:val="003123F4"/>
    <w:rsid w:val="003544FB"/>
    <w:rsid w:val="00363B08"/>
    <w:rsid w:val="003716F5"/>
    <w:rsid w:val="003745B1"/>
    <w:rsid w:val="00384A52"/>
    <w:rsid w:val="003C3E78"/>
    <w:rsid w:val="003C6A48"/>
    <w:rsid w:val="003D2F2D"/>
    <w:rsid w:val="00401590"/>
    <w:rsid w:val="004159B6"/>
    <w:rsid w:val="00415F80"/>
    <w:rsid w:val="00417AA5"/>
    <w:rsid w:val="00426D11"/>
    <w:rsid w:val="00441930"/>
    <w:rsid w:val="00445FE2"/>
    <w:rsid w:val="004462D0"/>
    <w:rsid w:val="00447801"/>
    <w:rsid w:val="00452E9C"/>
    <w:rsid w:val="0046101A"/>
    <w:rsid w:val="004730AC"/>
    <w:rsid w:val="004735C8"/>
    <w:rsid w:val="00482F1A"/>
    <w:rsid w:val="004947A6"/>
    <w:rsid w:val="004961FF"/>
    <w:rsid w:val="004E7DB0"/>
    <w:rsid w:val="004F6125"/>
    <w:rsid w:val="004F780E"/>
    <w:rsid w:val="00511769"/>
    <w:rsid w:val="00517A89"/>
    <w:rsid w:val="00522102"/>
    <w:rsid w:val="005250F2"/>
    <w:rsid w:val="00553D71"/>
    <w:rsid w:val="00554C41"/>
    <w:rsid w:val="005576E2"/>
    <w:rsid w:val="00593EEA"/>
    <w:rsid w:val="005A2556"/>
    <w:rsid w:val="005A5EEE"/>
    <w:rsid w:val="005B17B9"/>
    <w:rsid w:val="005C7A67"/>
    <w:rsid w:val="005E48A2"/>
    <w:rsid w:val="00600264"/>
    <w:rsid w:val="006010CF"/>
    <w:rsid w:val="00621F75"/>
    <w:rsid w:val="006375C7"/>
    <w:rsid w:val="00640957"/>
    <w:rsid w:val="00654E8F"/>
    <w:rsid w:val="00660D05"/>
    <w:rsid w:val="00661A1D"/>
    <w:rsid w:val="00671D67"/>
    <w:rsid w:val="006820B1"/>
    <w:rsid w:val="0068329D"/>
    <w:rsid w:val="00686437"/>
    <w:rsid w:val="006B3F58"/>
    <w:rsid w:val="006B5699"/>
    <w:rsid w:val="006B7D14"/>
    <w:rsid w:val="006C3FF1"/>
    <w:rsid w:val="006D48BC"/>
    <w:rsid w:val="00701727"/>
    <w:rsid w:val="0070566C"/>
    <w:rsid w:val="0070668F"/>
    <w:rsid w:val="00714C50"/>
    <w:rsid w:val="00716EA1"/>
    <w:rsid w:val="00725A7D"/>
    <w:rsid w:val="007501BE"/>
    <w:rsid w:val="0078556E"/>
    <w:rsid w:val="0079078A"/>
    <w:rsid w:val="00790BB3"/>
    <w:rsid w:val="00793842"/>
    <w:rsid w:val="007960B9"/>
    <w:rsid w:val="007B28D8"/>
    <w:rsid w:val="007B3D00"/>
    <w:rsid w:val="007C206C"/>
    <w:rsid w:val="007D1777"/>
    <w:rsid w:val="007F3F14"/>
    <w:rsid w:val="00817DD6"/>
    <w:rsid w:val="0083759F"/>
    <w:rsid w:val="00885156"/>
    <w:rsid w:val="00893175"/>
    <w:rsid w:val="008D59AF"/>
    <w:rsid w:val="008E4F8B"/>
    <w:rsid w:val="00903A58"/>
    <w:rsid w:val="00913FC8"/>
    <w:rsid w:val="009151AA"/>
    <w:rsid w:val="0093429D"/>
    <w:rsid w:val="009363D2"/>
    <w:rsid w:val="00943573"/>
    <w:rsid w:val="00964134"/>
    <w:rsid w:val="00964B89"/>
    <w:rsid w:val="00970F7D"/>
    <w:rsid w:val="0097192B"/>
    <w:rsid w:val="0098578B"/>
    <w:rsid w:val="00994A3D"/>
    <w:rsid w:val="009C2B12"/>
    <w:rsid w:val="009F3E8E"/>
    <w:rsid w:val="00A00453"/>
    <w:rsid w:val="00A05E05"/>
    <w:rsid w:val="00A174D9"/>
    <w:rsid w:val="00A41B38"/>
    <w:rsid w:val="00A61E13"/>
    <w:rsid w:val="00A63AA4"/>
    <w:rsid w:val="00A705CF"/>
    <w:rsid w:val="00AA4D24"/>
    <w:rsid w:val="00AA6693"/>
    <w:rsid w:val="00AB6715"/>
    <w:rsid w:val="00AE16FF"/>
    <w:rsid w:val="00AF14EE"/>
    <w:rsid w:val="00B1671E"/>
    <w:rsid w:val="00B25EB8"/>
    <w:rsid w:val="00B37F4D"/>
    <w:rsid w:val="00B65925"/>
    <w:rsid w:val="00B84344"/>
    <w:rsid w:val="00BA3C3D"/>
    <w:rsid w:val="00BA503E"/>
    <w:rsid w:val="00BB2B7B"/>
    <w:rsid w:val="00C33FBB"/>
    <w:rsid w:val="00C52A7B"/>
    <w:rsid w:val="00C56BAF"/>
    <w:rsid w:val="00C61278"/>
    <w:rsid w:val="00C679AA"/>
    <w:rsid w:val="00C75972"/>
    <w:rsid w:val="00C81DCE"/>
    <w:rsid w:val="00CB131A"/>
    <w:rsid w:val="00CB1361"/>
    <w:rsid w:val="00CC4443"/>
    <w:rsid w:val="00CC533B"/>
    <w:rsid w:val="00CD066B"/>
    <w:rsid w:val="00CE4FEE"/>
    <w:rsid w:val="00D060CF"/>
    <w:rsid w:val="00D10941"/>
    <w:rsid w:val="00D4499D"/>
    <w:rsid w:val="00D47A3E"/>
    <w:rsid w:val="00D65773"/>
    <w:rsid w:val="00D91280"/>
    <w:rsid w:val="00DA776A"/>
    <w:rsid w:val="00DB59C3"/>
    <w:rsid w:val="00DC259A"/>
    <w:rsid w:val="00DC657E"/>
    <w:rsid w:val="00DE23E8"/>
    <w:rsid w:val="00DE520B"/>
    <w:rsid w:val="00DF0EB9"/>
    <w:rsid w:val="00E3011A"/>
    <w:rsid w:val="00E353BE"/>
    <w:rsid w:val="00E52377"/>
    <w:rsid w:val="00E537AD"/>
    <w:rsid w:val="00E54D01"/>
    <w:rsid w:val="00E64E17"/>
    <w:rsid w:val="00E866C9"/>
    <w:rsid w:val="00E91925"/>
    <w:rsid w:val="00EA3D3C"/>
    <w:rsid w:val="00EB5B1D"/>
    <w:rsid w:val="00EC090A"/>
    <w:rsid w:val="00ED20B5"/>
    <w:rsid w:val="00EF03B4"/>
    <w:rsid w:val="00EF7122"/>
    <w:rsid w:val="00F163A5"/>
    <w:rsid w:val="00F35F9F"/>
    <w:rsid w:val="00F449A1"/>
    <w:rsid w:val="00F46900"/>
    <w:rsid w:val="00F53B49"/>
    <w:rsid w:val="00F57DE8"/>
    <w:rsid w:val="00F61D89"/>
    <w:rsid w:val="00F93B78"/>
    <w:rsid w:val="00FB75D4"/>
    <w:rsid w:val="00FE7E8B"/>
    <w:rsid w:val="00FF4C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576E2"/>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tabs>
        <w:tab w:val="clear" w:pos="992"/>
        <w:tab w:val="num" w:pos="567"/>
      </w:tabs>
      <w:spacing w:after="200"/>
      <w:ind w:left="567"/>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paragraph" w:styleId="aff8">
    <w:name w:val="Bibliography"/>
    <w:basedOn w:val="a0"/>
    <w:next w:val="a0"/>
    <w:uiPriority w:val="37"/>
    <w:unhideWhenUsed/>
    <w:rsid w:val="00415F80"/>
    <w:pPr>
      <w:widowControl w:val="0"/>
      <w:spacing w:before="0" w:after="0"/>
      <w:jc w:val="both"/>
    </w:pPr>
    <w:rPr>
      <w:rFonts w:asciiTheme="minorHAnsi" w:hAnsiTheme="minorHAnsi"/>
      <w:kern w:val="2"/>
      <w:sz w:val="21"/>
      <w:lang w:eastAsia="zh-CN"/>
    </w:rPr>
  </w:style>
  <w:style w:type="table" w:customStyle="1" w:styleId="aff9">
    <w:name w:val="三线表"/>
    <w:basedOn w:val="a2"/>
    <w:uiPriority w:val="99"/>
    <w:rsid w:val="001C75CC"/>
    <w:pPr>
      <w:spacing w:after="0" w:line="240" w:lineRule="auto"/>
    </w:pPr>
    <w:rPr>
      <w:kern w:val="2"/>
      <w:sz w:val="21"/>
      <w:lang w:eastAsia="zh-CN"/>
    </w:rPr>
    <w:tblPr>
      <w:tblBorders>
        <w:top w:val="single" w:sz="12" w:space="0" w:color="auto"/>
        <w:bottom w:val="single" w:sz="12" w:space="0" w:color="auto"/>
      </w:tblBorders>
    </w:tblPr>
    <w:tblStylePr w:type="firstRow">
      <w:tblPr/>
      <w:tcPr>
        <w:tcBorders>
          <w:bottom w:val="single" w:sz="4"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31E7340-CEE6-47E0-8AF1-1C54DA014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2</TotalTime>
  <Pages>10</Pages>
  <Words>5673</Words>
  <Characters>32342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 Media SA</dc:creator>
  <cp:lastModifiedBy>江舒</cp:lastModifiedBy>
  <cp:revision>5</cp:revision>
  <cp:lastPrinted>2022-07-04T09:44:00Z</cp:lastPrinted>
  <dcterms:created xsi:type="dcterms:W3CDTF">2022-10-17T16:36:00Z</dcterms:created>
  <dcterms:modified xsi:type="dcterms:W3CDTF">2022-10-18T04:52:00Z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zotero-version="6.0.10"&gt;&lt;session id="0pfurS1G"/&gt;&lt;style id="http://www.zotero.org/styles/frontiers-in-cardiovascular-medicine" hasBibliography="1" bibliographyStyleHasBeenSet="1"/&gt;&lt;prefs&gt;&lt;pref name="fieldType" value="Field"/&gt;&lt;pref na</vt:lpwstr>
  </property>
  <property fmtid="{D5CDD505-2E9C-101B-9397-08002B2CF9AE}" pid="3" name="ZOTERO_PREF_2">
    <vt:lpwstr>me="automaticJournalAbbreviations" value="true"/&gt;&lt;/prefs&gt;&lt;/data&gt;</vt:lpwstr>
  </property>
</Properties>
</file>