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92FF" w14:textId="77777777" w:rsidR="006572A9" w:rsidRDefault="00E629CE" w:rsidP="003349B1">
      <w:pPr>
        <w:pStyle w:val="Title"/>
        <w:rPr>
          <w:lang w:val="en-US"/>
        </w:rPr>
      </w:pPr>
      <w:r>
        <w:rPr>
          <w:lang w:val="en-US"/>
        </w:rPr>
        <w:t>Supplementary Information</w:t>
      </w:r>
    </w:p>
    <w:sdt>
      <w:sdtPr>
        <w:rPr>
          <w:rFonts w:asciiTheme="minorHAnsi" w:eastAsiaTheme="minorHAnsi" w:hAnsiTheme="minorHAnsi" w:cstheme="minorBidi"/>
          <w:color w:val="auto"/>
          <w:sz w:val="22"/>
          <w:szCs w:val="22"/>
          <w:lang w:val="da-DK"/>
        </w:rPr>
        <w:id w:val="-1824258509"/>
        <w:docPartObj>
          <w:docPartGallery w:val="Table of Contents"/>
          <w:docPartUnique/>
        </w:docPartObj>
      </w:sdtPr>
      <w:sdtEndPr>
        <w:rPr>
          <w:b/>
          <w:bCs/>
          <w:noProof/>
        </w:rPr>
      </w:sdtEndPr>
      <w:sdtContent>
        <w:p w14:paraId="047EFFBB" w14:textId="77777777" w:rsidR="00F469A7" w:rsidRDefault="00F469A7">
          <w:pPr>
            <w:pStyle w:val="TOCHeading"/>
          </w:pPr>
          <w:r>
            <w:t>Table of Contents</w:t>
          </w:r>
        </w:p>
        <w:p w14:paraId="17255A2A" w14:textId="77777777" w:rsidR="00A17865" w:rsidRDefault="00F469A7">
          <w:pPr>
            <w:pStyle w:val="TOC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02322423" w:history="1">
            <w:r w:rsidR="00A17865" w:rsidRPr="008930C8">
              <w:rPr>
                <w:rStyle w:val="Hyperlink"/>
                <w:noProof/>
                <w:lang w:val="en-US"/>
              </w:rPr>
              <w:t>Section S1: Antibody modification with TCO-PEG</w:t>
            </w:r>
            <w:r w:rsidR="00A17865" w:rsidRPr="008930C8">
              <w:rPr>
                <w:rStyle w:val="Hyperlink"/>
                <w:noProof/>
                <w:vertAlign w:val="subscript"/>
                <w:lang w:val="en-US"/>
              </w:rPr>
              <w:t>4</w:t>
            </w:r>
            <w:r w:rsidR="00A17865" w:rsidRPr="008930C8">
              <w:rPr>
                <w:rStyle w:val="Hyperlink"/>
                <w:noProof/>
                <w:lang w:val="en-US"/>
              </w:rPr>
              <w:t>-NHS ester</w:t>
            </w:r>
            <w:r w:rsidR="00A17865">
              <w:rPr>
                <w:noProof/>
                <w:webHidden/>
              </w:rPr>
              <w:tab/>
            </w:r>
            <w:r w:rsidR="00A17865">
              <w:rPr>
                <w:noProof/>
                <w:webHidden/>
              </w:rPr>
              <w:fldChar w:fldCharType="begin"/>
            </w:r>
            <w:r w:rsidR="00A17865">
              <w:rPr>
                <w:noProof/>
                <w:webHidden/>
              </w:rPr>
              <w:instrText xml:space="preserve"> PAGEREF _Toc102322423 \h </w:instrText>
            </w:r>
            <w:r w:rsidR="00A17865">
              <w:rPr>
                <w:noProof/>
                <w:webHidden/>
              </w:rPr>
            </w:r>
            <w:r w:rsidR="00A17865">
              <w:rPr>
                <w:noProof/>
                <w:webHidden/>
              </w:rPr>
              <w:fldChar w:fldCharType="separate"/>
            </w:r>
            <w:r w:rsidR="00A17865">
              <w:rPr>
                <w:noProof/>
                <w:webHidden/>
              </w:rPr>
              <w:t>2</w:t>
            </w:r>
            <w:r w:rsidR="00A17865">
              <w:rPr>
                <w:noProof/>
                <w:webHidden/>
              </w:rPr>
              <w:fldChar w:fldCharType="end"/>
            </w:r>
          </w:hyperlink>
        </w:p>
        <w:p w14:paraId="0F00BDB3" w14:textId="77777777" w:rsidR="00A17865" w:rsidRDefault="00000000">
          <w:pPr>
            <w:pStyle w:val="TOC1"/>
            <w:tabs>
              <w:tab w:val="right" w:leader="dot" w:pos="9628"/>
            </w:tabs>
            <w:rPr>
              <w:rFonts w:eastAsiaTheme="minorEastAsia"/>
              <w:noProof/>
              <w:lang w:eastAsia="da-DK"/>
            </w:rPr>
          </w:pPr>
          <w:hyperlink w:anchor="_Toc102322424" w:history="1">
            <w:r w:rsidR="00A17865" w:rsidRPr="008930C8">
              <w:rPr>
                <w:rStyle w:val="Hyperlink"/>
                <w:noProof/>
                <w:lang w:val="en-US"/>
              </w:rPr>
              <w:t>Section S2: Quantification TCO-loading Antibody</w:t>
            </w:r>
            <w:r w:rsidR="00A17865">
              <w:rPr>
                <w:noProof/>
                <w:webHidden/>
              </w:rPr>
              <w:tab/>
            </w:r>
            <w:r w:rsidR="00A17865">
              <w:rPr>
                <w:noProof/>
                <w:webHidden/>
              </w:rPr>
              <w:fldChar w:fldCharType="begin"/>
            </w:r>
            <w:r w:rsidR="00A17865">
              <w:rPr>
                <w:noProof/>
                <w:webHidden/>
              </w:rPr>
              <w:instrText xml:space="preserve"> PAGEREF _Toc102322424 \h </w:instrText>
            </w:r>
            <w:r w:rsidR="00A17865">
              <w:rPr>
                <w:noProof/>
                <w:webHidden/>
              </w:rPr>
            </w:r>
            <w:r w:rsidR="00A17865">
              <w:rPr>
                <w:noProof/>
                <w:webHidden/>
              </w:rPr>
              <w:fldChar w:fldCharType="separate"/>
            </w:r>
            <w:r w:rsidR="00A17865">
              <w:rPr>
                <w:noProof/>
                <w:webHidden/>
              </w:rPr>
              <w:t>2</w:t>
            </w:r>
            <w:r w:rsidR="00A17865">
              <w:rPr>
                <w:noProof/>
                <w:webHidden/>
              </w:rPr>
              <w:fldChar w:fldCharType="end"/>
            </w:r>
          </w:hyperlink>
        </w:p>
        <w:p w14:paraId="2A7A3799" w14:textId="77777777" w:rsidR="00A17865" w:rsidRDefault="00000000">
          <w:pPr>
            <w:pStyle w:val="TOC1"/>
            <w:tabs>
              <w:tab w:val="right" w:leader="dot" w:pos="9628"/>
            </w:tabs>
            <w:rPr>
              <w:rFonts w:eastAsiaTheme="minorEastAsia"/>
              <w:noProof/>
              <w:lang w:eastAsia="da-DK"/>
            </w:rPr>
          </w:pPr>
          <w:hyperlink w:anchor="_Toc102322425" w:history="1">
            <w:r w:rsidR="00A17865" w:rsidRPr="008930C8">
              <w:rPr>
                <w:rStyle w:val="Hyperlink"/>
                <w:noProof/>
                <w:lang w:val="en-US"/>
              </w:rPr>
              <w:t>Section S3: Radiochemistry</w:t>
            </w:r>
            <w:r w:rsidR="00A17865">
              <w:rPr>
                <w:noProof/>
                <w:webHidden/>
              </w:rPr>
              <w:tab/>
            </w:r>
            <w:r w:rsidR="00A17865">
              <w:rPr>
                <w:noProof/>
                <w:webHidden/>
              </w:rPr>
              <w:fldChar w:fldCharType="begin"/>
            </w:r>
            <w:r w:rsidR="00A17865">
              <w:rPr>
                <w:noProof/>
                <w:webHidden/>
              </w:rPr>
              <w:instrText xml:space="preserve"> PAGEREF _Toc102322425 \h </w:instrText>
            </w:r>
            <w:r w:rsidR="00A17865">
              <w:rPr>
                <w:noProof/>
                <w:webHidden/>
              </w:rPr>
            </w:r>
            <w:r w:rsidR="00A17865">
              <w:rPr>
                <w:noProof/>
                <w:webHidden/>
              </w:rPr>
              <w:fldChar w:fldCharType="separate"/>
            </w:r>
            <w:r w:rsidR="00A17865">
              <w:rPr>
                <w:noProof/>
                <w:webHidden/>
              </w:rPr>
              <w:t>2</w:t>
            </w:r>
            <w:r w:rsidR="00A17865">
              <w:rPr>
                <w:noProof/>
                <w:webHidden/>
              </w:rPr>
              <w:fldChar w:fldCharType="end"/>
            </w:r>
          </w:hyperlink>
        </w:p>
        <w:p w14:paraId="2DB3AB92" w14:textId="77777777" w:rsidR="00A17865" w:rsidRDefault="00000000">
          <w:pPr>
            <w:pStyle w:val="TOC2"/>
            <w:tabs>
              <w:tab w:val="right" w:leader="dot" w:pos="9628"/>
            </w:tabs>
            <w:rPr>
              <w:rFonts w:eastAsiaTheme="minorEastAsia"/>
              <w:noProof/>
              <w:lang w:eastAsia="da-DK"/>
            </w:rPr>
          </w:pPr>
          <w:hyperlink w:anchor="_Toc102322426" w:history="1">
            <w:r w:rsidR="00A17865" w:rsidRPr="008930C8">
              <w:rPr>
                <w:rStyle w:val="Hyperlink"/>
                <w:noProof/>
                <w:lang w:val="en-US"/>
              </w:rPr>
              <w:t>General information</w:t>
            </w:r>
            <w:r w:rsidR="00A17865">
              <w:rPr>
                <w:noProof/>
                <w:webHidden/>
              </w:rPr>
              <w:tab/>
            </w:r>
            <w:r w:rsidR="00A17865">
              <w:rPr>
                <w:noProof/>
                <w:webHidden/>
              </w:rPr>
              <w:fldChar w:fldCharType="begin"/>
            </w:r>
            <w:r w:rsidR="00A17865">
              <w:rPr>
                <w:noProof/>
                <w:webHidden/>
              </w:rPr>
              <w:instrText xml:space="preserve"> PAGEREF _Toc102322426 \h </w:instrText>
            </w:r>
            <w:r w:rsidR="00A17865">
              <w:rPr>
                <w:noProof/>
                <w:webHidden/>
              </w:rPr>
            </w:r>
            <w:r w:rsidR="00A17865">
              <w:rPr>
                <w:noProof/>
                <w:webHidden/>
              </w:rPr>
              <w:fldChar w:fldCharType="separate"/>
            </w:r>
            <w:r w:rsidR="00A17865">
              <w:rPr>
                <w:noProof/>
                <w:webHidden/>
              </w:rPr>
              <w:t>2</w:t>
            </w:r>
            <w:r w:rsidR="00A17865">
              <w:rPr>
                <w:noProof/>
                <w:webHidden/>
              </w:rPr>
              <w:fldChar w:fldCharType="end"/>
            </w:r>
          </w:hyperlink>
        </w:p>
        <w:p w14:paraId="60C9C259" w14:textId="77777777" w:rsidR="00A17865" w:rsidRDefault="00000000">
          <w:pPr>
            <w:pStyle w:val="TOC2"/>
            <w:tabs>
              <w:tab w:val="right" w:leader="dot" w:pos="9628"/>
            </w:tabs>
            <w:rPr>
              <w:rFonts w:eastAsiaTheme="minorEastAsia"/>
              <w:noProof/>
              <w:lang w:eastAsia="da-DK"/>
            </w:rPr>
          </w:pPr>
          <w:hyperlink w:anchor="_Toc102322427" w:history="1">
            <w:r w:rsidR="00A17865" w:rsidRPr="008930C8">
              <w:rPr>
                <w:rStyle w:val="Hyperlink"/>
                <w:noProof/>
                <w:vertAlign w:val="superscript"/>
                <w:lang w:val="en-US"/>
              </w:rPr>
              <w:t>111</w:t>
            </w:r>
            <w:r w:rsidR="00A17865" w:rsidRPr="008930C8">
              <w:rPr>
                <w:rStyle w:val="Hyperlink"/>
                <w:noProof/>
                <w:lang w:val="en-US"/>
              </w:rPr>
              <w:t>In-labeling Tz</w:t>
            </w:r>
            <w:r w:rsidR="00A17865">
              <w:rPr>
                <w:noProof/>
                <w:webHidden/>
              </w:rPr>
              <w:tab/>
            </w:r>
            <w:r w:rsidR="00A17865">
              <w:rPr>
                <w:noProof/>
                <w:webHidden/>
              </w:rPr>
              <w:fldChar w:fldCharType="begin"/>
            </w:r>
            <w:r w:rsidR="00A17865">
              <w:rPr>
                <w:noProof/>
                <w:webHidden/>
              </w:rPr>
              <w:instrText xml:space="preserve"> PAGEREF _Toc102322427 \h </w:instrText>
            </w:r>
            <w:r w:rsidR="00A17865">
              <w:rPr>
                <w:noProof/>
                <w:webHidden/>
              </w:rPr>
            </w:r>
            <w:r w:rsidR="00A17865">
              <w:rPr>
                <w:noProof/>
                <w:webHidden/>
              </w:rPr>
              <w:fldChar w:fldCharType="separate"/>
            </w:r>
            <w:r w:rsidR="00A17865">
              <w:rPr>
                <w:noProof/>
                <w:webHidden/>
              </w:rPr>
              <w:t>2</w:t>
            </w:r>
            <w:r w:rsidR="00A17865">
              <w:rPr>
                <w:noProof/>
                <w:webHidden/>
              </w:rPr>
              <w:fldChar w:fldCharType="end"/>
            </w:r>
          </w:hyperlink>
        </w:p>
        <w:p w14:paraId="3731C705" w14:textId="77777777" w:rsidR="00A17865" w:rsidRDefault="00000000">
          <w:pPr>
            <w:pStyle w:val="TOC1"/>
            <w:tabs>
              <w:tab w:val="right" w:leader="dot" w:pos="9628"/>
            </w:tabs>
            <w:rPr>
              <w:rFonts w:eastAsiaTheme="minorEastAsia"/>
              <w:noProof/>
              <w:lang w:eastAsia="da-DK"/>
            </w:rPr>
          </w:pPr>
          <w:hyperlink w:anchor="_Toc102322428" w:history="1">
            <w:r w:rsidR="00A17865" w:rsidRPr="008930C8">
              <w:rPr>
                <w:rStyle w:val="Hyperlink"/>
                <w:noProof/>
                <w:lang w:val="en-US"/>
              </w:rPr>
              <w:t>Section S4: Transgenic mice</w:t>
            </w:r>
            <w:r w:rsidR="00A17865">
              <w:rPr>
                <w:noProof/>
                <w:webHidden/>
              </w:rPr>
              <w:tab/>
            </w:r>
            <w:r w:rsidR="00A17865">
              <w:rPr>
                <w:noProof/>
                <w:webHidden/>
              </w:rPr>
              <w:fldChar w:fldCharType="begin"/>
            </w:r>
            <w:r w:rsidR="00A17865">
              <w:rPr>
                <w:noProof/>
                <w:webHidden/>
              </w:rPr>
              <w:instrText xml:space="preserve"> PAGEREF _Toc102322428 \h </w:instrText>
            </w:r>
            <w:r w:rsidR="00A17865">
              <w:rPr>
                <w:noProof/>
                <w:webHidden/>
              </w:rPr>
            </w:r>
            <w:r w:rsidR="00A17865">
              <w:rPr>
                <w:noProof/>
                <w:webHidden/>
              </w:rPr>
              <w:fldChar w:fldCharType="separate"/>
            </w:r>
            <w:r w:rsidR="00A17865">
              <w:rPr>
                <w:noProof/>
                <w:webHidden/>
              </w:rPr>
              <w:t>3</w:t>
            </w:r>
            <w:r w:rsidR="00A17865">
              <w:rPr>
                <w:noProof/>
                <w:webHidden/>
              </w:rPr>
              <w:fldChar w:fldCharType="end"/>
            </w:r>
          </w:hyperlink>
        </w:p>
        <w:p w14:paraId="0BACD9DF" w14:textId="77777777" w:rsidR="00A17865" w:rsidRDefault="00000000">
          <w:pPr>
            <w:pStyle w:val="TOC2"/>
            <w:tabs>
              <w:tab w:val="right" w:leader="dot" w:pos="9628"/>
            </w:tabs>
            <w:rPr>
              <w:rFonts w:eastAsiaTheme="minorEastAsia"/>
              <w:noProof/>
              <w:lang w:eastAsia="da-DK"/>
            </w:rPr>
          </w:pPr>
          <w:hyperlink w:anchor="_Toc102322429" w:history="1">
            <w:r w:rsidR="00A17865" w:rsidRPr="008930C8">
              <w:rPr>
                <w:rStyle w:val="Hyperlink"/>
                <w:noProof/>
                <w:lang w:val="en-US"/>
              </w:rPr>
              <w:t>APP/PS1</w:t>
            </w:r>
            <w:r w:rsidR="00A17865">
              <w:rPr>
                <w:noProof/>
                <w:webHidden/>
              </w:rPr>
              <w:tab/>
            </w:r>
            <w:r w:rsidR="00A17865">
              <w:rPr>
                <w:noProof/>
                <w:webHidden/>
              </w:rPr>
              <w:fldChar w:fldCharType="begin"/>
            </w:r>
            <w:r w:rsidR="00A17865">
              <w:rPr>
                <w:noProof/>
                <w:webHidden/>
              </w:rPr>
              <w:instrText xml:space="preserve"> PAGEREF _Toc102322429 \h </w:instrText>
            </w:r>
            <w:r w:rsidR="00A17865">
              <w:rPr>
                <w:noProof/>
                <w:webHidden/>
              </w:rPr>
            </w:r>
            <w:r w:rsidR="00A17865">
              <w:rPr>
                <w:noProof/>
                <w:webHidden/>
              </w:rPr>
              <w:fldChar w:fldCharType="separate"/>
            </w:r>
            <w:r w:rsidR="00A17865">
              <w:rPr>
                <w:noProof/>
                <w:webHidden/>
              </w:rPr>
              <w:t>3</w:t>
            </w:r>
            <w:r w:rsidR="00A17865">
              <w:rPr>
                <w:noProof/>
                <w:webHidden/>
              </w:rPr>
              <w:fldChar w:fldCharType="end"/>
            </w:r>
          </w:hyperlink>
        </w:p>
        <w:p w14:paraId="012EE555" w14:textId="77777777" w:rsidR="00A17865" w:rsidRDefault="00000000">
          <w:pPr>
            <w:pStyle w:val="TOC2"/>
            <w:tabs>
              <w:tab w:val="right" w:leader="dot" w:pos="9628"/>
            </w:tabs>
            <w:rPr>
              <w:rFonts w:eastAsiaTheme="minorEastAsia"/>
              <w:noProof/>
              <w:lang w:eastAsia="da-DK"/>
            </w:rPr>
          </w:pPr>
          <w:hyperlink w:anchor="_Toc102322430" w:history="1">
            <w:r w:rsidR="00A17865" w:rsidRPr="008930C8">
              <w:rPr>
                <w:rStyle w:val="Hyperlink"/>
                <w:noProof/>
                <w:lang w:val="en-US"/>
              </w:rPr>
              <w:t>5xFAD mice</w:t>
            </w:r>
            <w:r w:rsidR="00A17865">
              <w:rPr>
                <w:noProof/>
                <w:webHidden/>
              </w:rPr>
              <w:tab/>
            </w:r>
            <w:r w:rsidR="00A17865">
              <w:rPr>
                <w:noProof/>
                <w:webHidden/>
              </w:rPr>
              <w:fldChar w:fldCharType="begin"/>
            </w:r>
            <w:r w:rsidR="00A17865">
              <w:rPr>
                <w:noProof/>
                <w:webHidden/>
              </w:rPr>
              <w:instrText xml:space="preserve"> PAGEREF _Toc102322430 \h </w:instrText>
            </w:r>
            <w:r w:rsidR="00A17865">
              <w:rPr>
                <w:noProof/>
                <w:webHidden/>
              </w:rPr>
            </w:r>
            <w:r w:rsidR="00A17865">
              <w:rPr>
                <w:noProof/>
                <w:webHidden/>
              </w:rPr>
              <w:fldChar w:fldCharType="separate"/>
            </w:r>
            <w:r w:rsidR="00A17865">
              <w:rPr>
                <w:noProof/>
                <w:webHidden/>
              </w:rPr>
              <w:t>3</w:t>
            </w:r>
            <w:r w:rsidR="00A17865">
              <w:rPr>
                <w:noProof/>
                <w:webHidden/>
              </w:rPr>
              <w:fldChar w:fldCharType="end"/>
            </w:r>
          </w:hyperlink>
        </w:p>
        <w:p w14:paraId="7F208C85" w14:textId="77777777" w:rsidR="00A17865" w:rsidRDefault="00000000">
          <w:pPr>
            <w:pStyle w:val="TOC2"/>
            <w:tabs>
              <w:tab w:val="right" w:leader="dot" w:pos="9628"/>
            </w:tabs>
            <w:rPr>
              <w:rFonts w:eastAsiaTheme="minorEastAsia"/>
              <w:noProof/>
              <w:lang w:eastAsia="da-DK"/>
            </w:rPr>
          </w:pPr>
          <w:hyperlink w:anchor="_Toc102322431" w:history="1">
            <w:r w:rsidR="00A17865" w:rsidRPr="008930C8">
              <w:rPr>
                <w:rStyle w:val="Hyperlink"/>
                <w:noProof/>
                <w:lang w:val="en-US"/>
              </w:rPr>
              <w:t>ArcSwe mice</w:t>
            </w:r>
            <w:r w:rsidR="00A17865">
              <w:rPr>
                <w:noProof/>
                <w:webHidden/>
              </w:rPr>
              <w:tab/>
            </w:r>
            <w:r w:rsidR="00A17865">
              <w:rPr>
                <w:noProof/>
                <w:webHidden/>
              </w:rPr>
              <w:fldChar w:fldCharType="begin"/>
            </w:r>
            <w:r w:rsidR="00A17865">
              <w:rPr>
                <w:noProof/>
                <w:webHidden/>
              </w:rPr>
              <w:instrText xml:space="preserve"> PAGEREF _Toc102322431 \h </w:instrText>
            </w:r>
            <w:r w:rsidR="00A17865">
              <w:rPr>
                <w:noProof/>
                <w:webHidden/>
              </w:rPr>
            </w:r>
            <w:r w:rsidR="00A17865">
              <w:rPr>
                <w:noProof/>
                <w:webHidden/>
              </w:rPr>
              <w:fldChar w:fldCharType="separate"/>
            </w:r>
            <w:r w:rsidR="00A17865">
              <w:rPr>
                <w:noProof/>
                <w:webHidden/>
              </w:rPr>
              <w:t>4</w:t>
            </w:r>
            <w:r w:rsidR="00A17865">
              <w:rPr>
                <w:noProof/>
                <w:webHidden/>
              </w:rPr>
              <w:fldChar w:fldCharType="end"/>
            </w:r>
          </w:hyperlink>
        </w:p>
        <w:p w14:paraId="1EBBD5B0" w14:textId="77777777" w:rsidR="00A17865" w:rsidRDefault="00000000">
          <w:pPr>
            <w:pStyle w:val="TOC2"/>
            <w:tabs>
              <w:tab w:val="right" w:leader="dot" w:pos="9628"/>
            </w:tabs>
            <w:rPr>
              <w:rFonts w:eastAsiaTheme="minorEastAsia"/>
              <w:noProof/>
              <w:lang w:eastAsia="da-DK"/>
            </w:rPr>
          </w:pPr>
          <w:hyperlink w:anchor="_Toc102322432" w:history="1">
            <w:r w:rsidR="00A17865" w:rsidRPr="008930C8">
              <w:rPr>
                <w:rStyle w:val="Hyperlink"/>
                <w:noProof/>
                <w:lang w:val="en-US"/>
              </w:rPr>
              <w:t>Pretargeted Autoradiography</w:t>
            </w:r>
            <w:r w:rsidR="00A17865">
              <w:rPr>
                <w:noProof/>
                <w:webHidden/>
              </w:rPr>
              <w:tab/>
            </w:r>
            <w:r w:rsidR="00A17865">
              <w:rPr>
                <w:noProof/>
                <w:webHidden/>
              </w:rPr>
              <w:fldChar w:fldCharType="begin"/>
            </w:r>
            <w:r w:rsidR="00A17865">
              <w:rPr>
                <w:noProof/>
                <w:webHidden/>
              </w:rPr>
              <w:instrText xml:space="preserve"> PAGEREF _Toc102322432 \h </w:instrText>
            </w:r>
            <w:r w:rsidR="00A17865">
              <w:rPr>
                <w:noProof/>
                <w:webHidden/>
              </w:rPr>
            </w:r>
            <w:r w:rsidR="00A17865">
              <w:rPr>
                <w:noProof/>
                <w:webHidden/>
              </w:rPr>
              <w:fldChar w:fldCharType="separate"/>
            </w:r>
            <w:r w:rsidR="00A17865">
              <w:rPr>
                <w:noProof/>
                <w:webHidden/>
              </w:rPr>
              <w:t>4</w:t>
            </w:r>
            <w:r w:rsidR="00A17865">
              <w:rPr>
                <w:noProof/>
                <w:webHidden/>
              </w:rPr>
              <w:fldChar w:fldCharType="end"/>
            </w:r>
          </w:hyperlink>
        </w:p>
        <w:p w14:paraId="27017A42" w14:textId="77777777" w:rsidR="00A17865" w:rsidRDefault="00000000">
          <w:pPr>
            <w:pStyle w:val="TOC1"/>
            <w:tabs>
              <w:tab w:val="right" w:leader="dot" w:pos="9628"/>
            </w:tabs>
            <w:rPr>
              <w:rFonts w:eastAsiaTheme="minorEastAsia"/>
              <w:noProof/>
              <w:lang w:eastAsia="da-DK"/>
            </w:rPr>
          </w:pPr>
          <w:hyperlink w:anchor="_Toc102322433" w:history="1">
            <w:r w:rsidR="00A17865" w:rsidRPr="008930C8">
              <w:rPr>
                <w:rStyle w:val="Hyperlink"/>
                <w:noProof/>
                <w:lang w:val="en-US"/>
              </w:rPr>
              <w:t>References</w:t>
            </w:r>
            <w:r w:rsidR="00A17865">
              <w:rPr>
                <w:noProof/>
                <w:webHidden/>
              </w:rPr>
              <w:tab/>
            </w:r>
            <w:r w:rsidR="00A17865">
              <w:rPr>
                <w:noProof/>
                <w:webHidden/>
              </w:rPr>
              <w:fldChar w:fldCharType="begin"/>
            </w:r>
            <w:r w:rsidR="00A17865">
              <w:rPr>
                <w:noProof/>
                <w:webHidden/>
              </w:rPr>
              <w:instrText xml:space="preserve"> PAGEREF _Toc102322433 \h </w:instrText>
            </w:r>
            <w:r w:rsidR="00A17865">
              <w:rPr>
                <w:noProof/>
                <w:webHidden/>
              </w:rPr>
            </w:r>
            <w:r w:rsidR="00A17865">
              <w:rPr>
                <w:noProof/>
                <w:webHidden/>
              </w:rPr>
              <w:fldChar w:fldCharType="separate"/>
            </w:r>
            <w:r w:rsidR="00A17865">
              <w:rPr>
                <w:noProof/>
                <w:webHidden/>
              </w:rPr>
              <w:t>4</w:t>
            </w:r>
            <w:r w:rsidR="00A17865">
              <w:rPr>
                <w:noProof/>
                <w:webHidden/>
              </w:rPr>
              <w:fldChar w:fldCharType="end"/>
            </w:r>
          </w:hyperlink>
        </w:p>
        <w:p w14:paraId="7EBC0E17" w14:textId="77777777" w:rsidR="00F469A7" w:rsidRDefault="00F469A7">
          <w:r>
            <w:rPr>
              <w:b/>
              <w:bCs/>
              <w:noProof/>
            </w:rPr>
            <w:fldChar w:fldCharType="end"/>
          </w:r>
        </w:p>
      </w:sdtContent>
    </w:sdt>
    <w:p w14:paraId="0F757993" w14:textId="77777777" w:rsidR="00F469A7" w:rsidRPr="00F469A7" w:rsidRDefault="00F469A7" w:rsidP="00F469A7">
      <w:pPr>
        <w:rPr>
          <w:lang w:val="en-US"/>
        </w:rPr>
      </w:pPr>
    </w:p>
    <w:p w14:paraId="28C5C190" w14:textId="77777777" w:rsidR="00F469A7" w:rsidRDefault="00F469A7">
      <w:pPr>
        <w:jc w:val="left"/>
        <w:rPr>
          <w:rFonts w:asciiTheme="majorHAnsi" w:eastAsiaTheme="majorEastAsia" w:hAnsiTheme="majorHAnsi" w:cstheme="majorBidi"/>
          <w:b/>
          <w:sz w:val="28"/>
          <w:szCs w:val="32"/>
          <w:lang w:val="en-US"/>
        </w:rPr>
      </w:pPr>
      <w:bookmarkStart w:id="0" w:name="_Toc98150887"/>
      <w:bookmarkStart w:id="1" w:name="_Toc98150972"/>
      <w:r>
        <w:rPr>
          <w:lang w:val="en-US"/>
        </w:rPr>
        <w:br w:type="page"/>
      </w:r>
    </w:p>
    <w:p w14:paraId="459F7DE4" w14:textId="77777777" w:rsidR="002741A4" w:rsidRDefault="002741A4" w:rsidP="002741A4">
      <w:pPr>
        <w:pStyle w:val="Heading1"/>
        <w:rPr>
          <w:lang w:val="en-US"/>
        </w:rPr>
      </w:pPr>
      <w:bookmarkStart w:id="2" w:name="_Toc102322423"/>
      <w:r>
        <w:rPr>
          <w:lang w:val="en-US"/>
        </w:rPr>
        <w:lastRenderedPageBreak/>
        <w:t>Section S1: Antibody modification with TCO-PEG</w:t>
      </w:r>
      <w:r w:rsidRPr="002741A4">
        <w:rPr>
          <w:vertAlign w:val="subscript"/>
          <w:lang w:val="en-US"/>
        </w:rPr>
        <w:t>4</w:t>
      </w:r>
      <w:r>
        <w:rPr>
          <w:lang w:val="en-US"/>
        </w:rPr>
        <w:t>-NHS ester</w:t>
      </w:r>
      <w:bookmarkEnd w:id="2"/>
    </w:p>
    <w:p w14:paraId="12AD5FBC" w14:textId="77777777" w:rsidR="00F469A7" w:rsidRDefault="00F469A7" w:rsidP="00F469A7">
      <w:pPr>
        <w:rPr>
          <w:lang w:val="en-US"/>
        </w:rPr>
      </w:pPr>
      <w:r w:rsidRPr="00CA6C51">
        <w:rPr>
          <w:lang w:val="en-US"/>
        </w:rPr>
        <w:t xml:space="preserve">Lysine residues in mAb 3D6 </w:t>
      </w:r>
      <w:r>
        <w:rPr>
          <w:lang w:val="en-US"/>
        </w:rPr>
        <w:t xml:space="preserve">and mA3D6scFv8D3 </w:t>
      </w:r>
      <w:r w:rsidRPr="00CA6C51">
        <w:rPr>
          <w:lang w:val="en-US"/>
        </w:rPr>
        <w:t>were functionalized with TCO-PEG</w:t>
      </w:r>
      <w:r w:rsidRPr="00251D36">
        <w:rPr>
          <w:vertAlign w:val="subscript"/>
          <w:lang w:val="en-US"/>
        </w:rPr>
        <w:t>4</w:t>
      </w:r>
      <w:r w:rsidRPr="00CA6C51">
        <w:rPr>
          <w:lang w:val="en-US"/>
        </w:rPr>
        <w:t>-NHS</w:t>
      </w:r>
      <w:r>
        <w:rPr>
          <w:lang w:val="en-US"/>
        </w:rPr>
        <w:t xml:space="preserve"> ester</w:t>
      </w:r>
      <w:r w:rsidRPr="00CA6C51">
        <w:rPr>
          <w:lang w:val="en-US"/>
        </w:rPr>
        <w:t>.</w:t>
      </w:r>
      <w:r>
        <w:rPr>
          <w:lang w:val="en-US"/>
        </w:rPr>
        <w:fldChar w:fldCharType="begin" w:fldLock="1"/>
      </w:r>
      <w:r>
        <w:rPr>
          <w:lang w:val="en-US"/>
        </w:rPr>
        <w:instrText>ADDIN CSL_CITATION {"citationItems":[{"id":"ITEM-1","itemData":{"DOI":"10.1007/7657-2012-41","ISBN":"9781617799884","ISSN":"08932336","abstract":"Molecular imaging today, both in research and in clinical practice, is an increasingly important tool for diagnosis and therapy control of a variety of diseases. Positron emission tomography (PET) and single-photon emission computed tomography (SPECT) possess an exceptional position among these methods. In contrast to computed tomography (CT) and magnetic resonance imaging (MRI), which provide mainly morphological information, SPECT and PET allow the visualization of biochemical parameters, such as receptor availability, enzymatic reaction rates, and metabolic pathways. To measure these functional parameters both modalities make use of radioactive tracers as imaging probes. Because of the high sensitivity of photon detection and the resulting ultralow mass of the probes applied, pharmacological effects normally do not occur. As these radiotracers play an important role in both imaging methods, the production and properties of the radioisotopes and the syntheses of the tracers significantly influence the quality of the information gained; the syntheses of the most relevant ones are discussed in this chapter. A comprehensive review of the whole radiochemistry of PET and SPECT radiopharmaceuticals, however, is by far beyond the scope of this chapter. A number of excellent reviews have been published recently, e.g., on general aspects of radiopharmaceutical chemistry (Rsch, Handbook of nuclear chemistry, vol. 4, Kluwer Academic Publishers, The Netherlands, 2003, Saha, Fundamentals of nuclear pharmacy, 5th ed., Springer, New York, 2004) and PET (Miller et al., Angew Chem Int Ed 47:8998-9033, 2008, Saha, Basics of PET imaging, Springer, New York, 2005, Ro and Amatamey, PET chemistry: radiopharmaceuticals, Basic Sciences of Nuclear Medicine, Springer, Heidelberg, 2011) for neuroreceptor imaging (Frankle et al., Neuroimaging B 67:385-440, 2005), on the production of PET radiopharmaceuticals (Stcklin and Pike, Radiopharmaceuticals for positron emission tomography. Kluwer Academic publishers, Dordrecht, 1993), on different aspects of radiotracer synthesis (Fowler and Wolf, Acc Chem Res 30:181-188, 1997), to mention only a few of them. Therefore, the radiochemistry presented in this chapter is limited to radionuclides, relevant for the molecular imaging of neurological processes. © 2012 Springer Science+Business Media New York.","author":[{"dropping-particle":"","family":"Lewis","given":"Jason S.;","non-dropping-particle":"","parse-names":false,"suffix":""},{"dropping-particle":"","family":"Windhorst","given":"Albert D.;","non-dropping-particle":"","parse-names":false,"suffix":""},{"dropping-particle":"","family":"Zeglis","given":"Brian M.;","non-dropping-particle":"","parse-names":false,"suffix":""}],"container-title":"Neuromethods","id":"ITEM-1","issued":{"date-parts":[["2019"]]},"publisher":"Springer","title":"Radiopharmaceutical Chemistry","type":"book"},"uris":["http://www.mendeley.com/documents/?uuid=2f9f3926-eb16-4a3b-be98-a2f721cafe21"]}],"mendeley":{"formattedCitation":"&lt;sup&gt;1&lt;/sup&gt;","plainTextFormattedCitation":"1","previouslyFormattedCitation":"&lt;sup&gt;1&lt;/sup&gt;"},"properties":{"noteIndex":0},"schema":"https://github.com/citation-style-language/schema/raw/master/csl-citation.json"}</w:instrText>
      </w:r>
      <w:r>
        <w:rPr>
          <w:lang w:val="en-US"/>
        </w:rPr>
        <w:fldChar w:fldCharType="separate"/>
      </w:r>
      <w:r w:rsidRPr="006633A5">
        <w:rPr>
          <w:noProof/>
          <w:vertAlign w:val="superscript"/>
          <w:lang w:val="en-US"/>
        </w:rPr>
        <w:t>1</w:t>
      </w:r>
      <w:r>
        <w:rPr>
          <w:lang w:val="en-US"/>
        </w:rPr>
        <w:fldChar w:fldCharType="end"/>
      </w:r>
      <w:r w:rsidRPr="00CA6C51">
        <w:rPr>
          <w:lang w:val="en-US"/>
        </w:rPr>
        <w:t xml:space="preserve"> Sodium carbonate buffer (</w:t>
      </w:r>
      <w:r>
        <w:rPr>
          <w:lang w:val="en-US"/>
        </w:rPr>
        <w:t xml:space="preserve">3.1 </w:t>
      </w:r>
      <w:r w:rsidRPr="00365CBF">
        <w:rPr>
          <w:lang w:val="en-US"/>
        </w:rPr>
        <w:t>μL</w:t>
      </w:r>
      <w:r>
        <w:rPr>
          <w:lang w:val="en-US"/>
        </w:rPr>
        <w:t xml:space="preserve">, </w:t>
      </w:r>
      <w:r w:rsidRPr="00CA6C51">
        <w:rPr>
          <w:lang w:val="en-US"/>
        </w:rPr>
        <w:t xml:space="preserve">1 M, </w:t>
      </w:r>
      <w:r>
        <w:rPr>
          <w:lang w:val="en-US"/>
        </w:rPr>
        <w:t>pH 8.0) was added to PBS</w:t>
      </w:r>
      <w:r w:rsidRPr="00CA6C51">
        <w:rPr>
          <w:lang w:val="en-US"/>
        </w:rPr>
        <w:t xml:space="preserve"> containing mAb 3D6 (</w:t>
      </w:r>
      <w:r>
        <w:rPr>
          <w:lang w:val="en-US"/>
        </w:rPr>
        <w:t xml:space="preserve">100 </w:t>
      </w:r>
      <w:r w:rsidRPr="00365CBF">
        <w:rPr>
          <w:lang w:val="en-US"/>
        </w:rPr>
        <w:t>μL</w:t>
      </w:r>
      <w:r>
        <w:rPr>
          <w:lang w:val="en-US"/>
        </w:rPr>
        <w:t>.</w:t>
      </w:r>
      <w:r w:rsidRPr="00CA6C51">
        <w:rPr>
          <w:lang w:val="en-US"/>
        </w:rPr>
        <w:t xml:space="preserve"> </w:t>
      </w:r>
      <w:r>
        <w:rPr>
          <w:lang w:val="en-US"/>
        </w:rPr>
        <w:t>1.0</w:t>
      </w:r>
      <w:r w:rsidRPr="00CA6C51">
        <w:rPr>
          <w:lang w:val="en-US"/>
        </w:rPr>
        <w:t xml:space="preserve"> mg/mL), followed by addition of equatorial TCO-PEG</w:t>
      </w:r>
      <w:r w:rsidRPr="00CA6C51">
        <w:rPr>
          <w:vertAlign w:val="subscript"/>
          <w:lang w:val="en-US"/>
        </w:rPr>
        <w:t>4</w:t>
      </w:r>
      <w:r w:rsidRPr="00CA6C51">
        <w:rPr>
          <w:lang w:val="en-US"/>
        </w:rPr>
        <w:t xml:space="preserve">-NHS (Broadpharm, BP-22418) in acetonitrile using </w:t>
      </w:r>
      <w:r>
        <w:rPr>
          <w:lang w:val="en-US"/>
        </w:rPr>
        <w:t>100</w:t>
      </w:r>
      <w:r w:rsidRPr="00CA6C51">
        <w:rPr>
          <w:lang w:val="en-US"/>
        </w:rPr>
        <w:t xml:space="preserve"> eq. TCO−antibody ligand molar ratio. The mixture </w:t>
      </w:r>
      <w:r>
        <w:rPr>
          <w:lang w:val="en-US"/>
        </w:rPr>
        <w:t>incubated</w:t>
      </w:r>
      <w:r w:rsidRPr="00CA6C51">
        <w:rPr>
          <w:lang w:val="en-US"/>
        </w:rPr>
        <w:t xml:space="preserve"> at 600 rpm for 2 hours at room temperature in the dark. The solution was purified to remove the unreacted TCO-PEG</w:t>
      </w:r>
      <w:r w:rsidRPr="00CA6C51">
        <w:rPr>
          <w:vertAlign w:val="subscript"/>
          <w:lang w:val="en-US"/>
        </w:rPr>
        <w:t>4</w:t>
      </w:r>
      <w:r w:rsidRPr="00CA6C51">
        <w:rPr>
          <w:lang w:val="en-US"/>
        </w:rPr>
        <w:t>-NHS</w:t>
      </w:r>
      <w:r>
        <w:rPr>
          <w:lang w:val="en-US"/>
        </w:rPr>
        <w:t xml:space="preserve"> ester</w:t>
      </w:r>
      <w:r w:rsidRPr="00CA6C51">
        <w:rPr>
          <w:lang w:val="en-US"/>
        </w:rPr>
        <w:t xml:space="preserve"> with Zeba spin desalting columns (7K MWCO, 0.5 mL, 89882, Thermofisher) and eluted in PBS (pH 7.4). Final protein concentration was measured with Nanodrop (</w:t>
      </w:r>
      <w:r>
        <w:rPr>
          <w:lang w:val="en-US"/>
        </w:rPr>
        <w:t>NanoDrop 2000, ThermoScientific</w:t>
      </w:r>
      <w:r w:rsidRPr="00CA6C51">
        <w:rPr>
          <w:lang w:val="en-US"/>
        </w:rPr>
        <w:t>).</w:t>
      </w:r>
    </w:p>
    <w:p w14:paraId="203E62DA" w14:textId="77777777" w:rsidR="00F469A7" w:rsidRPr="00365CBF" w:rsidRDefault="00F469A7" w:rsidP="00F469A7">
      <w:pPr>
        <w:pStyle w:val="Heading1"/>
        <w:rPr>
          <w:lang w:val="en-US"/>
        </w:rPr>
      </w:pPr>
      <w:bookmarkStart w:id="3" w:name="_Toc102322424"/>
      <w:r>
        <w:rPr>
          <w:lang w:val="en-US"/>
        </w:rPr>
        <w:t xml:space="preserve">Section S2: </w:t>
      </w:r>
      <w:r w:rsidRPr="00365CBF">
        <w:rPr>
          <w:lang w:val="en-US"/>
        </w:rPr>
        <w:t>Quantification TCO-loading Antibody</w:t>
      </w:r>
      <w:bookmarkEnd w:id="3"/>
    </w:p>
    <w:p w14:paraId="1462F77A" w14:textId="77777777" w:rsidR="00F469A7" w:rsidRDefault="00F469A7" w:rsidP="00F469A7">
      <w:pPr>
        <w:rPr>
          <w:lang w:val="en-US"/>
        </w:rPr>
      </w:pPr>
      <w:r w:rsidRPr="00EA2826">
        <w:rPr>
          <w:lang w:val="en-US"/>
        </w:rPr>
        <w:t xml:space="preserve">Titration experiments were conducted to quantify the amount of reactive TCOs per </w:t>
      </w:r>
      <w:r>
        <w:rPr>
          <w:lang w:val="en-US"/>
        </w:rPr>
        <w:t>protein</w:t>
      </w:r>
      <w:r w:rsidRPr="00EA2826">
        <w:rPr>
          <w:lang w:val="en-US"/>
        </w:rPr>
        <w:t>-conjugate</w:t>
      </w:r>
      <w:r>
        <w:rPr>
          <w:lang w:val="en-US"/>
        </w:rPr>
        <w:t xml:space="preserve"> according to previously reported procedure</w:t>
      </w:r>
      <w:r w:rsidRPr="00EA2826">
        <w:rPr>
          <w:lang w:val="en-US"/>
        </w:rPr>
        <w:t>.</w:t>
      </w:r>
      <w:r>
        <w:rPr>
          <w:lang w:val="en-US"/>
        </w:rPr>
        <w:fldChar w:fldCharType="begin" w:fldLock="1"/>
      </w:r>
      <w:r w:rsidR="00B96AFB">
        <w:rPr>
          <w:lang w:val="en-US"/>
        </w:rPr>
        <w:instrText>ADDIN CSL_CITATION {"citationItems":[{"id":"ITEM-1","itemData":{"author":[{"dropping-particle":"","family":"Shalgunov","given":"Vladimir;","non-dropping-particle":"","parse-names":false,"suffix":""},{"dropping-particle":"","family":"Lopes van den Broek","given":"Sara;","non-dropping-particle":"","parse-names":false,"suffix":""},{"dropping-particle":"","family":"Andersen","given":"Ida Vang;","non-dropping-particle":"","parse-names":false,"suffix":""},{"dropping-particle":"","family":"Garcia Vazquez","given":"Rocio;","non-dropping-particle":"","parse-names":false,"suffix":""},{"dropping-particle":"","family":"Raval","given":"Nakul;","non-dropping-particle":"","parse-names":false,"suffix":""},{"dropping-particle":"","family":"Palner","given":"Mikael;","non-dropping-particle":"","parse-names":false,"suffix":""},{"dropping-particle":"","family":"Mori","given":"Yuki;","non-dropping-particle":"","parse-names":false,"suffix":""},{"dropping-particle":"","family":"Schäfer","given":"Gabriela;","non-dropping-particle":"","parse-names":false,"suffix":""},{"dropping-particle":"","family":"Mikula","given":"Hannes;","non-dropping-particle":"","parse-names":false,"suffix":""},{"dropping-particle":"","family":"Beschorner","given":"Natalie;","non-dropping-particle":"","parse-names":false,"suffix":""},{"dropping-particle":"","family":"Nedergaard","given":"Maiken;","non-dropping-particle":"","parse-names":false,"suffix":""},{"dropping-particle":"","family":"Syvänen","given":"Stina:","non-dropping-particle":"","parse-names":false,"suffix":""},{"dropping-particle":"","family":"Barz","given":"Matthias;","non-dropping-particle":"","parse-names":false,"suffix":""},{"dropping-particle":"","family":"Knudsen","given":"Gitte Moos;","non-dropping-particle":"","parse-names":false,"suffix":""},{"dropping-particle":"","family":"Battisti","given":"Umberto Maria;","non-dropping-particle":"","parse-names":false,"suffix":""},{"dropping-particle":"","family":"Herth","given":"Matthias","non-dropping-particle":"","parse-names":false,"suffix":""}],"container-title":"ChemRxiv","id":"ITEM-1","issue":"This content is a preprint and has not been peer-reviewed.","issued":{"date-parts":[["2022"]]},"title":"Pretargeted Imaging Beyond the Blood-Brain Barrier","type":"article-journal","volume":"Cambridge "},"uris":["http://www.mendeley.com/documents/?uuid=d1c983be-12ed-4f80-bf45-9a001856c28a"]}],"mendeley":{"formattedCitation":"&lt;sup&gt;2&lt;/sup&gt;","plainTextFormattedCitation":"2","previouslyFormattedCitation":"&lt;sup&gt;2&lt;/sup&gt;"},"properties":{"noteIndex":0},"schema":"https://github.com/citation-style-language/schema/raw/master/csl-citation.json"}</w:instrText>
      </w:r>
      <w:r>
        <w:rPr>
          <w:lang w:val="en-US"/>
        </w:rPr>
        <w:fldChar w:fldCharType="separate"/>
      </w:r>
      <w:r w:rsidR="00B96AFB" w:rsidRPr="00B96AFB">
        <w:rPr>
          <w:noProof/>
          <w:vertAlign w:val="superscript"/>
          <w:lang w:val="en-US"/>
        </w:rPr>
        <w:t>2</w:t>
      </w:r>
      <w:r>
        <w:rPr>
          <w:lang w:val="en-US"/>
        </w:rPr>
        <w:fldChar w:fldCharType="end"/>
      </w:r>
      <w:r>
        <w:rPr>
          <w:lang w:val="en-US"/>
        </w:rPr>
        <w:t xml:space="preserve"> Aliquots of </w:t>
      </w:r>
      <w:r w:rsidRPr="00DD1882">
        <w:rPr>
          <w:lang w:val="en-US"/>
        </w:rPr>
        <w:t xml:space="preserve">TCO-mAb in PBS (5 </w:t>
      </w:r>
      <w:r w:rsidRPr="00DD1882">
        <w:rPr>
          <w:rFonts w:cs="Times New Roman"/>
          <w:lang w:val="en-US"/>
        </w:rPr>
        <w:t>µ</w:t>
      </w:r>
      <w:r w:rsidRPr="00DD1882">
        <w:rPr>
          <w:lang w:val="en-US"/>
        </w:rPr>
        <w:t>L of 0.1</w:t>
      </w:r>
      <w:r w:rsidR="00733CB1">
        <w:rPr>
          <w:lang w:val="en-US"/>
        </w:rPr>
        <w:t xml:space="preserve"> </w:t>
      </w:r>
      <w:r w:rsidRPr="00DD1882">
        <w:rPr>
          <w:lang w:val="en-US"/>
        </w:rPr>
        <w:t xml:space="preserve">mg/mL solutions) were mixed with aliquots of </w:t>
      </w:r>
      <w:r w:rsidRPr="00DD1882">
        <w:rPr>
          <w:vertAlign w:val="superscript"/>
          <w:lang w:val="en-US"/>
        </w:rPr>
        <w:t>111</w:t>
      </w:r>
      <w:r w:rsidRPr="00DD1882">
        <w:rPr>
          <w:lang w:val="en-US"/>
        </w:rPr>
        <w:t>In-</w:t>
      </w:r>
      <w:r w:rsidRPr="00463982">
        <w:rPr>
          <w:lang w:val="en-US"/>
        </w:rPr>
        <w:t>labeled Tz (</w:t>
      </w:r>
      <w:r w:rsidRPr="00463982">
        <w:rPr>
          <w:szCs w:val="26"/>
          <w:lang w:val="en-US"/>
        </w:rPr>
        <w:t>[</w:t>
      </w:r>
      <w:r w:rsidRPr="00463982">
        <w:rPr>
          <w:szCs w:val="26"/>
          <w:vertAlign w:val="superscript"/>
          <w:lang w:val="en-US"/>
        </w:rPr>
        <w:t>111</w:t>
      </w:r>
      <w:r w:rsidRPr="00463982">
        <w:rPr>
          <w:szCs w:val="26"/>
          <w:lang w:val="en-US"/>
        </w:rPr>
        <w:t>In]</w:t>
      </w:r>
      <w:r w:rsidRPr="00463982">
        <w:rPr>
          <w:b/>
          <w:szCs w:val="26"/>
          <w:lang w:val="en-US"/>
        </w:rPr>
        <w:t xml:space="preserve">1) </w:t>
      </w:r>
      <w:r w:rsidRPr="00463982">
        <w:rPr>
          <w:lang w:val="en-US"/>
        </w:rPr>
        <w:t xml:space="preserve">stock </w:t>
      </w:r>
      <w:r w:rsidRPr="00DD1882">
        <w:rPr>
          <w:lang w:val="en-US"/>
        </w:rPr>
        <w:t xml:space="preserve">(5 </w:t>
      </w:r>
      <w:r w:rsidRPr="00DD1882">
        <w:rPr>
          <w:rFonts w:cs="Times New Roman"/>
          <w:lang w:val="en-US"/>
        </w:rPr>
        <w:t>µ</w:t>
      </w:r>
      <w:r w:rsidRPr="00DD1882">
        <w:rPr>
          <w:lang w:val="en-US"/>
        </w:rPr>
        <w:t xml:space="preserve">L, </w:t>
      </w:r>
      <w:r>
        <w:rPr>
          <w:lang w:val="en-US"/>
        </w:rPr>
        <w:t>SI, Section S4</w:t>
      </w:r>
      <w:r w:rsidRPr="00DD1882">
        <w:rPr>
          <w:lang w:val="en-US"/>
        </w:rPr>
        <w:t xml:space="preserve">) containing 2-3 eq. of Tz per expected amount of TCOs on the TCO-mAbs, and the mixed samples were incubated at 600 rpm for 1 hour at 37 °C. </w:t>
      </w:r>
      <w:r w:rsidRPr="00EA2826">
        <w:rPr>
          <w:lang w:val="en-US"/>
        </w:rPr>
        <w:t xml:space="preserve">3 μL </w:t>
      </w:r>
      <w:r>
        <w:rPr>
          <w:lang w:val="en-US"/>
        </w:rPr>
        <w:t xml:space="preserve">of </w:t>
      </w:r>
      <w:r w:rsidRPr="00EA2826">
        <w:rPr>
          <w:lang w:val="en-US"/>
        </w:rPr>
        <w:t xml:space="preserve">NuPAGE™ LDS Sample Buffer (NP0007, Invitrogen) was added and the mixture was </w:t>
      </w:r>
      <w:r>
        <w:rPr>
          <w:lang w:val="en-US"/>
        </w:rPr>
        <w:t>shaken for 10 minutes at 70</w:t>
      </w:r>
      <w:r w:rsidRPr="00EA2826">
        <w:rPr>
          <w:lang w:val="en-US"/>
        </w:rPr>
        <w:t xml:space="preserve"> °C</w:t>
      </w:r>
      <w:r>
        <w:rPr>
          <w:lang w:val="en-US"/>
        </w:rPr>
        <w:t>.</w:t>
      </w:r>
      <w:r w:rsidRPr="00EA2826">
        <w:rPr>
          <w:lang w:val="en-US"/>
        </w:rPr>
        <w:t xml:space="preserve"> Samples were applied to NuPAGE™ 4 to 12%, Bis-Tris, 1.0 mm, Mini Protein Gel, 12-well (NP0322BOX , Invitrogen) SDS-PAGE gels. SDS-PAGE gels were exposed to phosphor storage screens and read by a Cyclone Storage Phosphor System (PerkinElmer Inc.). Quantification of plate readings was done with Optiquant software (version 5.00, PerkinElmer Inc.)</w:t>
      </w:r>
      <w:r>
        <w:rPr>
          <w:lang w:val="en-US"/>
        </w:rPr>
        <w:t>, showing an average of 11 TCOs/Ab.</w:t>
      </w:r>
    </w:p>
    <w:p w14:paraId="33BCB23A" w14:textId="77777777" w:rsidR="00733CB1" w:rsidRPr="00733CB1" w:rsidRDefault="00733CB1" w:rsidP="00733CB1">
      <w:pPr>
        <w:pStyle w:val="Heading1"/>
        <w:rPr>
          <w:lang w:val="en-US"/>
        </w:rPr>
      </w:pPr>
      <w:bookmarkStart w:id="4" w:name="_Toc102322425"/>
      <w:r>
        <w:rPr>
          <w:lang w:val="en-US"/>
        </w:rPr>
        <w:t>Section S3: Radiochemistry</w:t>
      </w:r>
      <w:bookmarkEnd w:id="4"/>
    </w:p>
    <w:p w14:paraId="690E29AB" w14:textId="77777777" w:rsidR="00733CB1" w:rsidRDefault="00733CB1" w:rsidP="00733CB1">
      <w:pPr>
        <w:pStyle w:val="Heading2"/>
        <w:rPr>
          <w:lang w:val="en-US"/>
        </w:rPr>
      </w:pPr>
      <w:bookmarkStart w:id="5" w:name="_Toc102322426"/>
      <w:r>
        <w:rPr>
          <w:lang w:val="en-US"/>
        </w:rPr>
        <w:t>General information</w:t>
      </w:r>
      <w:bookmarkEnd w:id="5"/>
    </w:p>
    <w:p w14:paraId="5F6173B7" w14:textId="77777777" w:rsidR="00733CB1" w:rsidRDefault="00733CB1" w:rsidP="00733CB1">
      <w:pPr>
        <w:rPr>
          <w:lang w:val="en-US"/>
        </w:rPr>
      </w:pPr>
      <w:r w:rsidRPr="005D51BB">
        <w:rPr>
          <w:lang w:val="en-US"/>
        </w:rPr>
        <w:t>Radiochemistry was performed at the Department of Clinical Physiology, Nuclear Medicine and PET, Rigshospitalet, Denmark.</w:t>
      </w:r>
      <w:r w:rsidRPr="00733CB1">
        <w:rPr>
          <w:lang w:val="en-US"/>
        </w:rPr>
        <w:t xml:space="preserve"> </w:t>
      </w:r>
      <w:r w:rsidRPr="00401350">
        <w:rPr>
          <w:lang w:val="en-US"/>
        </w:rPr>
        <w:t xml:space="preserve">Unless otherwise stated, all reagents and solvents were purchased from commercial suppliers and used without further purification. </w:t>
      </w:r>
      <w:r w:rsidRPr="003349B1">
        <w:rPr>
          <w:lang w:val="en-US"/>
        </w:rPr>
        <w:t>[</w:t>
      </w:r>
      <w:r w:rsidRPr="003349B1">
        <w:rPr>
          <w:vertAlign w:val="superscript"/>
          <w:lang w:val="en-US"/>
        </w:rPr>
        <w:t>111</w:t>
      </w:r>
      <w:r w:rsidRPr="003349B1">
        <w:rPr>
          <w:lang w:val="en-US"/>
        </w:rPr>
        <w:t>In]InCl</w:t>
      </w:r>
      <w:r w:rsidRPr="003349B1">
        <w:rPr>
          <w:vertAlign w:val="subscript"/>
          <w:lang w:val="en-US"/>
        </w:rPr>
        <w:t>3</w:t>
      </w:r>
      <w:r w:rsidRPr="003349B1">
        <w:rPr>
          <w:lang w:val="en-US"/>
        </w:rPr>
        <w:t xml:space="preserve"> (non-carrier added) was purchased from Curium. 1,4,7,10-tetraazacyclododecane-1,4,7,10-tetraacetic acid (DOTA)</w:t>
      </w:r>
      <w:r w:rsidRPr="00DC4AED">
        <w:rPr>
          <w:bCs/>
          <w:iCs/>
          <w:lang w:val="en-US"/>
        </w:rPr>
        <w:t xml:space="preserve"> -PEG</w:t>
      </w:r>
      <w:r w:rsidRPr="00DC4AED">
        <w:rPr>
          <w:bCs/>
          <w:iCs/>
          <w:vertAlign w:val="subscript"/>
          <w:lang w:val="en-US"/>
        </w:rPr>
        <w:t>11</w:t>
      </w:r>
      <w:r w:rsidRPr="00DC4AED">
        <w:rPr>
          <w:bCs/>
          <w:iCs/>
          <w:lang w:val="en-US"/>
        </w:rPr>
        <w:t>-tetrazine</w:t>
      </w:r>
      <w:r w:rsidRPr="003349B1">
        <w:rPr>
          <w:lang w:val="en-US"/>
        </w:rPr>
        <w:t xml:space="preserve"> was received from Tagworks Pharmaceuticals. </w:t>
      </w:r>
      <w:r w:rsidRPr="00401350">
        <w:rPr>
          <w:lang w:val="en-US"/>
        </w:rPr>
        <w:t>All the water used was ultrapure (&gt; 18.2 MΩ cm</w:t>
      </w:r>
      <w:r w:rsidRPr="00FA3FDA">
        <w:rPr>
          <w:vertAlign w:val="superscript"/>
          <w:lang w:val="en-US"/>
        </w:rPr>
        <w:t>-1</w:t>
      </w:r>
      <w:r w:rsidRPr="00401350">
        <w:rPr>
          <w:lang w:val="en-US"/>
        </w:rPr>
        <w:t>)</w:t>
      </w:r>
      <w:r>
        <w:rPr>
          <w:lang w:val="en-US"/>
        </w:rPr>
        <w:t xml:space="preserve"> and metalfree</w:t>
      </w:r>
      <w:r w:rsidRPr="00401350">
        <w:rPr>
          <w:lang w:val="en-US"/>
        </w:rPr>
        <w:t>. Other solvents were analytical or HPLC grade and used as received.</w:t>
      </w:r>
      <w:r>
        <w:rPr>
          <w:lang w:val="en-US"/>
        </w:rPr>
        <w:t xml:space="preserve"> </w:t>
      </w:r>
      <w:r w:rsidRPr="005D51BB">
        <w:rPr>
          <w:lang w:val="en-US"/>
        </w:rPr>
        <w:t>The analytical-HPLC system consists of a 170U UVD detector, a Scansys radiodetector and a Dionex system connected to a P680A pump. The system was run by Chromeleon software.</w:t>
      </w:r>
    </w:p>
    <w:p w14:paraId="38A11137" w14:textId="77777777" w:rsidR="00733CB1" w:rsidRDefault="00733CB1" w:rsidP="00733CB1">
      <w:pPr>
        <w:pStyle w:val="Heading2"/>
        <w:rPr>
          <w:lang w:val="en-US"/>
        </w:rPr>
      </w:pPr>
      <w:bookmarkStart w:id="6" w:name="_Toc102322427"/>
      <w:r w:rsidRPr="00365CBF">
        <w:rPr>
          <w:vertAlign w:val="superscript"/>
          <w:lang w:val="en-US"/>
        </w:rPr>
        <w:t>111</w:t>
      </w:r>
      <w:r w:rsidRPr="00365CBF">
        <w:rPr>
          <w:lang w:val="en-US"/>
        </w:rPr>
        <w:t>In-labeling Tz</w:t>
      </w:r>
      <w:bookmarkEnd w:id="6"/>
    </w:p>
    <w:p w14:paraId="161E4DBD" w14:textId="77777777" w:rsidR="00733CB1" w:rsidRDefault="00733CB1" w:rsidP="00733CB1">
      <w:pPr>
        <w:rPr>
          <w:lang w:val="en-US"/>
        </w:rPr>
      </w:pPr>
      <w:r w:rsidRPr="00232973">
        <w:rPr>
          <w:lang w:val="en-US"/>
        </w:rPr>
        <w:t xml:space="preserve">The </w:t>
      </w:r>
      <w:r w:rsidRPr="00232973">
        <w:rPr>
          <w:vertAlign w:val="superscript"/>
          <w:lang w:val="en-US"/>
        </w:rPr>
        <w:t>111</w:t>
      </w:r>
      <w:r w:rsidRPr="00232973">
        <w:rPr>
          <w:lang w:val="en-US"/>
        </w:rPr>
        <w:t xml:space="preserve">In-labeling was performed as </w:t>
      </w:r>
      <w:r>
        <w:rPr>
          <w:lang w:val="en-US"/>
        </w:rPr>
        <w:t>previously described (Scheme S1).</w:t>
      </w:r>
      <w:r>
        <w:rPr>
          <w:lang w:val="en-US"/>
        </w:rPr>
        <w:fldChar w:fldCharType="begin" w:fldLock="1"/>
      </w:r>
      <w:r w:rsidR="00B96AFB">
        <w:rPr>
          <w:lang w:val="en-US"/>
        </w:rPr>
        <w:instrText>ADDIN CSL_CITATION {"citationItems":[{"id":"ITEM-1","itemData":{"author":[{"dropping-particle":"","family":"Shalgunov","given":"Vladimir;","non-dropping-particle":"","parse-names":false,"suffix":""},{"dropping-particle":"","family":"Lopes van den Broek","given":"Sara;","non-dropping-particle":"","parse-names":false,"suffix":""},{"dropping-particle":"","family":"Andersen","given":"Ida Vang;","non-dropping-particle":"","parse-names":false,"suffix":""},{"dropping-particle":"","family":"Garcia Vazquez","given":"Rocio;","non-dropping-particle":"","parse-names":false,"suffix":""},{"dropping-particle":"","family":"Raval","given":"Nakul;","non-dropping-particle":"","parse-names":false,"suffix":""},{"dropping-particle":"","family":"Palner","given":"Mikael;","non-dropping-particle":"","parse-names":false,"suffix":""},{"dropping-particle":"","family":"Mori","given":"Yuki;","non-dropping-particle":"","parse-names":false,"suffix":""},{"dropping-particle":"","family":"Schäfer","given":"Gabriela;","non-dropping-particle":"","parse-names":false,"suffix":""},{"dropping-particle":"","family":"Mikula","given":"Hannes;","non-dropping-particle":"","parse-names":false,"suffix":""},{"dropping-particle":"","family":"Beschorner","given":"Natalie;","non-dropping-particle":"","parse-names":false,"suffix":""},{"dropping-particle":"","family":"Nedergaard","given":"Maiken;","non-dropping-particle":"","parse-names":false,"suffix":""},{"dropping-particle":"","family":"Syvänen","given":"Stina:","non-dropping-particle":"","parse-names":false,"suffix":""},{"dropping-particle":"","family":"Barz","given":"Matthias;","non-dropping-particle":"","parse-names":false,"suffix":""},{"dropping-particle":"","family":"Knudsen","given":"Gitte Moos;","non-dropping-particle":"","parse-names":false,"suffix":""},{"dropping-particle":"","family":"Battisti","given":"Umberto Maria;","non-dropping-particle":"","parse-names":false,"suffix":""},{"dropping-particle":"","family":"Herth","given":"Matthias","non-dropping-particle":"","parse-names":false,"suffix":""}],"container-title":"ChemRxiv","id":"ITEM-1","issue":"This content is a preprint and has not been peer-reviewed.","issued":{"date-parts":[["2022"]]},"title":"Pretargeted Imaging Beyond the Blood-Brain Barrier","type":"article-journal","volume":"Cambridge "},"uris":["http://www.mendeley.com/documents/?uuid=d1c983be-12ed-4f80-bf45-9a001856c28a"]}],"mendeley":{"formattedCitation":"&lt;sup&gt;2&lt;/sup&gt;","plainTextFormattedCitation":"2","previouslyFormattedCitation":"&lt;sup&gt;2&lt;/sup&gt;"},"properties":{"noteIndex":0},"schema":"https://github.com/citation-style-language/schema/raw/master/csl-citation.json"}</w:instrText>
      </w:r>
      <w:r>
        <w:rPr>
          <w:lang w:val="en-US"/>
        </w:rPr>
        <w:fldChar w:fldCharType="separate"/>
      </w:r>
      <w:r w:rsidR="00B96AFB" w:rsidRPr="00B96AFB">
        <w:rPr>
          <w:noProof/>
          <w:vertAlign w:val="superscript"/>
          <w:lang w:val="en-US"/>
        </w:rPr>
        <w:t>2</w:t>
      </w:r>
      <w:r>
        <w:rPr>
          <w:lang w:val="en-US"/>
        </w:rPr>
        <w:fldChar w:fldCharType="end"/>
      </w:r>
      <w:r>
        <w:rPr>
          <w:lang w:val="en-US"/>
        </w:rPr>
        <w:t xml:space="preserve"> </w:t>
      </w:r>
      <w:r w:rsidRPr="00232973">
        <w:rPr>
          <w:lang w:val="en-US"/>
        </w:rPr>
        <w:t xml:space="preserve"> </w:t>
      </w:r>
      <w:r>
        <w:rPr>
          <w:lang w:val="en-US"/>
        </w:rPr>
        <w:t xml:space="preserve">In general, </w:t>
      </w:r>
      <w:r>
        <w:rPr>
          <w:b/>
          <w:lang w:val="en-US"/>
        </w:rPr>
        <w:t>1</w:t>
      </w:r>
      <w:r w:rsidRPr="00232973">
        <w:rPr>
          <w:lang w:val="en-US"/>
        </w:rPr>
        <w:t xml:space="preserve"> was dissolved (2 mg/mL) in metal-free water and stored at -80 °C before use. An aliquot of 50-100 μL (10-30 MBq) of [111In]indium chloride in 0.05 M HCl was combined with 2 μL </w:t>
      </w:r>
      <w:r w:rsidRPr="00733CB1">
        <w:rPr>
          <w:b/>
          <w:lang w:val="en-US"/>
        </w:rPr>
        <w:t>1</w:t>
      </w:r>
      <w:r w:rsidRPr="00232973">
        <w:rPr>
          <w:lang w:val="en-US"/>
        </w:rPr>
        <w:t xml:space="preserve"> and 1 M NH</w:t>
      </w:r>
      <w:r w:rsidRPr="00232973">
        <w:rPr>
          <w:vertAlign w:val="subscript"/>
          <w:lang w:val="en-US"/>
        </w:rPr>
        <w:t>4</w:t>
      </w:r>
      <w:r w:rsidRPr="00232973">
        <w:rPr>
          <w:lang w:val="en-US"/>
        </w:rPr>
        <w:t xml:space="preserve">OAc buffer (pH 5.5) at a volume ratio of 1:10 was added. The mixture was shaken at 600 rpm for 5 min at 60 °C in an Eppendorf ThermoMixer C. Then, 10 mM diethylenetriamine-pentaacetic acid DTPA (volume ratio 1:10) and 2 μL 10 mg/mL  gentisic acid in saline was added and the solution was shaken for an additional 5 min at 60 °C in an Eppendorf ThermoMixer C. Typically, a quantitative labeling yield and a radiochemical purity (RCP) </w:t>
      </w:r>
      <w:r>
        <w:rPr>
          <w:lang w:val="en-US"/>
        </w:rPr>
        <w:t xml:space="preserve">&gt; </w:t>
      </w:r>
      <w:r w:rsidRPr="00232973">
        <w:rPr>
          <w:lang w:val="en-US"/>
        </w:rPr>
        <w:t>95% were obtained with this method, as confirmed by radio-HPLC</w:t>
      </w:r>
      <w:r>
        <w:rPr>
          <w:lang w:val="en-US"/>
        </w:rPr>
        <w:t xml:space="preserve"> (</w:t>
      </w:r>
      <w:r w:rsidRPr="00F375C8">
        <w:rPr>
          <w:lang w:val="en-US"/>
        </w:rPr>
        <w:t xml:space="preserve">Aeris Peptide C18-XB 3.6 µm 150x4.6 mm column. Solvent A </w:t>
      </w:r>
      <w:r>
        <w:rPr>
          <w:lang w:val="en-US"/>
        </w:rPr>
        <w:t>=</w:t>
      </w:r>
      <w:r w:rsidRPr="00F375C8">
        <w:rPr>
          <w:lang w:val="en-US"/>
        </w:rPr>
        <w:t xml:space="preserve"> 0.1% TFA in water, solvent B </w:t>
      </w:r>
      <w:r>
        <w:rPr>
          <w:lang w:val="en-US"/>
        </w:rPr>
        <w:t>=</w:t>
      </w:r>
      <w:r w:rsidRPr="00F375C8">
        <w:rPr>
          <w:lang w:val="en-US"/>
        </w:rPr>
        <w:t xml:space="preserve"> 0.1% TFA in acetonitrile. HPLC elution method: 0-1 min – 5% B, 1-8 min - gradient from 5% B to 75% B, 8-9 min – 75% B, 9-9.5 min - back to 5% B, 9.5-10 min – 5% B; flow rate 1.5 mL/min</w:t>
      </w:r>
      <w:r>
        <w:rPr>
          <w:lang w:val="en-US"/>
        </w:rPr>
        <w:t>).</w:t>
      </w:r>
      <w:r w:rsidRPr="00232973">
        <w:rPr>
          <w:lang w:val="en-US"/>
        </w:rPr>
        <w:t> </w:t>
      </w:r>
    </w:p>
    <w:p w14:paraId="23990E93" w14:textId="77777777" w:rsidR="00733CB1" w:rsidRDefault="008E59CE" w:rsidP="00733CB1">
      <w:pPr>
        <w:keepNext/>
      </w:pPr>
      <w:r>
        <w:rPr>
          <w:noProof/>
        </w:rPr>
        <w:object w:dxaOrig="7635" w:dyaOrig="6125" w14:anchorId="102F9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95pt;height:204.1pt;mso-width-percent:0;mso-height-percent:0;mso-width-percent:0;mso-height-percent:0" o:ole="">
            <v:imagedata r:id="rId7" o:title=""/>
          </v:shape>
          <o:OLEObject Type="Embed" ProgID="ChemDraw.Document.6.0" ShapeID="_x0000_i1025" DrawAspect="Content" ObjectID="_1724134330" r:id="rId8"/>
        </w:object>
      </w:r>
    </w:p>
    <w:p w14:paraId="41D0D8BF" w14:textId="77777777" w:rsidR="00733CB1" w:rsidRPr="001D56D7" w:rsidRDefault="00733CB1" w:rsidP="00733CB1">
      <w:pPr>
        <w:rPr>
          <w:i/>
          <w:iCs/>
          <w:color w:val="44546A" w:themeColor="text2"/>
          <w:sz w:val="18"/>
          <w:szCs w:val="18"/>
          <w:lang w:val="en-GB"/>
        </w:rPr>
      </w:pPr>
      <w:r w:rsidRPr="001D56D7">
        <w:rPr>
          <w:i/>
          <w:iCs/>
          <w:color w:val="44546A" w:themeColor="text2"/>
          <w:sz w:val="18"/>
          <w:szCs w:val="18"/>
          <w:lang w:val="en-GB"/>
        </w:rPr>
        <w:t>Scheme S</w:t>
      </w:r>
      <w:r>
        <w:rPr>
          <w:i/>
          <w:iCs/>
          <w:color w:val="44546A" w:themeColor="text2"/>
          <w:sz w:val="18"/>
          <w:szCs w:val="18"/>
          <w:lang w:val="en-GB"/>
        </w:rPr>
        <w:t>1</w:t>
      </w:r>
      <w:r w:rsidRPr="001D56D7">
        <w:rPr>
          <w:i/>
          <w:iCs/>
          <w:color w:val="44546A" w:themeColor="text2"/>
          <w:sz w:val="18"/>
          <w:szCs w:val="18"/>
          <w:lang w:val="en-GB"/>
        </w:rPr>
        <w:t>. Preparation of [</w:t>
      </w:r>
      <w:r w:rsidRPr="001D56D7">
        <w:rPr>
          <w:i/>
          <w:iCs/>
          <w:color w:val="44546A" w:themeColor="text2"/>
          <w:sz w:val="18"/>
          <w:szCs w:val="18"/>
          <w:vertAlign w:val="superscript"/>
          <w:lang w:val="en-GB"/>
        </w:rPr>
        <w:t>111</w:t>
      </w:r>
      <w:r w:rsidRPr="001D56D7">
        <w:rPr>
          <w:i/>
          <w:iCs/>
          <w:color w:val="44546A" w:themeColor="text2"/>
          <w:sz w:val="18"/>
          <w:szCs w:val="18"/>
          <w:lang w:val="en-GB"/>
        </w:rPr>
        <w:t xml:space="preserve">In]3. i) </w:t>
      </w:r>
      <w:r w:rsidRPr="001D56D7">
        <w:rPr>
          <w:i/>
          <w:iCs/>
          <w:color w:val="44546A" w:themeColor="text2"/>
          <w:sz w:val="18"/>
          <w:szCs w:val="18"/>
          <w:vertAlign w:val="superscript"/>
          <w:lang w:val="en-GB"/>
        </w:rPr>
        <w:t>111</w:t>
      </w:r>
      <w:r w:rsidRPr="001D56D7">
        <w:rPr>
          <w:i/>
          <w:iCs/>
          <w:color w:val="44546A" w:themeColor="text2"/>
          <w:sz w:val="18"/>
          <w:szCs w:val="18"/>
          <w:lang w:val="en-GB"/>
        </w:rPr>
        <w:t>InCl, 1M NH4OAc, 60 ºC, 5 min ii) 10 mM DTPA, gentisic acid, 60 ºC, 5 min</w:t>
      </w:r>
    </w:p>
    <w:p w14:paraId="0417EBD6" w14:textId="77777777" w:rsidR="00733CB1" w:rsidRPr="00733CB1" w:rsidRDefault="00733CB1" w:rsidP="00F469A7">
      <w:pPr>
        <w:rPr>
          <w:lang w:val="en-GB"/>
        </w:rPr>
      </w:pPr>
    </w:p>
    <w:p w14:paraId="24BF190E" w14:textId="77777777" w:rsidR="00E629CE" w:rsidRDefault="00733CB1" w:rsidP="00733CB1">
      <w:pPr>
        <w:pStyle w:val="Heading1"/>
        <w:rPr>
          <w:lang w:val="en-US"/>
        </w:rPr>
      </w:pPr>
      <w:bookmarkStart w:id="7" w:name="_Toc102322428"/>
      <w:bookmarkEnd w:id="0"/>
      <w:bookmarkEnd w:id="1"/>
      <w:r>
        <w:rPr>
          <w:lang w:val="en-US"/>
        </w:rPr>
        <w:t xml:space="preserve">Section S4: </w:t>
      </w:r>
      <w:r w:rsidR="00E629CE">
        <w:rPr>
          <w:lang w:val="en-US"/>
        </w:rPr>
        <w:t>Transgenic mice</w:t>
      </w:r>
      <w:bookmarkEnd w:id="7"/>
    </w:p>
    <w:p w14:paraId="5230FD49" w14:textId="77777777" w:rsidR="00733CB1" w:rsidRDefault="00733CB1" w:rsidP="00733CB1">
      <w:pPr>
        <w:pStyle w:val="Heading2"/>
        <w:rPr>
          <w:lang w:val="en-US"/>
        </w:rPr>
      </w:pPr>
      <w:bookmarkStart w:id="8" w:name="_Toc102322429"/>
      <w:r>
        <w:rPr>
          <w:lang w:val="en-US"/>
        </w:rPr>
        <w:t>APP/PS1</w:t>
      </w:r>
      <w:bookmarkEnd w:id="8"/>
    </w:p>
    <w:p w14:paraId="3C71B322" w14:textId="77777777" w:rsidR="00733CB1" w:rsidRPr="00733CB1" w:rsidRDefault="00733CB1" w:rsidP="00733CB1">
      <w:pPr>
        <w:rPr>
          <w:lang w:val="en-US"/>
        </w:rPr>
      </w:pPr>
      <w:r w:rsidRPr="002C3632">
        <w:rPr>
          <w:lang w:val="en-US"/>
        </w:rPr>
        <w:t>Transgenic heterozygote male APP/PS1 (B6C3-Tg(APPswe,PSEN1dE9)85Dbo/Mmjax) have been purchased from Jackson Laboratories (Bar Harbor, ME, USA), strain: #034832-JAX. Breeding colonies were maintained at Panum, AEM Unit 16</w:t>
      </w:r>
      <w:r>
        <w:rPr>
          <w:lang w:val="en-US"/>
        </w:rPr>
        <w:t xml:space="preserve">.2, University of Copenhagen. </w:t>
      </w:r>
      <w:r w:rsidRPr="002C3632">
        <w:rPr>
          <w:lang w:val="en-US"/>
        </w:rPr>
        <w:t xml:space="preserve">Animals were group housed in ventilated cages and observed every second day, as minimum, for any sign of distress/discomfort, weight loss, or infections. Mice were housed together in individually ventilated cages in a specific pathogen-free, humidity and temperature-controlled facility (12h light/dark cycle) with free access to water and chow. </w:t>
      </w:r>
      <w:r w:rsidR="00B96AFB" w:rsidRPr="00B96AFB">
        <w:rPr>
          <w:lang w:val="en-US"/>
        </w:rPr>
        <w:t>Mice were deeply anesthesized with Ketamin (80−140 mg/kg)/Xylazine (5−15 mg/kg) anesthesia and transcardially perfused with ice cold saline solution at a rate of 5ml/min. Afterwards, the brains were extracted and immediately frozen &amp; stored at -80C until further usage.</w:t>
      </w:r>
      <w:r w:rsidR="00B96AFB">
        <w:rPr>
          <w:lang w:val="en-US"/>
        </w:rPr>
        <w:t xml:space="preserve"> </w:t>
      </w:r>
      <w:r w:rsidRPr="002C3632">
        <w:rPr>
          <w:lang w:val="en-US"/>
        </w:rPr>
        <w:t xml:space="preserve"> </w:t>
      </w:r>
      <w:r w:rsidR="00B96AFB" w:rsidRPr="002C3632">
        <w:rPr>
          <w:lang w:val="en-US"/>
        </w:rPr>
        <w:t>Mice were genotyped by PCR performed by Transnetyx Inc, Automated Genotyping Services.</w:t>
      </w:r>
      <w:r w:rsidR="00B96AFB" w:rsidRPr="00B96AFB">
        <w:rPr>
          <w:lang w:val="en-US"/>
        </w:rPr>
        <w:t xml:space="preserve"> </w:t>
      </w:r>
      <w:r w:rsidRPr="002C3632">
        <w:rPr>
          <w:lang w:val="en-US"/>
        </w:rPr>
        <w:t>Experiments were all approved by the Danish National Ethics Committee and performed according to the European Convention (ETC 123 of 1986).</w:t>
      </w:r>
    </w:p>
    <w:p w14:paraId="70F2027B" w14:textId="77777777" w:rsidR="00E629CE" w:rsidRDefault="00E629CE" w:rsidP="00733CB1">
      <w:pPr>
        <w:pStyle w:val="Heading2"/>
        <w:rPr>
          <w:lang w:val="en-US"/>
        </w:rPr>
      </w:pPr>
      <w:bookmarkStart w:id="9" w:name="_Toc102322430"/>
      <w:r>
        <w:rPr>
          <w:lang w:val="en-US"/>
        </w:rPr>
        <w:t>5xFAD mice</w:t>
      </w:r>
      <w:bookmarkEnd w:id="9"/>
    </w:p>
    <w:p w14:paraId="0F560E71" w14:textId="77777777" w:rsidR="00733CB1" w:rsidRDefault="00E629CE" w:rsidP="00733CB1">
      <w:pPr>
        <w:rPr>
          <w:lang w:val="en-US"/>
        </w:rPr>
      </w:pPr>
      <w:r w:rsidRPr="00C4260B">
        <w:rPr>
          <w:lang w:val="en-US"/>
        </w:rPr>
        <w:t>Transgenic heterozygote male 5xFAD mice (TG(APPSwFlLon,PSEN1*M146L*L286V)6799Vas, B6/SJLF1J, Jax strain: 006554) and wild-type females (B6/SJLF1J, Jax strain: 100012) were purchased from Jackson Laboratories (Bar Harbor, ME, USA). Breeding colonies were maintained at Department of Drug Design and Pharmacology, University of Copenhagen. Mice were housed together in individually ventilated cages in a specific pathogen-free, humidity and temperature-controlled facility (12h light/dark cycle) with free access to water and chow. Heterozygote 5xFAD mice and wild-type littermates (controls) were used at 6 months of age, corresponding to an intermediate disease stage.</w:t>
      </w:r>
      <w:r w:rsidR="008E2356">
        <w:rPr>
          <w:lang w:val="en-US"/>
        </w:rPr>
        <w:fldChar w:fldCharType="begin" w:fldLock="1"/>
      </w:r>
      <w:r w:rsidR="008E2356">
        <w:rPr>
          <w:lang w:val="en-US"/>
        </w:rPr>
        <w:instrText>ADDIN CSL_CITATION {"citationItems":[{"id":"ITEM-1","itemData":{"DOI":"10.1523/JNEUROSCI.1202-06.2006","ISSN":"0270-6474","author":[{"dropping-particle":"","family":"Oakley","given":"H.","non-dropping-particle":"","parse-names":false,"suffix":""},{"dropping-particle":"","family":"Cole","given":"S. L.","non-dropping-particle":"","parse-names":false,"suffix":""},{"dropping-particle":"","family":"Logan","given":"S.","non-dropping-particle":"","parse-names":false,"suffix":""},{"dropping-particle":"","family":"Maus","given":"E.","non-dropping-particle":"","parse-names":false,"suffix":""},{"dropping-particle":"","family":"Shao","given":"P.","non-dropping-particle":"","parse-names":false,"suffix":""},{"dropping-particle":"","family":"Craft","given":"J.","non-dropping-particle":"","parse-names":false,"suffix":""},{"dropping-particle":"","family":"Guillozet-Bongaarts","given":"A.","non-dropping-particle":"","parse-names":false,"suffix":""},{"dropping-particle":"","family":"Ohno","given":"M.","non-dropping-particle":"","parse-names":false,"suffix":""},{"dropping-particle":"","family":"Disterhoft","given":"J.","non-dropping-particle":"","parse-names":false,"suffix":""},{"dropping-particle":"","family":"Eldik","given":"L.","non-dropping-particle":"Van","parse-names":false,"suffix":""},{"dropping-particle":"","family":"Berry","given":"R.","non-dropping-particle":"","parse-names":false,"suffix":""},{"dropping-particle":"","family":"Vassar","given":"R.","non-dropping-particle":"","parse-names":false,"suffix":""}],"container-title":"Journal of Neuroscience","id":"ITEM-1","issue":"40","issued":{"date-parts":[["2006","10","4"]]},"page":"10129-10140","title":"Intraneuronal beta-Amyloid Aggregates, Neurodegeneration, and Neuron Loss in Transgenic Mice with Five Familial Alzheimer's Disease Mutations: Potential Factors in Amyloid Plaque Formation","type":"article-journal","volume":"26"},"uris":["http://www.mendeley.com/documents/?uuid=4f264cd2-f87c-4bda-8f3b-9d6e62c2f8f7"]}],"mendeley":{"formattedCitation":"&lt;sup&gt;3&lt;/sup&gt;","plainTextFormattedCitation":"3","previouslyFormattedCitation":"&lt;sup&gt;3&lt;/sup&gt;"},"properties":{"noteIndex":0},"schema":"https://github.com/citation-style-language/schema/raw/master/csl-citation.json"}</w:instrText>
      </w:r>
      <w:r w:rsidR="008E2356">
        <w:rPr>
          <w:lang w:val="en-US"/>
        </w:rPr>
        <w:fldChar w:fldCharType="separate"/>
      </w:r>
      <w:r w:rsidR="008E2356" w:rsidRPr="008E2356">
        <w:rPr>
          <w:noProof/>
          <w:vertAlign w:val="superscript"/>
          <w:lang w:val="en-US"/>
        </w:rPr>
        <w:t>3</w:t>
      </w:r>
      <w:r w:rsidR="008E2356">
        <w:rPr>
          <w:lang w:val="en-US"/>
        </w:rPr>
        <w:fldChar w:fldCharType="end"/>
      </w:r>
      <w:r w:rsidRPr="00C4260B">
        <w:rPr>
          <w:lang w:val="en-US"/>
        </w:rPr>
        <w:t xml:space="preserve"> As 5xFAD mice display sex-specific variations in brain amyloid pathology</w:t>
      </w:r>
      <w:r w:rsidR="008E2356">
        <w:rPr>
          <w:lang w:val="en-US"/>
        </w:rPr>
        <w:fldChar w:fldCharType="begin" w:fldLock="1"/>
      </w:r>
      <w:r w:rsidR="00E33E28">
        <w:rPr>
          <w:lang w:val="en-US"/>
        </w:rPr>
        <w:instrText>ADDIN CSL_CITATION {"citationItems":[{"id":"ITEM-1","itemData":{"DOI":"10.1523/JNEUROSCI.1202-06.2006","ISSN":"0270-6474","author":[{"dropping-particle":"","family":"Oakley","given":"H.","non-dropping-particle":"","parse-names":false,"suffix":""},{"dropping-particle":"","family":"Cole","given":"S. L.","non-dropping-particle":"","parse-names":false,"suffix":""},{"dropping-particle":"","family":"Logan","given":"S.","non-dropping-particle":"","parse-names":false,"suffix":""},{"dropping-particle":"","family":"Maus","given":"E.","non-dropping-particle":"","parse-names":false,"suffix":""},{"dropping-particle":"","family":"Shao","given":"P.","non-dropping-particle":"","parse-names":false,"suffix":""},{"dropping-particle":"","family":"Craft","given":"J.","non-dropping-particle":"","parse-names":false,"suffix":""},{"dropping-particle":"","family":"Guillozet-Bongaarts","given":"A.","non-dropping-particle":"","parse-names":false,"suffix":""},{"dropping-particle":"","family":"Ohno","given":"M.","non-dropping-particle":"","parse-names":false,"suffix":""},{"dropping-particle":"","family":"Disterhoft","given":"J.","non-dropping-particle":"","parse-names":false,"suffix":""},{"dropping-particle":"","family":"Eldik","given":"L.","non-dropping-particle":"Van","parse-names":false,"suffix":""},{"dropping-particle":"","family":"Berry","given":"R.","non-dropping-particle":"","parse-names":false,"suffix":""},{"dropping-particle":"","family":"Vassar","given":"R.","non-dropping-particle":"","parse-names":false,"suffix":""}],"container-title":"Journal of Neuroscience","id":"ITEM-1","issue":"40","issued":{"date-parts":[["2006","10","4"]]},"page":"10129-10140","title":"Intraneuronal beta-Amyloid Aggregates, Neurodegeneration, and Neuron Loss in Transgenic Mice with Five Familial Alzheimer's Disease Mutations: Potential Factors in Amyloid Plaque Formation","type":"article-journal","volume":"26"},"uris":["http://www.mendeley.com/documents/?uuid=4f264cd2-f87c-4bda-8f3b-9d6e62c2f8f7"]}],"mendeley":{"formattedCitation":"&lt;sup&gt;3&lt;/sup&gt;","plainTextFormattedCitation":"3","previouslyFormattedCitation":"&lt;sup&gt;3&lt;/sup&gt;"},"properties":{"noteIndex":0},"schema":"https://github.com/citation-style-language/schema/raw/master/csl-citation.json"}</w:instrText>
      </w:r>
      <w:r w:rsidR="008E2356">
        <w:rPr>
          <w:lang w:val="en-US"/>
        </w:rPr>
        <w:fldChar w:fldCharType="separate"/>
      </w:r>
      <w:r w:rsidR="008E2356" w:rsidRPr="008E2356">
        <w:rPr>
          <w:noProof/>
          <w:vertAlign w:val="superscript"/>
          <w:lang w:val="en-US"/>
        </w:rPr>
        <w:t>3</w:t>
      </w:r>
      <w:r w:rsidR="008E2356">
        <w:rPr>
          <w:lang w:val="en-US"/>
        </w:rPr>
        <w:fldChar w:fldCharType="end"/>
      </w:r>
      <w:r w:rsidRPr="00C4260B">
        <w:rPr>
          <w:lang w:val="en-US"/>
        </w:rPr>
        <w:t xml:space="preserve"> only female mice were included in this study. Mice were genotyped by a PCR protocol as described in.</w:t>
      </w:r>
      <w:r w:rsidR="00E33E28">
        <w:rPr>
          <w:lang w:val="en-US"/>
        </w:rPr>
        <w:fldChar w:fldCharType="begin" w:fldLock="1"/>
      </w:r>
      <w:r w:rsidR="00A17865">
        <w:rPr>
          <w:lang w:val="en-US"/>
        </w:rPr>
        <w:instrText>ADDIN CSL_CITATION {"citationItems":[{"id":"ITEM-1","itemData":{"DOI":"10.1038/s41419-021-04237-y","ISSN":"2041-4889","abstract":"Alzheimer’s disease (AD) is an unremitting neurodegenerative disorder characterized by cerebral amyloid-β (Aβ) accumulation and gradual decline in cognitive function. Changes in brain energy metabolism arise in the preclinical phase of AD, suggesting an important metabolic component of early AD pathology. Neurons and astrocytes function in close metabolic collaboration, which is essential for the recycling of neurotransmitters in the synapse. However, this crucial metabolic interplay during the early stages of AD development has not been sufficiently investigated. Here, we provide an integrative analysis of cellular metabolism during the early stages of Aβ accumulation in the cerebral cortex and hippocampus of the 5xFAD mouse model of AD. Our electrophysiological examination revealed an increase in spontaneous excitatory signaling in the 5xFAD hippocampus. This hyperactive neuronal phenotype coincided with decreased hippocampal tricarboxylic acid (TCA) cycle metabolism mapped by stable 13 C isotope tracing. Particularly, reduced astrocyte TCA cycle activity and decreased glutamine synthesis led to hampered neuronal GABA synthesis in the 5xFAD hippocampus. In contrast, the cerebral cortex of 5xFAD mice displayed an elevated capacity for oxidative glucose metabolism, which may suggest a metabolic compensation in this brain region. We found limited changes when we explored the brain proteome and metabolome of the 5xFAD mice, supporting that the functional metabolic disturbances between neurons and astrocytes are early primary events in AD pathology. In addition, synaptic mitochondrial and glycolytic function was selectively impaired in the 5xFAD hippocampus, whereas non-synaptic mitochondrial function was maintained. These findings were supported by ultrastructural analyses demonstrating disruptions in mitochondrial morphology, particularly in the 5xFAD hippocampus. Collectively, our study reveals complex regional and cell-specific metabolic adaptations in the early stages of amyloid pathology, which may be fundamental for the progressing synaptic dysfunctions in AD.","author":[{"dropping-particle":"V.","family":"Andersen","given":"Jens","non-dropping-particle":"","parse-names":false,"suffix":""},{"dropping-particle":"","family":"Skotte","given":"Niels H.","non-dropping-particle":"","parse-names":false,"suffix":""},{"dropping-particle":"","family":"Christensen","given":"Sofie K.","non-dropping-particle":"","parse-names":false,"suffix":""},{"dropping-particle":"","family":"Polli","given":"Filip S.","non-dropping-particle":"","parse-names":false,"suffix":""},{"dropping-particle":"","family":"Shabani","given":"Mohammad","non-dropping-particle":"","parse-names":false,"suffix":""},{"dropping-particle":"","family":"Markussen","given":"Kia H.","non-dropping-particle":"","parse-names":false,"suffix":""},{"dropping-particle":"","family":"Haukedal","given":"Henriette","non-dropping-particle":"","parse-names":false,"suffix":""},{"dropping-particle":"","family":"Westi","given":"Emil W.","non-dropping-particle":"","parse-names":false,"suffix":""},{"dropping-particle":"","family":"Diaz-delCastillo","given":"Marta","non-dropping-particle":"","parse-names":false,"suffix":""},{"dropping-particle":"","family":"Sun","given":"Ramon C.","non-dropping-particle":"","parse-names":false,"suffix":""},{"dropping-particle":"","family":"Kohlmeier","given":"Kristi A.","non-dropping-particle":"","parse-names":false,"suffix":""},{"dropping-particle":"","family":"Schousboe","given":"Arne","non-dropping-particle":"","parse-names":false,"suffix":""},{"dropping-particle":"","family":"Gentry","given":"Matthew S.","non-dropping-particle":"","parse-names":false,"suffix":""},{"dropping-particle":"","family":"Tanila","given":"Heikki","non-dropping-particle":"","parse-names":false,"suffix":""},{"dropping-particle":"","family":"Freude","given":"Kristine K.","non-dropping-particle":"","parse-names":false,"suffix":""},{"dropping-particle":"","family":"Aldana","given":"Blanca I.","non-dropping-particle":"","parse-names":false,"suffix":""},{"dropping-particle":"","family":"Mann","given":"Matthias","non-dropping-particle":"","parse-names":false,"suffix":""},{"dropping-particle":"","family":"Waagepetersen","given":"Helle S.","non-dropping-particle":"","parse-names":false,"suffix":""}],"container-title":"Cell Death &amp; Disease","id":"ITEM-1","issue":"11","issued":{"date-parts":[["2021","11","16"]]},"page":"954","title":"Hippocampal disruptions of synaptic and astrocyte metabolism are primary events of early amyloid pathology in the 5xFAD mouse model of Alzheimer’s disease","type":"article-journal","volume":"12"},"uris":["http://www.mendeley.com/documents/?uuid=54975f78-feb5-4824-8953-968dcf0bc7ab"]}],"mendeley":{"formattedCitation":"&lt;sup&gt;4&lt;/sup&gt;","plainTextFormattedCitation":"4","previouslyFormattedCitation":"&lt;sup&gt;4&lt;/sup&gt;"},"properties":{"noteIndex":0},"schema":"https://github.com/citation-style-language/schema/raw/master/csl-citation.json"}</w:instrText>
      </w:r>
      <w:r w:rsidR="00E33E28">
        <w:rPr>
          <w:lang w:val="en-US"/>
        </w:rPr>
        <w:fldChar w:fldCharType="separate"/>
      </w:r>
      <w:r w:rsidR="00E33E28" w:rsidRPr="00E33E28">
        <w:rPr>
          <w:noProof/>
          <w:vertAlign w:val="superscript"/>
          <w:lang w:val="en-US"/>
        </w:rPr>
        <w:t>4</w:t>
      </w:r>
      <w:r w:rsidR="00E33E28">
        <w:rPr>
          <w:lang w:val="en-US"/>
        </w:rPr>
        <w:fldChar w:fldCharType="end"/>
      </w:r>
      <w:r w:rsidRPr="00C4260B">
        <w:rPr>
          <w:lang w:val="en-US"/>
        </w:rPr>
        <w:t xml:space="preserve"> </w:t>
      </w:r>
      <w:r w:rsidR="00733CB1" w:rsidRPr="00C4260B">
        <w:rPr>
          <w:lang w:val="en-US"/>
        </w:rPr>
        <w:t>Female heterozygote 5xFAD and wild-type littermates were euthanized one at a time by cervical dislocation. The brain was quickly excised from the cranial vault and snap-frozen by transfer to finely pulverized dry ice. Once frozen, the brain was stored at -80</w:t>
      </w:r>
      <w:r w:rsidR="00733CB1">
        <w:rPr>
          <w:rFonts w:cstheme="minorHAnsi"/>
          <w:lang w:val="en-US"/>
        </w:rPr>
        <w:t>˚</w:t>
      </w:r>
      <w:r w:rsidR="00733CB1" w:rsidRPr="00C4260B">
        <w:rPr>
          <w:lang w:val="en-US"/>
        </w:rPr>
        <w:t>C, before further analysis.</w:t>
      </w:r>
      <w:r w:rsidR="00B96AFB" w:rsidRPr="00B96AFB">
        <w:rPr>
          <w:lang w:val="en-US"/>
        </w:rPr>
        <w:t xml:space="preserve"> </w:t>
      </w:r>
      <w:r w:rsidR="00B96AFB" w:rsidRPr="00C4260B">
        <w:rPr>
          <w:lang w:val="en-US"/>
        </w:rPr>
        <w:t>Experiments were all approved by the Danish National Ethics Committee and performed according to the European Convention (ETC 123 of 1986).</w:t>
      </w:r>
    </w:p>
    <w:p w14:paraId="7374ABF0" w14:textId="77777777" w:rsidR="00733CB1" w:rsidRDefault="00733CB1" w:rsidP="00733CB1">
      <w:pPr>
        <w:pStyle w:val="Heading2"/>
        <w:rPr>
          <w:lang w:val="en-US"/>
        </w:rPr>
      </w:pPr>
      <w:bookmarkStart w:id="10" w:name="_Toc102322431"/>
      <w:r>
        <w:rPr>
          <w:lang w:val="en-US"/>
        </w:rPr>
        <w:lastRenderedPageBreak/>
        <w:t>ArcSwe mice</w:t>
      </w:r>
      <w:bookmarkEnd w:id="10"/>
    </w:p>
    <w:p w14:paraId="5DF4FA71" w14:textId="77777777" w:rsidR="00733CB1" w:rsidRPr="005418DC" w:rsidRDefault="00733CB1" w:rsidP="00B96AFB">
      <w:pPr>
        <w:rPr>
          <w:lang w:val="en-US"/>
        </w:rPr>
      </w:pPr>
      <w:r w:rsidRPr="00733CB1">
        <w:rPr>
          <w:lang w:val="en-US"/>
        </w:rPr>
        <w:t>Male and female ArcSwe mice</w:t>
      </w:r>
      <w:r w:rsidR="005418DC">
        <w:rPr>
          <w:lang w:val="en-US"/>
        </w:rPr>
        <w:t xml:space="preserve"> were</w:t>
      </w:r>
      <w:r w:rsidRPr="00733CB1">
        <w:rPr>
          <w:lang w:val="en-US"/>
        </w:rPr>
        <w:t xml:space="preserve"> obtained by in-house breeding on a C57bl/6 background</w:t>
      </w:r>
      <w:r w:rsidR="005418DC">
        <w:rPr>
          <w:lang w:val="en-US"/>
        </w:rPr>
        <w:t>.</w:t>
      </w:r>
      <w:r w:rsidR="00B96AFB">
        <w:rPr>
          <w:lang w:val="en-US"/>
        </w:rPr>
        <w:fldChar w:fldCharType="begin" w:fldLock="1"/>
      </w:r>
      <w:r w:rsidR="00A17865">
        <w:rPr>
          <w:lang w:val="en-US"/>
        </w:rPr>
        <w:instrText>ADDIN CSL_CITATION {"citationItems":[{"id":"ITEM-1","itemData":{"DOI":"10.1007/s11307-017-1153-z","ISSN":"1536-1632","author":[{"dropping-particle":"","family":"Olsen","given":"Malin","non-dropping-particle":"","parse-names":false,"suffix":""},{"dropping-particle":"","family":"Aguilar","given":"Ximena","non-dropping-particle":"","parse-names":false,"suffix":""},{"dropping-particle":"","family":"Sehlin","given":"Dag","non-dropping-particle":"","parse-names":false,"suffix":""},{"dropping-particle":"","family":"Fang","given":"Xiaotian T.","non-dropping-particle":"","parse-names":false,"suffix":""},{"dropping-particle":"","family":"Antoni","given":"Gunnar","non-dropping-particle":"","parse-names":false,"suffix":""},{"dropping-particle":"","family":"Erlandsson","given":"Anna","non-dropping-particle":"","parse-names":false,"suffix":""},{"dropping-particle":"","family":"Syvänen","given":"Stina","non-dropping-particle":"","parse-names":false,"suffix":""}],"container-title":"Molecular Imaging and Biology","id":"ITEM-1","issue":"4","issued":{"date-parts":[["2018","8","2"]]},"page":"605-614","title":"Astroglial Responses to Amyloid-Beta Progression in a Mouse Model of Alzheimer’s Disease","type":"article-journal","volume":"20"},"uris":["http://www.mendeley.com/documents/?uuid=c334d91c-f200-4d04-b6d9-6368151c5c9a"]}],"mendeley":{"formattedCitation":"&lt;sup&gt;5&lt;/sup&gt;","plainTextFormattedCitation":"5","previouslyFormattedCitation":"&lt;sup&gt;5&lt;/sup&gt;"},"properties":{"noteIndex":0},"schema":"https://github.com/citation-style-language/schema/raw/master/csl-citation.json"}</w:instrText>
      </w:r>
      <w:r w:rsidR="00B96AFB">
        <w:rPr>
          <w:lang w:val="en-US"/>
        </w:rPr>
        <w:fldChar w:fldCharType="separate"/>
      </w:r>
      <w:r w:rsidR="00E33E28" w:rsidRPr="00E33E28">
        <w:rPr>
          <w:noProof/>
          <w:vertAlign w:val="superscript"/>
          <w:lang w:val="en-US"/>
        </w:rPr>
        <w:t>5</w:t>
      </w:r>
      <w:r w:rsidR="00B96AFB">
        <w:rPr>
          <w:lang w:val="en-US"/>
        </w:rPr>
        <w:fldChar w:fldCharType="end"/>
      </w:r>
      <w:r w:rsidR="005418DC">
        <w:rPr>
          <w:lang w:val="en-US"/>
        </w:rPr>
        <w:t xml:space="preserve"> The mice were housed </w:t>
      </w:r>
      <w:r w:rsidR="00B96AFB">
        <w:rPr>
          <w:lang w:val="en-US"/>
        </w:rPr>
        <w:t xml:space="preserve">in groups </w:t>
      </w:r>
      <w:r w:rsidR="005418DC">
        <w:rPr>
          <w:lang w:val="en-US"/>
        </w:rPr>
        <w:t>at an animal facility at 20-22</w:t>
      </w:r>
      <w:r w:rsidR="005418DC">
        <w:rPr>
          <w:rFonts w:cstheme="minorHAnsi"/>
          <w:lang w:val="en-US"/>
        </w:rPr>
        <w:t>˚</w:t>
      </w:r>
      <w:r w:rsidR="005418DC">
        <w:rPr>
          <w:lang w:val="en-US"/>
        </w:rPr>
        <w:t xml:space="preserve">C at Uppsala University with access to food and water </w:t>
      </w:r>
      <w:r w:rsidR="005418DC">
        <w:rPr>
          <w:i/>
          <w:lang w:val="en-US"/>
        </w:rPr>
        <w:t>ad libitum</w:t>
      </w:r>
      <w:r w:rsidR="005418DC">
        <w:rPr>
          <w:lang w:val="en-US"/>
        </w:rPr>
        <w:t xml:space="preserve"> on a 12-h light/dark cycle. ArcSwe mice and WT littermates of the same ages were euthanized at the age of 18 months. Mice were anesthetized with 2.7-3.2% isoflurane (Baxter Medical AB,  Kista, Sweden) followed by intracardical perfusion for 2 min. After perfusion, the brain was removed from the cranium and snap frozen on dry ice. </w:t>
      </w:r>
      <w:r w:rsidR="00B96AFB" w:rsidRPr="002C3632">
        <w:rPr>
          <w:lang w:val="en-US"/>
        </w:rPr>
        <w:t>Mice were genotyped by PCR performed</w:t>
      </w:r>
      <w:r w:rsidR="00B96AFB">
        <w:rPr>
          <w:lang w:val="en-US"/>
        </w:rPr>
        <w:t xml:space="preserve"> according to previously described procedure.</w:t>
      </w:r>
      <w:r w:rsidR="00B96AFB">
        <w:rPr>
          <w:lang w:val="en-US"/>
        </w:rPr>
        <w:fldChar w:fldCharType="begin" w:fldLock="1"/>
      </w:r>
      <w:r w:rsidR="00A17865">
        <w:rPr>
          <w:lang w:val="en-US"/>
        </w:rPr>
        <w:instrText>ADDIN CSL_CITATION {"citationItems":[{"id":"ITEM-1","itemData":{"DOI":"http://uu.diva-portal.org/smash/record.jsf?aq2=%5B%5B%5D%5D&amp;c=9&amp;af=%5B%5D&amp;searchType=LIST_COMING&amp;sortOrder2=title_sort_asc&amp;query=&amp;language=en&amp;pid=diva2%3A1571680&amp;aq=%5B%5B%5D%5D&amp;sf=all&amp;aqe=%5B%5D&amp;sortOrder=author_sort_asc&amp;onlyFullText=false&amp;noOfRows=50&amp;dswid=3520","author":[{"dropping-particle":"","family":"Pagnon de la Vega","given":"María","non-dropping-particle":"","parse-names":false,"suffix":""}],"id":"ITEM-1","issued":{"date-parts":[["2021"]]},"publisher":"Uppsala University","title":"Characterization of the novel “Uppsala mutation” causing a familial form of early onset Alzheimer’s disease","type":"thesis"},"uris":["http://www.mendeley.com/documents/?uuid=1b07acaa-6642-4c94-8d62-1b0e33d90cdb"]}],"mendeley":{"formattedCitation":"&lt;sup&gt;6&lt;/sup&gt;","plainTextFormattedCitation":"6","previouslyFormattedCitation":"&lt;sup&gt;6&lt;/sup&gt;"},"properties":{"noteIndex":0},"schema":"https://github.com/citation-style-language/schema/raw/master/csl-citation.json"}</w:instrText>
      </w:r>
      <w:r w:rsidR="00B96AFB">
        <w:rPr>
          <w:lang w:val="en-US"/>
        </w:rPr>
        <w:fldChar w:fldCharType="separate"/>
      </w:r>
      <w:r w:rsidR="00E33E28" w:rsidRPr="00E33E28">
        <w:rPr>
          <w:noProof/>
          <w:vertAlign w:val="superscript"/>
          <w:lang w:val="en-US"/>
        </w:rPr>
        <w:t>6</w:t>
      </w:r>
      <w:r w:rsidR="00B96AFB">
        <w:rPr>
          <w:lang w:val="en-US"/>
        </w:rPr>
        <w:fldChar w:fldCharType="end"/>
      </w:r>
      <w:r w:rsidR="00B96AFB" w:rsidRPr="00B96AFB">
        <w:rPr>
          <w:lang w:val="en-US"/>
        </w:rPr>
        <w:t xml:space="preserve"> A</w:t>
      </w:r>
      <w:r w:rsidR="00B96AFB">
        <w:rPr>
          <w:lang w:val="en-US"/>
        </w:rPr>
        <w:t xml:space="preserve">ll mice used in this study were </w:t>
      </w:r>
      <w:r w:rsidR="00B96AFB" w:rsidRPr="00B96AFB">
        <w:rPr>
          <w:lang w:val="en-US"/>
        </w:rPr>
        <w:t>maintained under protocols approved by t</w:t>
      </w:r>
      <w:r w:rsidR="00B96AFB">
        <w:rPr>
          <w:lang w:val="en-US"/>
        </w:rPr>
        <w:t xml:space="preserve">he Uppsala County Animal Ethics </w:t>
      </w:r>
      <w:r w:rsidR="00B96AFB" w:rsidRPr="00B96AFB">
        <w:rPr>
          <w:lang w:val="en-US"/>
        </w:rPr>
        <w:t>board, and followed the rules and re</w:t>
      </w:r>
      <w:r w:rsidR="00B96AFB">
        <w:rPr>
          <w:lang w:val="en-US"/>
        </w:rPr>
        <w:t xml:space="preserve">gulations of the Swedish Animal </w:t>
      </w:r>
      <w:r w:rsidR="00B96AFB" w:rsidRPr="00B96AFB">
        <w:rPr>
          <w:lang w:val="en-US"/>
        </w:rPr>
        <w:t>Welfare Agency (approval number C17/14).</w:t>
      </w:r>
    </w:p>
    <w:p w14:paraId="1A389C64" w14:textId="77777777" w:rsidR="003349B1" w:rsidRDefault="003349B1" w:rsidP="003349B1">
      <w:pPr>
        <w:pStyle w:val="Heading2"/>
        <w:rPr>
          <w:lang w:val="en-US"/>
        </w:rPr>
      </w:pPr>
      <w:bookmarkStart w:id="11" w:name="_Toc102322432"/>
      <w:r>
        <w:rPr>
          <w:lang w:val="en-US"/>
        </w:rPr>
        <w:t>Pretargeted Autoradiography</w:t>
      </w:r>
      <w:bookmarkEnd w:id="11"/>
    </w:p>
    <w:p w14:paraId="08D46BEB" w14:textId="77777777" w:rsidR="001E0042" w:rsidRPr="001E0042" w:rsidRDefault="001E0042" w:rsidP="001E0042">
      <w:pPr>
        <w:rPr>
          <w:lang w:val="en-US"/>
        </w:rPr>
      </w:pPr>
      <w:r>
        <w:rPr>
          <w:lang w:val="en-US"/>
        </w:rPr>
        <w:t>Pretargeted autoradiography was performed according to previously published procedure.</w:t>
      </w:r>
      <w:r>
        <w:rPr>
          <w:lang w:val="en-US"/>
        </w:rPr>
        <w:fldChar w:fldCharType="begin" w:fldLock="1"/>
      </w:r>
      <w:r w:rsidR="00A17865">
        <w:rPr>
          <w:lang w:val="en-US"/>
        </w:rPr>
        <w:instrText>ADDIN CSL_CITATION {"citationItems":[{"id":"ITEM-1","itemData":{"author":[{"dropping-particle":"","family":"Shalgunov","given":"Vladimir;","non-dropping-particle":"","parse-names":false,"suffix":""},{"dropping-particle":"","family":"Lopes van den Broek","given":"Sara;","non-dropping-particle":"","parse-names":false,"suffix":""},{"dropping-particle":"","family":"Andersen","given":"Ida Vang;","non-dropping-particle":"","parse-names":false,"suffix":""},{"dropping-particle":"","family":"Garcia Vazquez","given":"Rocio;","non-dropping-particle":"","parse-names":false,"suffix":""},{"dropping-particle":"","family":"Raval","given":"Nakul;","non-dropping-particle":"","parse-names":false,"suffix":""},{"dropping-particle":"","family":"Palner","given":"Mikael;","non-dropping-particle":"","parse-names":false,"suffix":""},{"dropping-particle":"","family":"Mori","given":"Yuki;","non-dropping-particle":"","parse-names":false,"suffix":""},{"dropping-particle":"","family":"Schäfer","given":"Gabriela;","non-dropping-particle":"","parse-names":false,"suffix":""},{"dropping-particle":"","family":"Mikula","given":"Hannes;","non-dropping-particle":"","parse-names":false,"suffix":""},{"dropping-particle":"","family":"Beschorner","given":"Natalie;","non-dropping-particle":"","parse-names":false,"suffix":""},{"dropping-particle":"","family":"Nedergaard","given":"Maiken;","non-dropping-particle":"","parse-names":false,"suffix":""},{"dropping-particle":"","family":"Syvänen","given":"Stina:","non-dropping-particle":"","parse-names":false,"suffix":""},{"dropping-particle":"","family":"Barz","given":"Matthias;","non-dropping-particle":"","parse-names":false,"suffix":""},{"dropping-particle":"","family":"Knudsen","given":"Gitte Moos;","non-dropping-particle":"","parse-names":false,"suffix":""},{"dropping-particle":"","family":"Battisti","given":"Umberto Maria;","non-dropping-particle":"","parse-names":false,"suffix":""},{"dropping-particle":"","family":"Herth","given":"Matthias","non-dropping-particle":"","parse-names":false,"suffix":""}],"container-title":"ChemRxiv","id":"ITEM-1","issue":"This content is a preprint and has not been peer-reviewed.","issued":{"date-parts":[["2022"]]},"title":"Pretargeted Imaging Beyond the Blood-Brain Barrier","type":"article-journal","volume":"Cambridge "},"uris":["http://www.mendeley.com/documents/?uuid=d1c983be-12ed-4f80-bf45-9a001856c28a"]}],"mendeley":{"formattedCitation":"&lt;sup&gt;2&lt;/sup&gt;","plainTextFormattedCitation":"2","previouslyFormattedCitation":"&lt;sup&gt;4&lt;/sup&gt;"},"properties":{"noteIndex":0},"schema":"https://github.com/citation-style-language/schema/raw/master/csl-citation.json"}</w:instrText>
      </w:r>
      <w:r>
        <w:rPr>
          <w:lang w:val="en-US"/>
        </w:rPr>
        <w:fldChar w:fldCharType="separate"/>
      </w:r>
      <w:r w:rsidR="00A17865" w:rsidRPr="00A17865">
        <w:rPr>
          <w:noProof/>
          <w:vertAlign w:val="superscript"/>
          <w:lang w:val="en-US"/>
        </w:rPr>
        <w:t>2</w:t>
      </w:r>
      <w:r>
        <w:rPr>
          <w:lang w:val="en-US"/>
        </w:rPr>
        <w:fldChar w:fldCharType="end"/>
      </w:r>
    </w:p>
    <w:p w14:paraId="583CC3B4" w14:textId="77777777" w:rsidR="003349B1" w:rsidRDefault="003349B1" w:rsidP="003349B1">
      <w:pPr>
        <w:rPr>
          <w:lang w:val="en-US"/>
        </w:rPr>
      </w:pPr>
      <w:r w:rsidRPr="00CA6C51">
        <w:rPr>
          <w:lang w:val="en-US"/>
        </w:rPr>
        <w:t xml:space="preserve">Frozen brains of </w:t>
      </w:r>
      <w:r w:rsidR="00D97161">
        <w:rPr>
          <w:lang w:val="en-US"/>
        </w:rPr>
        <w:t>previously described 5xFAD, APP/PS1 and Tg-ArcSwe mice</w:t>
      </w:r>
      <w:r w:rsidRPr="00CA6C51">
        <w:rPr>
          <w:lang w:val="en-US"/>
        </w:rPr>
        <w:t xml:space="preserve"> were cut into halves along the sagittal symmetry plane. Each half was mounted, lateral side up, on the cryostat sample holder pretreated by Tissue-Tek OCT Compound, and fixed by freezing in the cryostat.</w:t>
      </w:r>
      <w:r w:rsidR="003652CD">
        <w:rPr>
          <w:lang w:val="en-US"/>
        </w:rPr>
        <w:t xml:space="preserve"> B</w:t>
      </w:r>
      <w:r w:rsidRPr="00CA6C51">
        <w:rPr>
          <w:lang w:val="en-US"/>
        </w:rPr>
        <w:t xml:space="preserve">rains were cut at −22 °C into </w:t>
      </w:r>
      <w:r w:rsidR="003652CD" w:rsidRPr="00CA6C51">
        <w:rPr>
          <w:lang w:val="en-US"/>
        </w:rPr>
        <w:t xml:space="preserve">20 </w:t>
      </w:r>
      <w:r w:rsidR="003652CD" w:rsidRPr="00CA6C51">
        <w:t>μ</w:t>
      </w:r>
      <w:r w:rsidR="003652CD" w:rsidRPr="00CA6C51">
        <w:rPr>
          <w:lang w:val="en-US"/>
        </w:rPr>
        <w:t xml:space="preserve">m thick </w:t>
      </w:r>
      <w:r w:rsidRPr="00CA6C51">
        <w:rPr>
          <w:lang w:val="en-US"/>
        </w:rPr>
        <w:t xml:space="preserve">sagittal slices using a Leica microtome, and the slices were thaw-mounted on Superfrost (70 × 22 mm, Fischer) adhesive slides. Only slices containing both cortex (specific binding) and cerebellar regions (representing nonspecific binding) were used. The slices were allowed to dry and were then put into storage boxes and kept at −80 °C until they were used. </w:t>
      </w:r>
    </w:p>
    <w:p w14:paraId="2E2CA61C" w14:textId="77777777" w:rsidR="001E0042" w:rsidRDefault="001E0042" w:rsidP="001E0042">
      <w:pPr>
        <w:rPr>
          <w:lang w:val="en-US"/>
        </w:rPr>
      </w:pPr>
      <w:r w:rsidRPr="00CA6C51">
        <w:rPr>
          <w:lang w:val="en-US"/>
        </w:rPr>
        <w:t xml:space="preserve">On the day of the experiment, the </w:t>
      </w:r>
      <w:r>
        <w:rPr>
          <w:lang w:val="en-US"/>
        </w:rPr>
        <w:t xml:space="preserve">frozen </w:t>
      </w:r>
      <w:r w:rsidRPr="00CA6C51">
        <w:rPr>
          <w:lang w:val="en-US"/>
        </w:rPr>
        <w:t>slides with mounted brain sections</w:t>
      </w:r>
      <w:r>
        <w:rPr>
          <w:lang w:val="en-US"/>
        </w:rPr>
        <w:t xml:space="preserve"> were </w:t>
      </w:r>
      <w:r w:rsidRPr="00CA6C51">
        <w:rPr>
          <w:lang w:val="en-US"/>
        </w:rPr>
        <w:t>allowed to come to room temperature for 30 min. After</w:t>
      </w:r>
      <w:r>
        <w:rPr>
          <w:lang w:val="en-US"/>
        </w:rPr>
        <w:t>wards</w:t>
      </w:r>
      <w:r w:rsidRPr="00CA6C51">
        <w:rPr>
          <w:lang w:val="en-US"/>
        </w:rPr>
        <w:t xml:space="preserve">, a PAP pen was applied around the sections and 600 μL 1% BSA in PBS (pH 7.4) with 0.05% Tween 20 was added and incubated at room temperature for 30 minutes in incubation boxes. Afterwards, the BSA solution was removed and 600 μL of PBS (pH 7.4) with 0.05% Tween 20 was applied and incubated at room temperature for 5 minutes. The preincubation buffer was removed and 600 μL of TCO-3D6 (0.06 μL/mL and 0.006 μL/mL) in PBS (pH 7.4) with 0.05% Tween 20 was applied and incubated overnight at room temperature in a moist incubation box. On the second day, the TCO-mAb solution was removed and the slides were washed in cold PBS (pH 7.4) (3x15 min) and cold demineralized water (1x30 sec). Then, 600 μL </w:t>
      </w:r>
      <w:r w:rsidRPr="00BD0860">
        <w:rPr>
          <w:szCs w:val="26"/>
          <w:lang w:val="en-US"/>
        </w:rPr>
        <w:t>[</w:t>
      </w:r>
      <w:r w:rsidRPr="00BD0860">
        <w:rPr>
          <w:vertAlign w:val="superscript"/>
          <w:lang w:val="en-US"/>
        </w:rPr>
        <w:t>111</w:t>
      </w:r>
      <w:r w:rsidRPr="00BD0860">
        <w:rPr>
          <w:lang w:val="en-US"/>
        </w:rPr>
        <w:t>In</w:t>
      </w:r>
      <w:r w:rsidRPr="00BD0860">
        <w:rPr>
          <w:szCs w:val="26"/>
          <w:lang w:val="en-US"/>
        </w:rPr>
        <w:t>]</w:t>
      </w:r>
      <w:r>
        <w:rPr>
          <w:b/>
          <w:lang w:val="en-US"/>
        </w:rPr>
        <w:t xml:space="preserve">1 </w:t>
      </w:r>
      <w:r>
        <w:rPr>
          <w:lang w:val="en-US"/>
        </w:rPr>
        <w:t xml:space="preserve">(5 nM and 20 nM) </w:t>
      </w:r>
      <w:r w:rsidRPr="00CA6C51">
        <w:rPr>
          <w:lang w:val="en-US"/>
        </w:rPr>
        <w:t xml:space="preserve">solution was applied to all sections and incubated for 60 minutes. Afterwards, the radioactive solution was removed and the slides were washed in cold </w:t>
      </w:r>
      <w:r>
        <w:rPr>
          <w:lang w:val="en-US"/>
        </w:rPr>
        <w:t>PBS (pH 7.4) (3x</w:t>
      </w:r>
      <w:r w:rsidRPr="00CA6C51">
        <w:rPr>
          <w:lang w:val="en-US"/>
        </w:rPr>
        <w:t xml:space="preserve">5 min) </w:t>
      </w:r>
      <w:r>
        <w:rPr>
          <w:lang w:val="en-US"/>
        </w:rPr>
        <w:t>an</w:t>
      </w:r>
      <w:r w:rsidRPr="00CA6C51">
        <w:rPr>
          <w:lang w:val="en-US"/>
        </w:rPr>
        <w:t>d</w:t>
      </w:r>
      <w:r>
        <w:rPr>
          <w:lang w:val="en-US"/>
        </w:rPr>
        <w:t xml:space="preserve"> d</w:t>
      </w:r>
      <w:r w:rsidRPr="00CA6C51">
        <w:rPr>
          <w:lang w:val="en-US"/>
        </w:rPr>
        <w:t>emineralized water (1x30 sec) and dried by a flow of compressed air.</w:t>
      </w:r>
      <w:r>
        <w:rPr>
          <w:lang w:val="en-US"/>
        </w:rPr>
        <w:t xml:space="preserve"> A calibration curve with dilutions of </w:t>
      </w:r>
      <w:r w:rsidRPr="00BD0860">
        <w:rPr>
          <w:szCs w:val="26"/>
          <w:lang w:val="en-US"/>
        </w:rPr>
        <w:t>[</w:t>
      </w:r>
      <w:r w:rsidRPr="00BD0860">
        <w:rPr>
          <w:vertAlign w:val="superscript"/>
          <w:lang w:val="en-US"/>
        </w:rPr>
        <w:t>111</w:t>
      </w:r>
      <w:r w:rsidRPr="00BD0860">
        <w:rPr>
          <w:lang w:val="en-US"/>
        </w:rPr>
        <w:t>In</w:t>
      </w:r>
      <w:r w:rsidRPr="00BD0860">
        <w:rPr>
          <w:szCs w:val="26"/>
          <w:lang w:val="en-US"/>
        </w:rPr>
        <w:t>]</w:t>
      </w:r>
      <w:r w:rsidRPr="00BD0860">
        <w:rPr>
          <w:b/>
          <w:lang w:val="en-US"/>
        </w:rPr>
        <w:t>2</w:t>
      </w:r>
      <w:r>
        <w:rPr>
          <w:b/>
          <w:lang w:val="en-US"/>
        </w:rPr>
        <w:t xml:space="preserve"> </w:t>
      </w:r>
      <w:r w:rsidRPr="00CA6C51">
        <w:rPr>
          <w:lang w:val="en-US"/>
        </w:rPr>
        <w:t xml:space="preserve"> </w:t>
      </w:r>
      <w:r>
        <w:rPr>
          <w:lang w:val="en-US"/>
        </w:rPr>
        <w:t xml:space="preserve">- 40nM, 20nM, 6.7nM, 2.2nM, 0.74nM, 0.25nM and 0.12nM – was prepared. </w:t>
      </w:r>
      <w:r w:rsidRPr="00CA6C51">
        <w:rPr>
          <w:lang w:val="en-US"/>
        </w:rPr>
        <w:t xml:space="preserve">After drying the plates, the slides were exposed on phosphor storage screens for 1-12 hours, depending on the amount of radioactivity on the slide. Afterwards, the phosphor storage screens were read by a Cyclone Storage Phosphor System (Packard Instruments Co). Quantification of plate readings was done with Optiquant software (version 3.00, Packard Instruments Co) and ImageJ by drawing regions of interest on the </w:t>
      </w:r>
      <w:r>
        <w:rPr>
          <w:lang w:val="en-US"/>
        </w:rPr>
        <w:t>cortex</w:t>
      </w:r>
      <w:r w:rsidRPr="00CA6C51">
        <w:rPr>
          <w:lang w:val="en-US"/>
        </w:rPr>
        <w:t xml:space="preserve"> and cerebellum manually</w:t>
      </w:r>
      <w:r>
        <w:rPr>
          <w:lang w:val="en-US"/>
        </w:rPr>
        <w:t xml:space="preserve"> according to previously described protocol</w:t>
      </w:r>
      <w:r w:rsidRPr="00CA6C51">
        <w:rPr>
          <w:lang w:val="en-US"/>
        </w:rPr>
        <w:t>.</w:t>
      </w:r>
      <w:r>
        <w:rPr>
          <w:lang w:val="en-US"/>
        </w:rPr>
        <w:fldChar w:fldCharType="begin" w:fldLock="1"/>
      </w:r>
      <w:r w:rsidR="00A17865">
        <w:rPr>
          <w:lang w:val="en-US"/>
        </w:rPr>
        <w:instrText>ADDIN CSL_CITATION {"citationItems":[{"id":"ITEM-1","itemData":{"author":[{"dropping-particle":"","family":"Shalgunov","given":"Vladimir;","non-dropping-particle":"","parse-names":false,"suffix":""},{"dropping-particle":"","family":"Lopes van den Broek","given":"Sara;","non-dropping-particle":"","parse-names":false,"suffix":""},{"dropping-particle":"","family":"Andersen","given":"Ida Vang;","non-dropping-particle":"","parse-names":false,"suffix":""},{"dropping-particle":"","family":"Garcia Vazquez","given":"Rocio;","non-dropping-particle":"","parse-names":false,"suffix":""},{"dropping-particle":"","family":"Raval","given":"Nakul;","non-dropping-particle":"","parse-names":false,"suffix":""},{"dropping-particle":"","family":"Palner","given":"Mikael;","non-dropping-particle":"","parse-names":false,"suffix":""},{"dropping-particle":"","family":"Mori","given":"Yuki;","non-dropping-particle":"","parse-names":false,"suffix":""},{"dropping-particle":"","family":"Schäfer","given":"Gabriela;","non-dropping-particle":"","parse-names":false,"suffix":""},{"dropping-particle":"","family":"Mikula","given":"Hannes;","non-dropping-particle":"","parse-names":false,"suffix":""},{"dropping-particle":"","family":"Beschorner","given":"Natalie;","non-dropping-particle":"","parse-names":false,"suffix":""},{"dropping-particle":"","family":"Nedergaard","given":"Maiken;","non-dropping-particle":"","parse-names":false,"suffix":""},{"dropping-particle":"","family":"Syvänen","given":"Stina:","non-dropping-particle":"","parse-names":false,"suffix":""},{"dropping-particle":"","family":"Barz","given":"Matthias;","non-dropping-particle":"","parse-names":false,"suffix":""},{"dropping-particle":"","family":"Knudsen","given":"Gitte Moos;","non-dropping-particle":"","parse-names":false,"suffix":""},{"dropping-particle":"","family":"Battisti","given":"Umberto Maria;","non-dropping-particle":"","parse-names":false,"suffix":""},{"dropping-particle":"","family":"Herth","given":"Matthias","non-dropping-particle":"","parse-names":false,"suffix":""}],"container-title":"ChemRxiv","id":"ITEM-1","issue":"This content is a preprint and has not been peer-reviewed.","issued":{"date-parts":[["2022"]]},"title":"Pretargeted Imaging Beyond the Blood-Brain Barrier","type":"article-journal","volume":"Cambridge "},"uris":["http://www.mendeley.com/documents/?uuid=d1c983be-12ed-4f80-bf45-9a001856c28a"]}],"mendeley":{"formattedCitation":"&lt;sup&gt;2&lt;/sup&gt;","plainTextFormattedCitation":"2","previouslyFormattedCitation":"&lt;sup&gt;4&lt;/sup&gt;"},"properties":{"noteIndex":0},"schema":"https://github.com/citation-style-language/schema/raw/master/csl-citation.json"}</w:instrText>
      </w:r>
      <w:r>
        <w:rPr>
          <w:lang w:val="en-US"/>
        </w:rPr>
        <w:fldChar w:fldCharType="separate"/>
      </w:r>
      <w:r w:rsidR="00A17865" w:rsidRPr="00A17865">
        <w:rPr>
          <w:noProof/>
          <w:vertAlign w:val="superscript"/>
          <w:lang w:val="en-US"/>
        </w:rPr>
        <w:t>2</w:t>
      </w:r>
      <w:r>
        <w:rPr>
          <w:lang w:val="en-US"/>
        </w:rPr>
        <w:fldChar w:fldCharType="end"/>
      </w:r>
      <w:r w:rsidRPr="00CA6C51">
        <w:rPr>
          <w:lang w:val="en-US"/>
        </w:rPr>
        <w:t xml:space="preserve"> </w:t>
      </w:r>
      <w:r>
        <w:rPr>
          <w:lang w:val="en-US"/>
        </w:rPr>
        <w:t>Data was processed in Excel and cortex/cerebellum imaging contrast ratios were calculated.</w:t>
      </w:r>
      <w:r>
        <w:rPr>
          <w:lang w:val="en-US"/>
        </w:rPr>
        <w:fldChar w:fldCharType="begin" w:fldLock="1"/>
      </w:r>
      <w:r w:rsidR="00A17865">
        <w:rPr>
          <w:lang w:val="en-US"/>
        </w:rPr>
        <w:instrText>ADDIN CSL_CITATION {"citationItems":[{"id":"ITEM-1","itemData":{"DOI":"10.1016/j.euroneuro.2020.09.589","ISSN":"0924977X","author":[{"dropping-particle":"","family":"Raval","given":"N.R.","non-dropping-particle":"","parse-names":false,"suffix":""},{"dropping-particle":"","family":"Johansen","given":"A.","non-dropping-particle":"","parse-names":false,"suffix":""},{"dropping-particle":"","family":"Donovan","given":"L.L.","non-dropping-particle":"","parse-names":false,"suffix":""},{"dropping-particle":"","family":"Ros","given":"N.F.","non-dropping-particle":"","parse-names":false,"suffix":""},{"dropping-particle":"","family":"Ozenne","given":"B.","non-dropping-particle":"","parse-names":false,"suffix":""},{"dropping-particle":"","family":"Hansen","given":"H.D.","non-dropping-particle":"","parse-names":false,"suffix":""},{"dropping-particle":"","family":"Knudsen","given":"G.M.","non-dropping-particle":"","parse-names":false,"suffix":""}],"container-title":"European Neuropsychopharmacology","id":"ITEM-1","issued":{"date-parts":[["2020"]]},"page":"S453-S454","title":"P.804A single dose of psilocybin increases synaptic density and decreases 5-HT2A receptor density in the pig brain","type":"article-journal","volume":"40"},"uris":["http://www.mendeley.com/documents/?uuid=047eca26-c9b1-4d6e-804a-e48d819b8219"]},{"id":"ITEM-2","itemData":{"DOI":"10.3791/58879","ISSN":"1940-087X","author":[{"dropping-particle":"","family":"Griem-Krey","given":"Nane","non-dropping-particle":"","parse-names":false,"suffix":""},{"dropping-particle":"","family":"Klein","given":"Anders Bue","non-dropping-particle":"","parse-names":false,"suffix":""},{"dropping-particle":"","family":"Herth","given":"Matthias","non-dropping-particle":"","parse-names":false,"suffix":""},{"dropping-particle":"","family":"Wellendorph","given":"Petrine","non-dropping-particle":"","parse-names":false,"suffix":""}],"container-title":"Journal of Visualized Experiments","id":"ITEM-2","issue":"145","issued":{"date-parts":[["2019","3","12"]]},"title":"Autoradiography as a Simple and Powerful Method for Visualization and Characterization of Pharmacological Targets","type":"article-journal"},"uris":["http://www.mendeley.com/documents/?uuid=654d0092-1a7d-44e1-8706-89da770139b6"]}],"mendeley":{"formattedCitation":"&lt;sup&gt;7,8&lt;/sup&gt;","plainTextFormattedCitation":"7,8","previouslyFormattedCitation":"&lt;sup&gt;6,7&lt;/sup&gt;"},"properties":{"noteIndex":0},"schema":"https://github.com/citation-style-language/schema/raw/master/csl-citation.json"}</w:instrText>
      </w:r>
      <w:r>
        <w:rPr>
          <w:lang w:val="en-US"/>
        </w:rPr>
        <w:fldChar w:fldCharType="separate"/>
      </w:r>
      <w:r w:rsidR="00A17865" w:rsidRPr="00A17865">
        <w:rPr>
          <w:noProof/>
          <w:vertAlign w:val="superscript"/>
          <w:lang w:val="en-US"/>
        </w:rPr>
        <w:t>7,8</w:t>
      </w:r>
      <w:r>
        <w:rPr>
          <w:lang w:val="en-US"/>
        </w:rPr>
        <w:fldChar w:fldCharType="end"/>
      </w:r>
    </w:p>
    <w:p w14:paraId="01ED5239" w14:textId="77777777" w:rsidR="00F469A7" w:rsidRDefault="00F469A7" w:rsidP="00F469A7">
      <w:pPr>
        <w:pStyle w:val="Heading1"/>
        <w:rPr>
          <w:lang w:val="en-US"/>
        </w:rPr>
      </w:pPr>
      <w:bookmarkStart w:id="12" w:name="_Toc102322433"/>
      <w:r>
        <w:rPr>
          <w:lang w:val="en-US"/>
        </w:rPr>
        <w:t>References</w:t>
      </w:r>
      <w:bookmarkEnd w:id="12"/>
    </w:p>
    <w:p w14:paraId="08780437" w14:textId="75B96492" w:rsidR="00A17865" w:rsidRPr="00206AFB" w:rsidRDefault="00F469A7" w:rsidP="00A17865">
      <w:pPr>
        <w:widowControl w:val="0"/>
        <w:autoSpaceDE w:val="0"/>
        <w:autoSpaceDN w:val="0"/>
        <w:adjustRightInd w:val="0"/>
        <w:spacing w:line="240" w:lineRule="auto"/>
        <w:ind w:left="640" w:hanging="640"/>
        <w:rPr>
          <w:rFonts w:ascii="Calibri" w:hAnsi="Calibri" w:cs="Calibri"/>
          <w:noProof/>
          <w:szCs w:val="24"/>
          <w:lang w:val="en-US"/>
        </w:rPr>
      </w:pPr>
      <w:r>
        <w:rPr>
          <w:lang w:val="en-US"/>
        </w:rPr>
        <w:fldChar w:fldCharType="begin" w:fldLock="1"/>
      </w:r>
      <w:r>
        <w:rPr>
          <w:lang w:val="en-US"/>
        </w:rPr>
        <w:instrText xml:space="preserve">ADDIN Mendeley Bibliography CSL_BIBLIOGRAPHY </w:instrText>
      </w:r>
      <w:r>
        <w:rPr>
          <w:lang w:val="en-US"/>
        </w:rPr>
        <w:fldChar w:fldCharType="separate"/>
      </w:r>
      <w:r w:rsidR="00A17865" w:rsidRPr="00206AFB">
        <w:rPr>
          <w:rFonts w:ascii="Calibri" w:hAnsi="Calibri" w:cs="Calibri"/>
          <w:noProof/>
          <w:szCs w:val="24"/>
          <w:lang w:val="en-US"/>
        </w:rPr>
        <w:t>1.</w:t>
      </w:r>
      <w:r w:rsidR="00A17865" w:rsidRPr="00206AFB">
        <w:rPr>
          <w:rFonts w:ascii="Calibri" w:hAnsi="Calibri" w:cs="Calibri"/>
          <w:noProof/>
          <w:szCs w:val="24"/>
          <w:lang w:val="en-US"/>
        </w:rPr>
        <w:tab/>
        <w:t>Lewis</w:t>
      </w:r>
      <w:r w:rsidR="00F748E2">
        <w:rPr>
          <w:rFonts w:ascii="Calibri" w:hAnsi="Calibri" w:cs="Calibri"/>
          <w:noProof/>
          <w:szCs w:val="24"/>
          <w:lang w:val="en-US"/>
        </w:rPr>
        <w:t xml:space="preserve"> </w:t>
      </w:r>
      <w:r w:rsidR="00A17865" w:rsidRPr="00206AFB">
        <w:rPr>
          <w:rFonts w:ascii="Calibri" w:hAnsi="Calibri" w:cs="Calibri"/>
          <w:noProof/>
          <w:szCs w:val="24"/>
          <w:lang w:val="en-US"/>
        </w:rPr>
        <w:t>JS</w:t>
      </w:r>
      <w:r w:rsidR="00F748E2">
        <w:rPr>
          <w:rFonts w:ascii="Calibri" w:hAnsi="Calibri" w:cs="Calibri"/>
          <w:noProof/>
          <w:szCs w:val="24"/>
          <w:lang w:val="en-US"/>
        </w:rPr>
        <w:t>,</w:t>
      </w:r>
      <w:r w:rsidR="00A17865" w:rsidRPr="00206AFB">
        <w:rPr>
          <w:rFonts w:ascii="Calibri" w:hAnsi="Calibri" w:cs="Calibri"/>
          <w:noProof/>
          <w:szCs w:val="24"/>
          <w:lang w:val="en-US"/>
        </w:rPr>
        <w:t xml:space="preserve"> Windhorst</w:t>
      </w:r>
      <w:r w:rsidR="00F748E2">
        <w:rPr>
          <w:rFonts w:ascii="Calibri" w:hAnsi="Calibri" w:cs="Calibri"/>
          <w:noProof/>
          <w:szCs w:val="24"/>
          <w:lang w:val="en-US"/>
        </w:rPr>
        <w:t xml:space="preserve"> </w:t>
      </w:r>
      <w:r w:rsidR="00A17865" w:rsidRPr="00206AFB">
        <w:rPr>
          <w:rFonts w:ascii="Calibri" w:hAnsi="Calibri" w:cs="Calibri"/>
          <w:noProof/>
          <w:szCs w:val="24"/>
          <w:lang w:val="en-US"/>
        </w:rPr>
        <w:t>AD</w:t>
      </w:r>
      <w:r w:rsidR="00F748E2">
        <w:rPr>
          <w:rFonts w:ascii="Calibri" w:hAnsi="Calibri" w:cs="Calibri"/>
          <w:noProof/>
          <w:szCs w:val="24"/>
          <w:lang w:val="en-US"/>
        </w:rPr>
        <w:t>,</w:t>
      </w:r>
      <w:r w:rsidR="00A17865" w:rsidRPr="00206AFB">
        <w:rPr>
          <w:rFonts w:ascii="Calibri" w:hAnsi="Calibri" w:cs="Calibri"/>
          <w:noProof/>
          <w:szCs w:val="24"/>
          <w:lang w:val="en-US"/>
        </w:rPr>
        <w:t xml:space="preserve"> Zeglis BM. </w:t>
      </w:r>
      <w:r w:rsidR="00A17865" w:rsidRPr="00206AFB">
        <w:rPr>
          <w:rFonts w:ascii="Calibri" w:hAnsi="Calibri" w:cs="Calibri"/>
          <w:i/>
          <w:iCs/>
          <w:noProof/>
          <w:szCs w:val="24"/>
          <w:lang w:val="en-US"/>
        </w:rPr>
        <w:t>Radiopharmaceutical Chemistry</w:t>
      </w:r>
      <w:r w:rsidR="00A17865" w:rsidRPr="00206AFB">
        <w:rPr>
          <w:rFonts w:ascii="Calibri" w:hAnsi="Calibri" w:cs="Calibri"/>
          <w:noProof/>
          <w:szCs w:val="24"/>
          <w:lang w:val="en-US"/>
        </w:rPr>
        <w:t xml:space="preserve">. </w:t>
      </w:r>
      <w:r w:rsidR="00A17865" w:rsidRPr="00206AFB">
        <w:rPr>
          <w:rFonts w:ascii="Calibri" w:hAnsi="Calibri" w:cs="Calibri"/>
          <w:i/>
          <w:iCs/>
          <w:noProof/>
          <w:szCs w:val="24"/>
          <w:lang w:val="en-US"/>
        </w:rPr>
        <w:t>Neuromethods</w:t>
      </w:r>
      <w:r w:rsidR="00A17865" w:rsidRPr="00206AFB">
        <w:rPr>
          <w:rFonts w:ascii="Calibri" w:hAnsi="Calibri" w:cs="Calibri"/>
          <w:noProof/>
          <w:szCs w:val="24"/>
          <w:lang w:val="en-US"/>
        </w:rPr>
        <w:t xml:space="preserve"> (Springer, 2019). doi:10.1007/7657-2012-41</w:t>
      </w:r>
    </w:p>
    <w:p w14:paraId="7F466B99" w14:textId="1BB652F9" w:rsidR="00A17865" w:rsidRPr="00206AFB" w:rsidRDefault="00A17865" w:rsidP="00A17865">
      <w:pPr>
        <w:widowControl w:val="0"/>
        <w:autoSpaceDE w:val="0"/>
        <w:autoSpaceDN w:val="0"/>
        <w:adjustRightInd w:val="0"/>
        <w:spacing w:line="240" w:lineRule="auto"/>
        <w:ind w:left="640" w:hanging="640"/>
        <w:rPr>
          <w:rFonts w:ascii="Calibri" w:hAnsi="Calibri" w:cs="Calibri"/>
          <w:noProof/>
          <w:szCs w:val="24"/>
          <w:lang w:val="en-US"/>
        </w:rPr>
      </w:pPr>
      <w:r w:rsidRPr="00F748E2">
        <w:rPr>
          <w:rFonts w:ascii="Calibri" w:hAnsi="Calibri" w:cs="Calibri"/>
          <w:noProof/>
          <w:szCs w:val="24"/>
          <w:lang w:val="nl-NL"/>
        </w:rPr>
        <w:t>2.</w:t>
      </w:r>
      <w:r w:rsidRPr="00F748E2">
        <w:rPr>
          <w:rFonts w:ascii="Calibri" w:hAnsi="Calibri" w:cs="Calibri"/>
          <w:noProof/>
          <w:szCs w:val="24"/>
          <w:lang w:val="nl-NL"/>
        </w:rPr>
        <w:tab/>
        <w:t>Shalgunov V</w:t>
      </w:r>
      <w:r w:rsidR="00F748E2" w:rsidRPr="00F748E2">
        <w:rPr>
          <w:rFonts w:ascii="Calibri" w:hAnsi="Calibri" w:cs="Calibri"/>
          <w:noProof/>
          <w:szCs w:val="24"/>
          <w:lang w:val="nl-NL"/>
        </w:rPr>
        <w:t>, Lopes van den Broek S</w:t>
      </w:r>
      <w:r w:rsidR="00F748E2">
        <w:rPr>
          <w:rFonts w:ascii="Calibri" w:hAnsi="Calibri" w:cs="Calibri"/>
          <w:noProof/>
          <w:szCs w:val="24"/>
          <w:lang w:val="nl-NL"/>
        </w:rPr>
        <w:t>, Anderson IV, Vázquez RG, Raval N,Palner M,</w:t>
      </w:r>
      <w:r w:rsidRPr="00F748E2">
        <w:rPr>
          <w:rFonts w:ascii="Calibri" w:hAnsi="Calibri" w:cs="Calibri"/>
          <w:noProof/>
          <w:szCs w:val="24"/>
          <w:lang w:val="nl-NL"/>
        </w:rPr>
        <w:t xml:space="preserve"> </w:t>
      </w:r>
      <w:r w:rsidRPr="00F748E2">
        <w:rPr>
          <w:rFonts w:ascii="Calibri" w:hAnsi="Calibri" w:cs="Calibri"/>
          <w:i/>
          <w:iCs/>
          <w:noProof/>
          <w:szCs w:val="24"/>
          <w:lang w:val="nl-NL"/>
        </w:rPr>
        <w:t>et al.</w:t>
      </w:r>
      <w:r w:rsidRPr="00F748E2">
        <w:rPr>
          <w:rFonts w:ascii="Calibri" w:hAnsi="Calibri" w:cs="Calibri"/>
          <w:noProof/>
          <w:szCs w:val="24"/>
          <w:lang w:val="nl-NL"/>
        </w:rPr>
        <w:t xml:space="preserve"> </w:t>
      </w:r>
      <w:r w:rsidRPr="00206AFB">
        <w:rPr>
          <w:rFonts w:ascii="Calibri" w:hAnsi="Calibri" w:cs="Calibri"/>
          <w:noProof/>
          <w:szCs w:val="24"/>
          <w:lang w:val="en-US"/>
        </w:rPr>
        <w:t xml:space="preserve">Pretargeted Imaging Beyond the Blood-Brain Barrier. </w:t>
      </w:r>
      <w:r w:rsidRPr="00206AFB">
        <w:rPr>
          <w:rFonts w:ascii="Calibri" w:hAnsi="Calibri" w:cs="Calibri"/>
          <w:i/>
          <w:iCs/>
          <w:noProof/>
          <w:szCs w:val="24"/>
          <w:lang w:val="en-US"/>
        </w:rPr>
        <w:t>ChemRxiv</w:t>
      </w:r>
      <w:r w:rsidRPr="00206AFB">
        <w:rPr>
          <w:rFonts w:ascii="Calibri" w:hAnsi="Calibri" w:cs="Calibri"/>
          <w:noProof/>
          <w:szCs w:val="24"/>
          <w:lang w:val="en-US"/>
        </w:rPr>
        <w:t xml:space="preserve"> </w:t>
      </w:r>
      <w:r w:rsidRPr="00206AFB">
        <w:rPr>
          <w:rFonts w:ascii="Calibri" w:hAnsi="Calibri" w:cs="Calibri"/>
          <w:b/>
          <w:bCs/>
          <w:noProof/>
          <w:szCs w:val="24"/>
          <w:lang w:val="en-US"/>
        </w:rPr>
        <w:t>Cambridge</w:t>
      </w:r>
      <w:r w:rsidRPr="00206AFB">
        <w:rPr>
          <w:rFonts w:ascii="Calibri" w:hAnsi="Calibri" w:cs="Calibri"/>
          <w:noProof/>
          <w:szCs w:val="24"/>
          <w:lang w:val="en-US"/>
        </w:rPr>
        <w:t>, (2022)</w:t>
      </w:r>
      <w:r w:rsidR="00F748E2">
        <w:rPr>
          <w:rFonts w:ascii="Calibri" w:hAnsi="Calibri" w:cs="Calibri"/>
          <w:noProof/>
          <w:szCs w:val="24"/>
          <w:lang w:val="en-US"/>
        </w:rPr>
        <w:t xml:space="preserve"> </w:t>
      </w:r>
      <w:r w:rsidR="00F748E2" w:rsidRPr="00F748E2">
        <w:rPr>
          <w:rFonts w:ascii="Calibri" w:hAnsi="Calibri" w:cs="Calibri"/>
          <w:noProof/>
          <w:szCs w:val="24"/>
          <w:lang w:val="en-US"/>
        </w:rPr>
        <w:t>doi</w:t>
      </w:r>
      <w:r w:rsidR="00F748E2">
        <w:rPr>
          <w:rFonts w:ascii="Calibri" w:hAnsi="Calibri" w:cs="Calibri"/>
          <w:noProof/>
          <w:szCs w:val="24"/>
          <w:lang w:val="en-US"/>
        </w:rPr>
        <w:t>: 1</w:t>
      </w:r>
      <w:r w:rsidR="00F748E2" w:rsidRPr="00F748E2">
        <w:rPr>
          <w:rFonts w:ascii="Calibri" w:hAnsi="Calibri" w:cs="Calibri"/>
          <w:noProof/>
          <w:szCs w:val="24"/>
          <w:lang w:val="en-US"/>
        </w:rPr>
        <w:t>0.26434/chemrxiv-2022-gj597-v2</w:t>
      </w:r>
    </w:p>
    <w:p w14:paraId="4B9AD790" w14:textId="0A58CD26" w:rsidR="00A17865" w:rsidRPr="00206AFB" w:rsidRDefault="00A17865" w:rsidP="00A17865">
      <w:pPr>
        <w:widowControl w:val="0"/>
        <w:autoSpaceDE w:val="0"/>
        <w:autoSpaceDN w:val="0"/>
        <w:adjustRightInd w:val="0"/>
        <w:spacing w:line="240" w:lineRule="auto"/>
        <w:ind w:left="640" w:hanging="640"/>
        <w:rPr>
          <w:rFonts w:ascii="Calibri" w:hAnsi="Calibri" w:cs="Calibri"/>
          <w:noProof/>
          <w:szCs w:val="24"/>
          <w:lang w:val="en-US"/>
        </w:rPr>
      </w:pPr>
      <w:r w:rsidRPr="00206AFB">
        <w:rPr>
          <w:rFonts w:ascii="Calibri" w:hAnsi="Calibri" w:cs="Calibri"/>
          <w:noProof/>
          <w:szCs w:val="24"/>
          <w:lang w:val="en-US"/>
        </w:rPr>
        <w:lastRenderedPageBreak/>
        <w:t>3.</w:t>
      </w:r>
      <w:r w:rsidRPr="00206AFB">
        <w:rPr>
          <w:rFonts w:ascii="Calibri" w:hAnsi="Calibri" w:cs="Calibri"/>
          <w:noProof/>
          <w:szCs w:val="24"/>
          <w:lang w:val="en-US"/>
        </w:rPr>
        <w:tab/>
        <w:t>Oakley H</w:t>
      </w:r>
      <w:r w:rsidR="00F748E2">
        <w:rPr>
          <w:rFonts w:ascii="Calibri" w:hAnsi="Calibri" w:cs="Calibri"/>
          <w:noProof/>
          <w:szCs w:val="24"/>
          <w:lang w:val="en-US"/>
        </w:rPr>
        <w:t>, Cole SL, Logan S, Maus E, Shao P, Craft J,</w:t>
      </w:r>
      <w:r w:rsidRPr="00206AFB">
        <w:rPr>
          <w:rFonts w:ascii="Calibri" w:hAnsi="Calibri" w:cs="Calibri"/>
          <w:noProof/>
          <w:szCs w:val="24"/>
          <w:lang w:val="en-US"/>
        </w:rPr>
        <w:t xml:space="preserve"> </w:t>
      </w:r>
      <w:r w:rsidRPr="00206AFB">
        <w:rPr>
          <w:rFonts w:ascii="Calibri" w:hAnsi="Calibri" w:cs="Calibri"/>
          <w:i/>
          <w:iCs/>
          <w:noProof/>
          <w:szCs w:val="24"/>
          <w:lang w:val="en-US"/>
        </w:rPr>
        <w:t>et al.</w:t>
      </w:r>
      <w:r w:rsidRPr="00206AFB">
        <w:rPr>
          <w:rFonts w:ascii="Calibri" w:hAnsi="Calibri" w:cs="Calibri"/>
          <w:noProof/>
          <w:szCs w:val="24"/>
          <w:lang w:val="en-US"/>
        </w:rPr>
        <w:t xml:space="preserve"> Intraneuronal beta-Amyloid Aggregates, Neurodegeneration, and Neuron Loss in Transgenic Mice with Five Familial Alzheimer’s Disease Mutations: Potential Factors in Amyloid Plaque Formation. </w:t>
      </w:r>
      <w:r w:rsidRPr="00206AFB">
        <w:rPr>
          <w:rFonts w:ascii="Calibri" w:hAnsi="Calibri" w:cs="Calibri"/>
          <w:i/>
          <w:iCs/>
          <w:noProof/>
          <w:szCs w:val="24"/>
          <w:lang w:val="en-US"/>
        </w:rPr>
        <w:t>J. Neurosci.</w:t>
      </w:r>
      <w:r w:rsidRPr="00206AFB">
        <w:rPr>
          <w:rFonts w:ascii="Calibri" w:hAnsi="Calibri" w:cs="Calibri"/>
          <w:noProof/>
          <w:szCs w:val="24"/>
          <w:lang w:val="en-US"/>
        </w:rPr>
        <w:t xml:space="preserve"> </w:t>
      </w:r>
      <w:r w:rsidRPr="00206AFB">
        <w:rPr>
          <w:rFonts w:ascii="Calibri" w:hAnsi="Calibri" w:cs="Calibri"/>
          <w:b/>
          <w:bCs/>
          <w:noProof/>
          <w:szCs w:val="24"/>
          <w:lang w:val="en-US"/>
        </w:rPr>
        <w:t>26</w:t>
      </w:r>
      <w:r w:rsidRPr="00206AFB">
        <w:rPr>
          <w:rFonts w:ascii="Calibri" w:hAnsi="Calibri" w:cs="Calibri"/>
          <w:noProof/>
          <w:szCs w:val="24"/>
          <w:lang w:val="en-US"/>
        </w:rPr>
        <w:t>, 10129–10140 (2006).</w:t>
      </w:r>
    </w:p>
    <w:p w14:paraId="0E4C9E23" w14:textId="37CF2CAD" w:rsidR="00A17865" w:rsidRPr="00206AFB" w:rsidRDefault="00A17865" w:rsidP="00A17865">
      <w:pPr>
        <w:widowControl w:val="0"/>
        <w:autoSpaceDE w:val="0"/>
        <w:autoSpaceDN w:val="0"/>
        <w:adjustRightInd w:val="0"/>
        <w:spacing w:line="240" w:lineRule="auto"/>
        <w:ind w:left="640" w:hanging="640"/>
        <w:rPr>
          <w:rFonts w:ascii="Calibri" w:hAnsi="Calibri" w:cs="Calibri"/>
          <w:noProof/>
          <w:szCs w:val="24"/>
          <w:lang w:val="en-US"/>
        </w:rPr>
      </w:pPr>
      <w:r w:rsidRPr="00F748E2">
        <w:rPr>
          <w:rFonts w:ascii="Calibri" w:hAnsi="Calibri" w:cs="Calibri"/>
          <w:noProof/>
          <w:szCs w:val="24"/>
          <w:lang w:val="de-DE"/>
        </w:rPr>
        <w:t>4.</w:t>
      </w:r>
      <w:r w:rsidRPr="00F748E2">
        <w:rPr>
          <w:rFonts w:ascii="Calibri" w:hAnsi="Calibri" w:cs="Calibri"/>
          <w:noProof/>
          <w:szCs w:val="24"/>
          <w:lang w:val="de-DE"/>
        </w:rPr>
        <w:tab/>
        <w:t>Andersen</w:t>
      </w:r>
      <w:r w:rsidR="00F748E2" w:rsidRPr="00F748E2">
        <w:rPr>
          <w:rFonts w:ascii="Calibri" w:hAnsi="Calibri" w:cs="Calibri"/>
          <w:noProof/>
          <w:szCs w:val="24"/>
          <w:lang w:val="de-DE"/>
        </w:rPr>
        <w:t xml:space="preserve"> JV, Skotte NH, Christensen SK, Polli FS, Shabani M, Markussen </w:t>
      </w:r>
      <w:r w:rsidR="00F748E2">
        <w:rPr>
          <w:rFonts w:ascii="Calibri" w:hAnsi="Calibri" w:cs="Calibri"/>
          <w:noProof/>
          <w:szCs w:val="24"/>
          <w:lang w:val="de-DE"/>
        </w:rPr>
        <w:t>KH,</w:t>
      </w:r>
      <w:r w:rsidRPr="00F748E2">
        <w:rPr>
          <w:rFonts w:ascii="Calibri" w:hAnsi="Calibri" w:cs="Calibri"/>
          <w:noProof/>
          <w:szCs w:val="24"/>
          <w:lang w:val="de-DE"/>
        </w:rPr>
        <w:t xml:space="preserve"> </w:t>
      </w:r>
      <w:r w:rsidRPr="00F748E2">
        <w:rPr>
          <w:rFonts w:ascii="Calibri" w:hAnsi="Calibri" w:cs="Calibri"/>
          <w:i/>
          <w:iCs/>
          <w:noProof/>
          <w:szCs w:val="24"/>
          <w:lang w:val="de-DE"/>
        </w:rPr>
        <w:t>et al.</w:t>
      </w:r>
      <w:r w:rsidRPr="00F748E2">
        <w:rPr>
          <w:rFonts w:ascii="Calibri" w:hAnsi="Calibri" w:cs="Calibri"/>
          <w:noProof/>
          <w:szCs w:val="24"/>
          <w:lang w:val="de-DE"/>
        </w:rPr>
        <w:t xml:space="preserve"> </w:t>
      </w:r>
      <w:r w:rsidRPr="00206AFB">
        <w:rPr>
          <w:rFonts w:ascii="Calibri" w:hAnsi="Calibri" w:cs="Calibri"/>
          <w:noProof/>
          <w:szCs w:val="24"/>
          <w:lang w:val="en-US"/>
        </w:rPr>
        <w:t xml:space="preserve">Hippocampal disruptions of synaptic and astrocyte metabolism are primary events of early amyloid pathology in the 5xFAD mouse model of Alzheimer’s disease. </w:t>
      </w:r>
      <w:r w:rsidRPr="00206AFB">
        <w:rPr>
          <w:rFonts w:ascii="Calibri" w:hAnsi="Calibri" w:cs="Calibri"/>
          <w:i/>
          <w:iCs/>
          <w:noProof/>
          <w:szCs w:val="24"/>
          <w:lang w:val="en-US"/>
        </w:rPr>
        <w:t>Cell Death Dis.</w:t>
      </w:r>
      <w:r w:rsidRPr="00206AFB">
        <w:rPr>
          <w:rFonts w:ascii="Calibri" w:hAnsi="Calibri" w:cs="Calibri"/>
          <w:noProof/>
          <w:szCs w:val="24"/>
          <w:lang w:val="en-US"/>
        </w:rPr>
        <w:t xml:space="preserve"> </w:t>
      </w:r>
      <w:r w:rsidRPr="00206AFB">
        <w:rPr>
          <w:rFonts w:ascii="Calibri" w:hAnsi="Calibri" w:cs="Calibri"/>
          <w:b/>
          <w:bCs/>
          <w:noProof/>
          <w:szCs w:val="24"/>
          <w:lang w:val="en-US"/>
        </w:rPr>
        <w:t>12</w:t>
      </w:r>
      <w:r w:rsidRPr="00206AFB">
        <w:rPr>
          <w:rFonts w:ascii="Calibri" w:hAnsi="Calibri" w:cs="Calibri"/>
          <w:noProof/>
          <w:szCs w:val="24"/>
          <w:lang w:val="en-US"/>
        </w:rPr>
        <w:t>, 954 (2021).</w:t>
      </w:r>
    </w:p>
    <w:p w14:paraId="2C5B4AA1" w14:textId="4A6E5DC4" w:rsidR="00A17865" w:rsidRPr="00206AFB" w:rsidRDefault="00A17865" w:rsidP="00A17865">
      <w:pPr>
        <w:widowControl w:val="0"/>
        <w:autoSpaceDE w:val="0"/>
        <w:autoSpaceDN w:val="0"/>
        <w:adjustRightInd w:val="0"/>
        <w:spacing w:line="240" w:lineRule="auto"/>
        <w:ind w:left="640" w:hanging="640"/>
        <w:rPr>
          <w:rFonts w:ascii="Calibri" w:hAnsi="Calibri" w:cs="Calibri"/>
          <w:noProof/>
          <w:szCs w:val="24"/>
          <w:lang w:val="en-US"/>
        </w:rPr>
      </w:pPr>
      <w:r w:rsidRPr="00F748E2">
        <w:rPr>
          <w:rFonts w:ascii="Calibri" w:hAnsi="Calibri" w:cs="Calibri"/>
          <w:noProof/>
          <w:szCs w:val="24"/>
          <w:lang w:val="en-US"/>
        </w:rPr>
        <w:t>5.</w:t>
      </w:r>
      <w:r w:rsidRPr="00F748E2">
        <w:rPr>
          <w:rFonts w:ascii="Calibri" w:hAnsi="Calibri" w:cs="Calibri"/>
          <w:noProof/>
          <w:szCs w:val="24"/>
          <w:lang w:val="en-US"/>
        </w:rPr>
        <w:tab/>
        <w:t>Olsen M</w:t>
      </w:r>
      <w:r w:rsidR="00F748E2" w:rsidRPr="00F748E2">
        <w:rPr>
          <w:rFonts w:ascii="Calibri" w:hAnsi="Calibri" w:cs="Calibri"/>
          <w:noProof/>
          <w:szCs w:val="24"/>
          <w:lang w:val="en-US"/>
        </w:rPr>
        <w:t>, Aguilar X, Sehlin D, Fang XT, Antoni G, Erlandsson A,</w:t>
      </w:r>
      <w:r w:rsidRPr="00F748E2">
        <w:rPr>
          <w:rFonts w:ascii="Calibri" w:hAnsi="Calibri" w:cs="Calibri"/>
          <w:noProof/>
          <w:szCs w:val="24"/>
          <w:lang w:val="en-US"/>
        </w:rPr>
        <w:t xml:space="preserve"> </w:t>
      </w:r>
      <w:r w:rsidRPr="00F748E2">
        <w:rPr>
          <w:rFonts w:ascii="Calibri" w:hAnsi="Calibri" w:cs="Calibri"/>
          <w:i/>
          <w:iCs/>
          <w:noProof/>
          <w:szCs w:val="24"/>
          <w:lang w:val="en-US"/>
        </w:rPr>
        <w:t>et al.</w:t>
      </w:r>
      <w:r w:rsidRPr="00F748E2">
        <w:rPr>
          <w:rFonts w:ascii="Calibri" w:hAnsi="Calibri" w:cs="Calibri"/>
          <w:noProof/>
          <w:szCs w:val="24"/>
          <w:lang w:val="en-US"/>
        </w:rPr>
        <w:t xml:space="preserve"> </w:t>
      </w:r>
      <w:r w:rsidRPr="00206AFB">
        <w:rPr>
          <w:rFonts w:ascii="Calibri" w:hAnsi="Calibri" w:cs="Calibri"/>
          <w:noProof/>
          <w:szCs w:val="24"/>
          <w:lang w:val="en-US"/>
        </w:rPr>
        <w:t xml:space="preserve">Astroglial Responses to Amyloid-Beta Progression in a Mouse Model of Alzheimer’s Disease. </w:t>
      </w:r>
      <w:r w:rsidRPr="00206AFB">
        <w:rPr>
          <w:rFonts w:ascii="Calibri" w:hAnsi="Calibri" w:cs="Calibri"/>
          <w:i/>
          <w:iCs/>
          <w:noProof/>
          <w:szCs w:val="24"/>
          <w:lang w:val="en-US"/>
        </w:rPr>
        <w:t>Mol. Imaging Biol.</w:t>
      </w:r>
      <w:r w:rsidRPr="00206AFB">
        <w:rPr>
          <w:rFonts w:ascii="Calibri" w:hAnsi="Calibri" w:cs="Calibri"/>
          <w:noProof/>
          <w:szCs w:val="24"/>
          <w:lang w:val="en-US"/>
        </w:rPr>
        <w:t xml:space="preserve"> </w:t>
      </w:r>
      <w:r w:rsidRPr="00206AFB">
        <w:rPr>
          <w:rFonts w:ascii="Calibri" w:hAnsi="Calibri" w:cs="Calibri"/>
          <w:b/>
          <w:bCs/>
          <w:noProof/>
          <w:szCs w:val="24"/>
          <w:lang w:val="en-US"/>
        </w:rPr>
        <w:t>20</w:t>
      </w:r>
      <w:r w:rsidRPr="00206AFB">
        <w:rPr>
          <w:rFonts w:ascii="Calibri" w:hAnsi="Calibri" w:cs="Calibri"/>
          <w:noProof/>
          <w:szCs w:val="24"/>
          <w:lang w:val="en-US"/>
        </w:rPr>
        <w:t>, 605–614 (2018).</w:t>
      </w:r>
    </w:p>
    <w:p w14:paraId="454AD8E1" w14:textId="77777777" w:rsidR="00A17865" w:rsidRPr="00206AFB" w:rsidRDefault="00A17865" w:rsidP="00A17865">
      <w:pPr>
        <w:widowControl w:val="0"/>
        <w:autoSpaceDE w:val="0"/>
        <w:autoSpaceDN w:val="0"/>
        <w:adjustRightInd w:val="0"/>
        <w:spacing w:line="240" w:lineRule="auto"/>
        <w:ind w:left="640" w:hanging="640"/>
        <w:rPr>
          <w:rFonts w:ascii="Calibri" w:hAnsi="Calibri" w:cs="Calibri"/>
          <w:noProof/>
          <w:szCs w:val="24"/>
          <w:lang w:val="en-US"/>
        </w:rPr>
      </w:pPr>
      <w:r w:rsidRPr="00206AFB">
        <w:rPr>
          <w:rFonts w:ascii="Calibri" w:hAnsi="Calibri" w:cs="Calibri"/>
          <w:noProof/>
          <w:szCs w:val="24"/>
          <w:lang w:val="en-US"/>
        </w:rPr>
        <w:t>6.</w:t>
      </w:r>
      <w:r w:rsidRPr="00206AFB">
        <w:rPr>
          <w:rFonts w:ascii="Calibri" w:hAnsi="Calibri" w:cs="Calibri"/>
          <w:noProof/>
          <w:szCs w:val="24"/>
          <w:lang w:val="en-US"/>
        </w:rPr>
        <w:tab/>
        <w:t>Pagnon de la Vega, M. Characterization of the novel “Uppsala mutation” causing a familial form of early onset Alzheimer’s disease. (Uppsala University, 2021). doi:http://uu.diva-portal.org/smash/record.jsf?aq2=%5B%5B%5D%5D&amp;c=9&amp;af=%5B%5D&amp;searchType=LIST_COMING&amp;sortOrder2=title_sort_asc&amp;query=&amp;language=en&amp;pid=diva2%3A1571680&amp;aq=%5B%5B%5D%5D&amp;sf=all&amp;aqe=%5B%5D&amp;sortOrder=author_sort_asc&amp;onlyFullText=false&amp;noOfRows=50&amp;dswid=3520</w:t>
      </w:r>
    </w:p>
    <w:p w14:paraId="636F1A22" w14:textId="2A8F314C" w:rsidR="00A17865" w:rsidRPr="00206AFB" w:rsidRDefault="00A17865" w:rsidP="00A17865">
      <w:pPr>
        <w:widowControl w:val="0"/>
        <w:autoSpaceDE w:val="0"/>
        <w:autoSpaceDN w:val="0"/>
        <w:adjustRightInd w:val="0"/>
        <w:spacing w:line="240" w:lineRule="auto"/>
        <w:ind w:left="640" w:hanging="640"/>
        <w:rPr>
          <w:rFonts w:ascii="Calibri" w:hAnsi="Calibri" w:cs="Calibri"/>
          <w:noProof/>
          <w:szCs w:val="24"/>
          <w:lang w:val="en-US"/>
        </w:rPr>
      </w:pPr>
      <w:r w:rsidRPr="00A17865">
        <w:rPr>
          <w:rFonts w:ascii="Calibri" w:hAnsi="Calibri" w:cs="Calibri"/>
          <w:noProof/>
          <w:szCs w:val="24"/>
        </w:rPr>
        <w:t>7.</w:t>
      </w:r>
      <w:r w:rsidRPr="00A17865">
        <w:rPr>
          <w:rFonts w:ascii="Calibri" w:hAnsi="Calibri" w:cs="Calibri"/>
          <w:noProof/>
          <w:szCs w:val="24"/>
        </w:rPr>
        <w:tab/>
        <w:t>Raval</w:t>
      </w:r>
      <w:r w:rsidR="00445C82">
        <w:rPr>
          <w:rFonts w:ascii="Calibri" w:hAnsi="Calibri" w:cs="Calibri"/>
          <w:noProof/>
          <w:szCs w:val="24"/>
        </w:rPr>
        <w:t xml:space="preserve"> RN, Johansen A, Donovan LL, Ros NF, Ozenne B, Hansen HD,</w:t>
      </w:r>
      <w:r w:rsidRPr="00A17865">
        <w:rPr>
          <w:rFonts w:ascii="Calibri" w:hAnsi="Calibri" w:cs="Calibri"/>
          <w:noProof/>
          <w:szCs w:val="24"/>
        </w:rPr>
        <w:t xml:space="preserve"> </w:t>
      </w:r>
      <w:r w:rsidRPr="00A17865">
        <w:rPr>
          <w:rFonts w:ascii="Calibri" w:hAnsi="Calibri" w:cs="Calibri"/>
          <w:i/>
          <w:iCs/>
          <w:noProof/>
          <w:szCs w:val="24"/>
        </w:rPr>
        <w:t>et al.</w:t>
      </w:r>
      <w:r w:rsidRPr="00A17865">
        <w:rPr>
          <w:rFonts w:ascii="Calibri" w:hAnsi="Calibri" w:cs="Calibri"/>
          <w:noProof/>
          <w:szCs w:val="24"/>
        </w:rPr>
        <w:t xml:space="preserve"> </w:t>
      </w:r>
      <w:r w:rsidRPr="00206AFB">
        <w:rPr>
          <w:rFonts w:ascii="Calibri" w:hAnsi="Calibri" w:cs="Calibri"/>
          <w:noProof/>
          <w:szCs w:val="24"/>
          <w:lang w:val="en-US"/>
        </w:rPr>
        <w:t xml:space="preserve">P.804A single dose of psilocybin increases synaptic density and decreases 5-HT2A receptor density in the pig brain. </w:t>
      </w:r>
      <w:r w:rsidRPr="00206AFB">
        <w:rPr>
          <w:rFonts w:ascii="Calibri" w:hAnsi="Calibri" w:cs="Calibri"/>
          <w:i/>
          <w:iCs/>
          <w:noProof/>
          <w:szCs w:val="24"/>
          <w:lang w:val="en-US"/>
        </w:rPr>
        <w:t>Eur. Neuropsychopharmacol.</w:t>
      </w:r>
      <w:r w:rsidRPr="00206AFB">
        <w:rPr>
          <w:rFonts w:ascii="Calibri" w:hAnsi="Calibri" w:cs="Calibri"/>
          <w:noProof/>
          <w:szCs w:val="24"/>
          <w:lang w:val="en-US"/>
        </w:rPr>
        <w:t xml:space="preserve"> </w:t>
      </w:r>
      <w:r w:rsidRPr="00206AFB">
        <w:rPr>
          <w:rFonts w:ascii="Calibri" w:hAnsi="Calibri" w:cs="Calibri"/>
          <w:b/>
          <w:bCs/>
          <w:noProof/>
          <w:szCs w:val="24"/>
          <w:lang w:val="en-US"/>
        </w:rPr>
        <w:t>40</w:t>
      </w:r>
      <w:r w:rsidRPr="00206AFB">
        <w:rPr>
          <w:rFonts w:ascii="Calibri" w:hAnsi="Calibri" w:cs="Calibri"/>
          <w:noProof/>
          <w:szCs w:val="24"/>
          <w:lang w:val="en-US"/>
        </w:rPr>
        <w:t>, S453–S454 (2020).</w:t>
      </w:r>
    </w:p>
    <w:p w14:paraId="384A87DB" w14:textId="6016480E" w:rsidR="00A17865" w:rsidRPr="00A17865" w:rsidRDefault="00A17865" w:rsidP="00A17865">
      <w:pPr>
        <w:widowControl w:val="0"/>
        <w:autoSpaceDE w:val="0"/>
        <w:autoSpaceDN w:val="0"/>
        <w:adjustRightInd w:val="0"/>
        <w:spacing w:line="240" w:lineRule="auto"/>
        <w:ind w:left="640" w:hanging="640"/>
        <w:rPr>
          <w:rFonts w:ascii="Calibri" w:hAnsi="Calibri" w:cs="Calibri"/>
          <w:noProof/>
        </w:rPr>
      </w:pPr>
      <w:r w:rsidRPr="00206AFB">
        <w:rPr>
          <w:rFonts w:ascii="Calibri" w:hAnsi="Calibri" w:cs="Calibri"/>
          <w:noProof/>
          <w:szCs w:val="24"/>
          <w:lang w:val="en-US"/>
        </w:rPr>
        <w:t>8.</w:t>
      </w:r>
      <w:r w:rsidRPr="00206AFB">
        <w:rPr>
          <w:rFonts w:ascii="Calibri" w:hAnsi="Calibri" w:cs="Calibri"/>
          <w:noProof/>
          <w:szCs w:val="24"/>
          <w:lang w:val="en-US"/>
        </w:rPr>
        <w:tab/>
        <w:t>Griem-Krey N, Klein AB, Herth M</w:t>
      </w:r>
      <w:r w:rsidR="00445C82">
        <w:rPr>
          <w:rFonts w:ascii="Calibri" w:hAnsi="Calibri" w:cs="Calibri"/>
          <w:noProof/>
          <w:szCs w:val="24"/>
          <w:lang w:val="en-US"/>
        </w:rPr>
        <w:t>,</w:t>
      </w:r>
      <w:r w:rsidRPr="00206AFB">
        <w:rPr>
          <w:rFonts w:ascii="Calibri" w:hAnsi="Calibri" w:cs="Calibri"/>
          <w:noProof/>
          <w:szCs w:val="24"/>
          <w:lang w:val="en-US"/>
        </w:rPr>
        <w:t xml:space="preserve"> Wellendorph P. Autoradiography as a Simple and Powerful Method for Visualization and Characterization of Pharmacological Targets. </w:t>
      </w:r>
      <w:r w:rsidRPr="00A17865">
        <w:rPr>
          <w:rFonts w:ascii="Calibri" w:hAnsi="Calibri" w:cs="Calibri"/>
          <w:i/>
          <w:iCs/>
          <w:noProof/>
          <w:szCs w:val="24"/>
        </w:rPr>
        <w:t>J. Vis. Exp.</w:t>
      </w:r>
      <w:r w:rsidRPr="00A17865">
        <w:rPr>
          <w:rFonts w:ascii="Calibri" w:hAnsi="Calibri" w:cs="Calibri"/>
          <w:noProof/>
          <w:szCs w:val="24"/>
        </w:rPr>
        <w:t xml:space="preserve"> (2019). doi:10.3791/58879</w:t>
      </w:r>
    </w:p>
    <w:p w14:paraId="1E4ABFEA" w14:textId="77777777" w:rsidR="00F469A7" w:rsidRPr="00F469A7" w:rsidRDefault="00F469A7" w:rsidP="00F469A7">
      <w:pPr>
        <w:rPr>
          <w:lang w:val="en-US"/>
        </w:rPr>
      </w:pPr>
      <w:r>
        <w:rPr>
          <w:lang w:val="en-US"/>
        </w:rPr>
        <w:fldChar w:fldCharType="end"/>
      </w:r>
    </w:p>
    <w:p w14:paraId="34B1484E" w14:textId="77777777" w:rsidR="00E629CE" w:rsidRPr="00E629CE" w:rsidRDefault="00E629CE" w:rsidP="003349B1">
      <w:pPr>
        <w:rPr>
          <w:lang w:val="en-US"/>
        </w:rPr>
      </w:pPr>
    </w:p>
    <w:sectPr w:rsidR="00E629CE" w:rsidRPr="00E629CE">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68CD" w14:textId="77777777" w:rsidR="00000EB7" w:rsidRDefault="00000EB7" w:rsidP="00733CB1">
      <w:pPr>
        <w:spacing w:after="0" w:line="240" w:lineRule="auto"/>
      </w:pPr>
      <w:r>
        <w:separator/>
      </w:r>
    </w:p>
  </w:endnote>
  <w:endnote w:type="continuationSeparator" w:id="0">
    <w:p w14:paraId="534D3A44" w14:textId="77777777" w:rsidR="00000EB7" w:rsidRDefault="00000EB7" w:rsidP="0073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947662"/>
      <w:docPartObj>
        <w:docPartGallery w:val="Page Numbers (Bottom of Page)"/>
        <w:docPartUnique/>
      </w:docPartObj>
    </w:sdtPr>
    <w:sdtContent>
      <w:p w14:paraId="0C775218" w14:textId="58657CDA" w:rsidR="00733CB1" w:rsidRDefault="00733CB1">
        <w:pPr>
          <w:pStyle w:val="Footer"/>
          <w:jc w:val="center"/>
        </w:pPr>
        <w:r>
          <w:fldChar w:fldCharType="begin"/>
        </w:r>
        <w:r>
          <w:instrText>PAGE   \* MERGEFORMAT</w:instrText>
        </w:r>
        <w:r>
          <w:fldChar w:fldCharType="separate"/>
        </w:r>
        <w:r w:rsidR="00AA47E4">
          <w:rPr>
            <w:noProof/>
          </w:rPr>
          <w:t>5</w:t>
        </w:r>
        <w:r>
          <w:fldChar w:fldCharType="end"/>
        </w:r>
      </w:p>
    </w:sdtContent>
  </w:sdt>
  <w:p w14:paraId="5895234E" w14:textId="77777777" w:rsidR="00733CB1" w:rsidRDefault="0073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3EBE" w14:textId="77777777" w:rsidR="00000EB7" w:rsidRDefault="00000EB7" w:rsidP="00733CB1">
      <w:pPr>
        <w:spacing w:after="0" w:line="240" w:lineRule="auto"/>
      </w:pPr>
      <w:r>
        <w:separator/>
      </w:r>
    </w:p>
  </w:footnote>
  <w:footnote w:type="continuationSeparator" w:id="0">
    <w:p w14:paraId="2F5EB6B4" w14:textId="77777777" w:rsidR="00000EB7" w:rsidRDefault="00000EB7" w:rsidP="00733C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CE"/>
    <w:rsid w:val="00000EB7"/>
    <w:rsid w:val="00014568"/>
    <w:rsid w:val="00052F06"/>
    <w:rsid w:val="000E52AE"/>
    <w:rsid w:val="000F6317"/>
    <w:rsid w:val="001156B7"/>
    <w:rsid w:val="00192C92"/>
    <w:rsid w:val="001E0042"/>
    <w:rsid w:val="0020397B"/>
    <w:rsid w:val="00206AFB"/>
    <w:rsid w:val="00270BD5"/>
    <w:rsid w:val="002741A4"/>
    <w:rsid w:val="003349B1"/>
    <w:rsid w:val="0033599C"/>
    <w:rsid w:val="003652CD"/>
    <w:rsid w:val="003B5BE9"/>
    <w:rsid w:val="003D405C"/>
    <w:rsid w:val="00426CB6"/>
    <w:rsid w:val="00445C82"/>
    <w:rsid w:val="0047473A"/>
    <w:rsid w:val="004917AD"/>
    <w:rsid w:val="00525A2E"/>
    <w:rsid w:val="005418DC"/>
    <w:rsid w:val="006144AB"/>
    <w:rsid w:val="006572A9"/>
    <w:rsid w:val="006721FD"/>
    <w:rsid w:val="00677C7B"/>
    <w:rsid w:val="006B2E6D"/>
    <w:rsid w:val="006E1CEC"/>
    <w:rsid w:val="00733CB1"/>
    <w:rsid w:val="00757FC9"/>
    <w:rsid w:val="007E229B"/>
    <w:rsid w:val="007E46B9"/>
    <w:rsid w:val="008957CA"/>
    <w:rsid w:val="008E2356"/>
    <w:rsid w:val="008E59CE"/>
    <w:rsid w:val="00934330"/>
    <w:rsid w:val="009572E3"/>
    <w:rsid w:val="00A17865"/>
    <w:rsid w:val="00AA47E4"/>
    <w:rsid w:val="00AC13D0"/>
    <w:rsid w:val="00B96AFB"/>
    <w:rsid w:val="00BD3622"/>
    <w:rsid w:val="00D544CE"/>
    <w:rsid w:val="00D97161"/>
    <w:rsid w:val="00E33E28"/>
    <w:rsid w:val="00E629CE"/>
    <w:rsid w:val="00E70B90"/>
    <w:rsid w:val="00EB5332"/>
    <w:rsid w:val="00F469A7"/>
    <w:rsid w:val="00F748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CC519"/>
  <w15:chartTrackingRefBased/>
  <w15:docId w15:val="{869046F9-4B6B-4F6A-9E87-DF8D6AA2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FD"/>
    <w:pPr>
      <w:jc w:val="both"/>
    </w:pPr>
  </w:style>
  <w:style w:type="paragraph" w:styleId="Heading1">
    <w:name w:val="heading 1"/>
    <w:basedOn w:val="Normal"/>
    <w:next w:val="Normal"/>
    <w:link w:val="Heading1Char"/>
    <w:uiPriority w:val="9"/>
    <w:qFormat/>
    <w:rsid w:val="00E629CE"/>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E629CE"/>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E629CE"/>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29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9C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29CE"/>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E629CE"/>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E629CE"/>
    <w:rPr>
      <w:rFonts w:asciiTheme="majorHAnsi" w:eastAsiaTheme="majorEastAsia" w:hAnsiTheme="majorHAnsi" w:cstheme="majorBidi"/>
      <w:i/>
      <w:szCs w:val="24"/>
    </w:rPr>
  </w:style>
  <w:style w:type="character" w:styleId="CommentReference">
    <w:name w:val="annotation reference"/>
    <w:basedOn w:val="DefaultParagraphFont"/>
    <w:uiPriority w:val="99"/>
    <w:semiHidden/>
    <w:unhideWhenUsed/>
    <w:rsid w:val="003349B1"/>
    <w:rPr>
      <w:sz w:val="16"/>
      <w:szCs w:val="16"/>
    </w:rPr>
  </w:style>
  <w:style w:type="paragraph" w:styleId="CommentText">
    <w:name w:val="annotation text"/>
    <w:basedOn w:val="Normal"/>
    <w:link w:val="CommentTextChar"/>
    <w:uiPriority w:val="99"/>
    <w:unhideWhenUsed/>
    <w:rsid w:val="003349B1"/>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349B1"/>
    <w:rPr>
      <w:rFonts w:ascii="Times New Roman" w:hAnsi="Times New Roman"/>
      <w:sz w:val="20"/>
      <w:szCs w:val="20"/>
    </w:rPr>
  </w:style>
  <w:style w:type="paragraph" w:styleId="BalloonText">
    <w:name w:val="Balloon Text"/>
    <w:basedOn w:val="Normal"/>
    <w:link w:val="BalloonTextChar"/>
    <w:uiPriority w:val="99"/>
    <w:semiHidden/>
    <w:unhideWhenUsed/>
    <w:rsid w:val="00334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9B1"/>
    <w:rPr>
      <w:rFonts w:ascii="Segoe UI" w:hAnsi="Segoe UI" w:cs="Segoe UI"/>
      <w:sz w:val="18"/>
      <w:szCs w:val="18"/>
    </w:rPr>
  </w:style>
  <w:style w:type="paragraph" w:styleId="TOCHeading">
    <w:name w:val="TOC Heading"/>
    <w:basedOn w:val="Heading1"/>
    <w:next w:val="Normal"/>
    <w:uiPriority w:val="39"/>
    <w:unhideWhenUsed/>
    <w:qFormat/>
    <w:rsid w:val="00F469A7"/>
    <w:pPr>
      <w:jc w:val="left"/>
      <w:outlineLvl w:val="9"/>
    </w:pPr>
    <w:rPr>
      <w:b w:val="0"/>
      <w:color w:val="2E74B5" w:themeColor="accent1" w:themeShade="BF"/>
      <w:sz w:val="32"/>
      <w:lang w:val="en-US"/>
    </w:rPr>
  </w:style>
  <w:style w:type="paragraph" w:styleId="TOC1">
    <w:name w:val="toc 1"/>
    <w:basedOn w:val="Normal"/>
    <w:next w:val="Normal"/>
    <w:autoRedefine/>
    <w:uiPriority w:val="39"/>
    <w:unhideWhenUsed/>
    <w:rsid w:val="00F469A7"/>
    <w:pPr>
      <w:spacing w:after="100"/>
    </w:pPr>
  </w:style>
  <w:style w:type="paragraph" w:styleId="TOC2">
    <w:name w:val="toc 2"/>
    <w:basedOn w:val="Normal"/>
    <w:next w:val="Normal"/>
    <w:autoRedefine/>
    <w:uiPriority w:val="39"/>
    <w:unhideWhenUsed/>
    <w:rsid w:val="00F469A7"/>
    <w:pPr>
      <w:spacing w:after="100"/>
      <w:ind w:left="220"/>
    </w:pPr>
  </w:style>
  <w:style w:type="paragraph" w:styleId="TOC3">
    <w:name w:val="toc 3"/>
    <w:basedOn w:val="Normal"/>
    <w:next w:val="Normal"/>
    <w:autoRedefine/>
    <w:uiPriority w:val="39"/>
    <w:unhideWhenUsed/>
    <w:rsid w:val="00F469A7"/>
    <w:pPr>
      <w:spacing w:after="100"/>
      <w:ind w:left="440"/>
    </w:pPr>
  </w:style>
  <w:style w:type="character" w:styleId="Hyperlink">
    <w:name w:val="Hyperlink"/>
    <w:basedOn w:val="DefaultParagraphFont"/>
    <w:uiPriority w:val="99"/>
    <w:unhideWhenUsed/>
    <w:rsid w:val="00F469A7"/>
    <w:rPr>
      <w:color w:val="0563C1" w:themeColor="hyperlink"/>
      <w:u w:val="single"/>
    </w:rPr>
  </w:style>
  <w:style w:type="paragraph" w:styleId="Caption">
    <w:name w:val="caption"/>
    <w:basedOn w:val="Normal"/>
    <w:next w:val="Normal"/>
    <w:uiPriority w:val="35"/>
    <w:unhideWhenUsed/>
    <w:qFormat/>
    <w:rsid w:val="00733CB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33CB1"/>
    <w:pPr>
      <w:tabs>
        <w:tab w:val="center" w:pos="4819"/>
        <w:tab w:val="right" w:pos="9638"/>
      </w:tabs>
      <w:spacing w:after="0" w:line="240" w:lineRule="auto"/>
    </w:pPr>
  </w:style>
  <w:style w:type="character" w:customStyle="1" w:styleId="HeaderChar">
    <w:name w:val="Header Char"/>
    <w:basedOn w:val="DefaultParagraphFont"/>
    <w:link w:val="Header"/>
    <w:uiPriority w:val="99"/>
    <w:rsid w:val="00733CB1"/>
  </w:style>
  <w:style w:type="paragraph" w:styleId="Footer">
    <w:name w:val="footer"/>
    <w:basedOn w:val="Normal"/>
    <w:link w:val="FooterChar"/>
    <w:uiPriority w:val="99"/>
    <w:unhideWhenUsed/>
    <w:rsid w:val="00733CB1"/>
    <w:pPr>
      <w:tabs>
        <w:tab w:val="center" w:pos="4819"/>
        <w:tab w:val="right" w:pos="9638"/>
      </w:tabs>
      <w:spacing w:after="0" w:line="240" w:lineRule="auto"/>
    </w:pPr>
  </w:style>
  <w:style w:type="character" w:customStyle="1" w:styleId="FooterChar">
    <w:name w:val="Footer Char"/>
    <w:basedOn w:val="DefaultParagraphFont"/>
    <w:link w:val="Footer"/>
    <w:uiPriority w:val="99"/>
    <w:rsid w:val="00733CB1"/>
  </w:style>
  <w:style w:type="paragraph" w:styleId="CommentSubject">
    <w:name w:val="annotation subject"/>
    <w:basedOn w:val="CommentText"/>
    <w:next w:val="CommentText"/>
    <w:link w:val="CommentSubjectChar"/>
    <w:uiPriority w:val="99"/>
    <w:semiHidden/>
    <w:unhideWhenUsed/>
    <w:rsid w:val="003652CD"/>
    <w:rPr>
      <w:rFonts w:asciiTheme="minorHAnsi" w:hAnsiTheme="minorHAnsi"/>
      <w:b/>
      <w:bCs/>
    </w:rPr>
  </w:style>
  <w:style w:type="character" w:customStyle="1" w:styleId="CommentSubjectChar">
    <w:name w:val="Comment Subject Char"/>
    <w:basedOn w:val="CommentTextChar"/>
    <w:link w:val="CommentSubject"/>
    <w:uiPriority w:val="99"/>
    <w:semiHidden/>
    <w:rsid w:val="003652C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6D14-F5D1-4284-A6BA-F059AC8C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6165</Words>
  <Characters>35142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SUND - KU</Company>
  <LinksUpToDate>false</LinksUpToDate>
  <CharactersWithSpaces>41225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Irene Lopes van den Broek</dc:creator>
  <cp:keywords/>
  <dc:description/>
  <cp:lastModifiedBy>Frontiers</cp:lastModifiedBy>
  <cp:revision>6</cp:revision>
  <dcterms:created xsi:type="dcterms:W3CDTF">2022-06-20T15:15:00Z</dcterms:created>
  <dcterms:modified xsi:type="dcterms:W3CDTF">2022-09-08T08:26:00Z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415eda5d-2e5d-387d-82cd-c215c932110f</vt:lpwstr>
  </property>
  <property fmtid="{D5CDD505-2E9C-101B-9397-08002B2CF9AE}" pid="24" name="Mendeley Citation Style_1">
    <vt:lpwstr>http://www.zotero.org/styles/nature</vt:lpwstr>
  </property>
</Properties>
</file>