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CellMar>
          <w:left w:w="0" w:type="dxa"/>
          <w:right w:w="0" w:type="dxa"/>
        </w:tblCellMar>
        <w:tblLook w:val="0420"/>
      </w:tblPr>
      <w:tblGrid>
        <w:gridCol w:w="2778"/>
        <w:gridCol w:w="1464"/>
        <w:gridCol w:w="1543"/>
        <w:gridCol w:w="1806"/>
        <w:gridCol w:w="2133"/>
      </w:tblGrid>
      <w:tr w:rsidR="00796FD9" w:rsidRPr="00AB77B7" w:rsidTr="007A5542">
        <w:trPr>
          <w:trHeight w:val="29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 xml:space="preserve">Guinea pig </w:t>
            </w:r>
            <w:proofErr w:type="spellStart"/>
            <w:r w:rsidRPr="00C45C5E">
              <w:t>immunisation</w:t>
            </w:r>
            <w:proofErr w:type="spellEnd"/>
            <w:r w:rsidRPr="00C45C5E">
              <w:t xml:space="preserve"> group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rPA83m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rPA83m+SPs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rPA83m+Al(OH)</w:t>
            </w:r>
            <w:r w:rsidRPr="00C45C5E">
              <w:rPr>
                <w:vertAlign w:val="subscript"/>
              </w:rPr>
              <w:t>3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Control</w:t>
            </w:r>
          </w:p>
          <w:p w:rsidR="00796FD9" w:rsidRPr="00C45C5E" w:rsidRDefault="00796FD9" w:rsidP="007A5542">
            <w:pPr>
              <w:jc w:val="center"/>
            </w:pPr>
            <w:r w:rsidRPr="00C45C5E">
              <w:t>(SPs and PBS groups)</w:t>
            </w:r>
          </w:p>
        </w:tc>
      </w:tr>
      <w:tr w:rsidR="00796FD9" w:rsidRPr="00C45C5E" w:rsidTr="007A5542">
        <w:trPr>
          <w:trHeight w:val="27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rPA83m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0.1468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0.0325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0.0079</w:t>
            </w:r>
          </w:p>
        </w:tc>
      </w:tr>
      <w:tr w:rsidR="00796FD9" w:rsidRPr="00C45C5E" w:rsidTr="007A5542">
        <w:trPr>
          <w:trHeight w:val="27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rPA83m+SPs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0.1468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0.004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0.002</w:t>
            </w:r>
          </w:p>
        </w:tc>
      </w:tr>
      <w:tr w:rsidR="00796FD9" w:rsidRPr="00C45C5E" w:rsidTr="007A5542">
        <w:trPr>
          <w:trHeight w:val="29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rPA83m+Al(OH)</w:t>
            </w:r>
            <w:r w:rsidRPr="00C45C5E">
              <w:rPr>
                <w:vertAlign w:val="subscript"/>
              </w:rPr>
              <w:t>3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0.0325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0.004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0.2596</w:t>
            </w:r>
          </w:p>
        </w:tc>
      </w:tr>
      <w:tr w:rsidR="00796FD9" w:rsidRPr="00C45C5E" w:rsidTr="007A5542">
        <w:trPr>
          <w:trHeight w:val="27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Control (SPs and PBS groups)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0.0079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0.002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6FD9" w:rsidRPr="00C45C5E" w:rsidRDefault="00796FD9" w:rsidP="007A5542">
            <w:pPr>
              <w:jc w:val="center"/>
            </w:pPr>
            <w:r w:rsidRPr="00C45C5E">
              <w:t>0.2596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6FD9" w:rsidRPr="00C45C5E" w:rsidRDefault="00796FD9" w:rsidP="007A5542">
            <w:pPr>
              <w:jc w:val="center"/>
            </w:pPr>
          </w:p>
        </w:tc>
      </w:tr>
    </w:tbl>
    <w:p w:rsidR="00006E3A" w:rsidRDefault="00006E3A" w:rsidP="00006E3A">
      <w:pPr>
        <w:spacing w:line="240" w:lineRule="auto"/>
        <w:rPr>
          <w:b/>
          <w:bCs/>
        </w:rPr>
      </w:pPr>
    </w:p>
    <w:p w:rsidR="0042561B" w:rsidRDefault="0042561B" w:rsidP="0042561B">
      <w:pPr>
        <w:jc w:val="center"/>
      </w:pPr>
    </w:p>
    <w:p w:rsidR="00796FD9" w:rsidRPr="00796FD9" w:rsidRDefault="00796FD9" w:rsidP="00796FD9">
      <w:pPr>
        <w:spacing w:line="240" w:lineRule="auto"/>
        <w:rPr>
          <w:b/>
          <w:bCs/>
        </w:rPr>
      </w:pPr>
      <w:r>
        <w:rPr>
          <w:b/>
          <w:lang w:eastAsia="ru-RU"/>
        </w:rPr>
        <w:t>SUPPLEMENTARY TABLE 3</w:t>
      </w:r>
      <w:r w:rsidR="0042561B" w:rsidRPr="0011136B">
        <w:rPr>
          <w:b/>
          <w:lang w:eastAsia="ru-RU"/>
        </w:rPr>
        <w:t xml:space="preserve"> | </w:t>
      </w:r>
      <w:r w:rsidRPr="00796FD9">
        <w:rPr>
          <w:bCs/>
        </w:rPr>
        <w:t xml:space="preserve">Statistical analysis of the differences in survival rates of guinea pigs </w:t>
      </w:r>
      <w:proofErr w:type="spellStart"/>
      <w:r w:rsidRPr="00796FD9">
        <w:rPr>
          <w:bCs/>
        </w:rPr>
        <w:t>immunised</w:t>
      </w:r>
      <w:proofErr w:type="spellEnd"/>
      <w:r w:rsidRPr="00796FD9">
        <w:rPr>
          <w:bCs/>
        </w:rPr>
        <w:t xml:space="preserve"> with various non-incubated rPA83m formulations after the spore challenge with 25</w:t>
      </w:r>
      <w:r w:rsidR="009E1C2C">
        <w:rPr>
          <w:bCs/>
        </w:rPr>
        <w:t>,</w:t>
      </w:r>
      <w:r w:rsidRPr="00796FD9">
        <w:rPr>
          <w:bCs/>
        </w:rPr>
        <w:t xml:space="preserve">000 </w:t>
      </w:r>
      <w:r w:rsidRPr="00796FD9">
        <w:rPr>
          <w:bCs/>
          <w:i/>
          <w:iCs/>
        </w:rPr>
        <w:t xml:space="preserve">B. </w:t>
      </w:r>
      <w:proofErr w:type="spellStart"/>
      <w:r w:rsidRPr="00796FD9">
        <w:rPr>
          <w:bCs/>
          <w:i/>
          <w:iCs/>
        </w:rPr>
        <w:t>anthracis</w:t>
      </w:r>
      <w:proofErr w:type="spellEnd"/>
      <w:r w:rsidRPr="00796FD9">
        <w:rPr>
          <w:bCs/>
          <w:i/>
          <w:iCs/>
        </w:rPr>
        <w:t xml:space="preserve"> </w:t>
      </w:r>
      <w:r w:rsidRPr="00796FD9">
        <w:rPr>
          <w:bCs/>
        </w:rPr>
        <w:t>81/1 strain spores per animal.</w:t>
      </w:r>
      <w:r>
        <w:rPr>
          <w:b/>
          <w:bCs/>
        </w:rPr>
        <w:t xml:space="preserve"> </w:t>
      </w:r>
      <w:r w:rsidRPr="002878FF">
        <w:t>Groups of guinea pigs (n</w:t>
      </w:r>
      <w:r w:rsidR="009E1C2C">
        <w:t xml:space="preserve"> </w:t>
      </w:r>
      <w:r w:rsidRPr="002878FF">
        <w:t>=</w:t>
      </w:r>
      <w:r w:rsidR="009E1C2C">
        <w:t xml:space="preserve"> </w:t>
      </w:r>
      <w:r w:rsidRPr="002878FF">
        <w:t xml:space="preserve">10 for groups </w:t>
      </w:r>
      <w:proofErr w:type="spellStart"/>
      <w:r w:rsidRPr="002878FF">
        <w:t>immunised</w:t>
      </w:r>
      <w:proofErr w:type="spellEnd"/>
      <w:r w:rsidRPr="002878FF">
        <w:t xml:space="preserve"> with rPA83m formulations, n</w:t>
      </w:r>
      <w:r w:rsidR="009E1C2C">
        <w:t xml:space="preserve"> </w:t>
      </w:r>
      <w:r w:rsidRPr="002878FF">
        <w:t>=</w:t>
      </w:r>
      <w:r w:rsidR="009E1C2C">
        <w:t xml:space="preserve"> </w:t>
      </w:r>
      <w:r w:rsidRPr="002878FF">
        <w:t xml:space="preserve">5 for control groups </w:t>
      </w:r>
      <w:proofErr w:type="spellStart"/>
      <w:r w:rsidRPr="002878FF">
        <w:t>immunised</w:t>
      </w:r>
      <w:proofErr w:type="spellEnd"/>
      <w:r w:rsidRPr="002878FF">
        <w:t xml:space="preserve"> with SPs or PBS) were </w:t>
      </w:r>
      <w:proofErr w:type="spellStart"/>
      <w:r w:rsidRPr="002878FF">
        <w:t>immunised</w:t>
      </w:r>
      <w:proofErr w:type="spellEnd"/>
      <w:r w:rsidR="009E1C2C">
        <w:t xml:space="preserve"> subcutaneously twice at 28-day</w:t>
      </w:r>
      <w:r w:rsidRPr="002878FF">
        <w:t xml:space="preserve"> intervals. The scheme of </w:t>
      </w:r>
      <w:r w:rsidR="009E1C2C">
        <w:t xml:space="preserve">the study is presented in </w:t>
      </w:r>
      <w:r w:rsidR="009E1C2C" w:rsidRPr="00C23985">
        <w:rPr>
          <w:b/>
        </w:rPr>
        <w:t>Figure</w:t>
      </w:r>
      <w:r w:rsidRPr="00C23985">
        <w:rPr>
          <w:b/>
        </w:rPr>
        <w:t xml:space="preserve"> </w:t>
      </w:r>
      <w:r w:rsidR="0030693B">
        <w:rPr>
          <w:b/>
        </w:rPr>
        <w:t>4</w:t>
      </w:r>
      <w:r w:rsidRPr="002878FF">
        <w:t xml:space="preserve">. </w:t>
      </w:r>
      <w:r w:rsidR="009E1C2C">
        <w:t>At</w:t>
      </w:r>
      <w:r w:rsidRPr="002878FF">
        <w:t xml:space="preserve"> </w:t>
      </w:r>
      <w:r>
        <w:t xml:space="preserve">21 days after the second </w:t>
      </w:r>
      <w:proofErr w:type="spellStart"/>
      <w:r>
        <w:t>immunis</w:t>
      </w:r>
      <w:r w:rsidRPr="002878FF">
        <w:t>ation</w:t>
      </w:r>
      <w:proofErr w:type="spellEnd"/>
      <w:r w:rsidRPr="002878FF">
        <w:t xml:space="preserve">, all guinea pigs were subcutaneously challenged with </w:t>
      </w:r>
      <w:r w:rsidRPr="002878FF">
        <w:rPr>
          <w:i/>
          <w:iCs/>
        </w:rPr>
        <w:t xml:space="preserve">B. </w:t>
      </w:r>
      <w:proofErr w:type="spellStart"/>
      <w:r w:rsidRPr="002878FF">
        <w:rPr>
          <w:i/>
          <w:iCs/>
        </w:rPr>
        <w:t>anthracis</w:t>
      </w:r>
      <w:proofErr w:type="spellEnd"/>
      <w:r w:rsidRPr="002878FF">
        <w:t xml:space="preserve"> strain 81/1 </w:t>
      </w:r>
      <w:r>
        <w:t>(</w:t>
      </w:r>
      <w:r w:rsidRPr="002878FF">
        <w:t>2</w:t>
      </w:r>
      <w:r w:rsidR="009E1C2C">
        <w:t>,</w:t>
      </w:r>
      <w:r w:rsidRPr="002878FF">
        <w:t>500 spores per animal</w:t>
      </w:r>
      <w:r>
        <w:t>)</w:t>
      </w:r>
      <w:r w:rsidRPr="002878FF">
        <w:t xml:space="preserve">. </w:t>
      </w:r>
      <w:r w:rsidR="009E1C2C">
        <w:t>At</w:t>
      </w:r>
      <w:r w:rsidRPr="002878FF">
        <w:t xml:space="preserve"> 20 days after the first challenge all survived guinea pigs were subjected to the second challenge with 25</w:t>
      </w:r>
      <w:r w:rsidR="009E1C2C">
        <w:t>,</w:t>
      </w:r>
      <w:r w:rsidRPr="002878FF">
        <w:t xml:space="preserve">000 spores of the same strain per animal. The animals were observed for 21 days after </w:t>
      </w:r>
      <w:proofErr w:type="spellStart"/>
      <w:r w:rsidRPr="002878FF">
        <w:t>reinfection</w:t>
      </w:r>
      <w:proofErr w:type="spellEnd"/>
      <w:r w:rsidRPr="002878FF">
        <w:t xml:space="preserve">. For comparison of the survival rate between different groups the </w:t>
      </w:r>
      <w:proofErr w:type="spellStart"/>
      <w:r w:rsidRPr="002878FF">
        <w:t>Gehan-Breslow-Wilcoxon</w:t>
      </w:r>
      <w:proofErr w:type="spellEnd"/>
      <w:r w:rsidRPr="002878FF">
        <w:t xml:space="preserve"> test was used and the Holm-</w:t>
      </w:r>
      <w:proofErr w:type="spellStart"/>
      <w:r w:rsidRPr="002878FF">
        <w:t>Bonferroni</w:t>
      </w:r>
      <w:proofErr w:type="spellEnd"/>
      <w:r w:rsidRPr="002878FF">
        <w:t xml:space="preserve"> method was applied for adjusting p-values for multiple comparisons. </w:t>
      </w:r>
      <w:r w:rsidRPr="002878FF">
        <w:rPr>
          <w:i/>
          <w:iCs/>
        </w:rPr>
        <w:t>P-</w:t>
      </w:r>
      <w:r w:rsidRPr="002878FF">
        <w:t xml:space="preserve">values are presented in the figure. </w:t>
      </w:r>
      <w:r w:rsidRPr="002878FF">
        <w:rPr>
          <w:i/>
          <w:iCs/>
        </w:rPr>
        <w:t>P-</w:t>
      </w:r>
      <w:r w:rsidRPr="002878FF">
        <w:t>values between groups with statistically significant differences in the survival rate after the Holm-</w:t>
      </w:r>
      <w:proofErr w:type="spellStart"/>
      <w:r w:rsidRPr="002878FF">
        <w:t>Bonferroni</w:t>
      </w:r>
      <w:proofErr w:type="spellEnd"/>
      <w:r w:rsidRPr="002878FF">
        <w:t xml:space="preserve"> method application are highlighted in green.  </w:t>
      </w:r>
      <w:r w:rsidRPr="002878FF">
        <w:rPr>
          <w:i/>
          <w:iCs/>
        </w:rPr>
        <w:t>P-</w:t>
      </w:r>
      <w:r w:rsidRPr="002878FF">
        <w:t>values between groups without statistically significant differences are highlighted in red.</w:t>
      </w:r>
    </w:p>
    <w:p w:rsidR="00796FD9" w:rsidRPr="008575D4" w:rsidRDefault="00796FD9" w:rsidP="00796FD9">
      <w:r>
        <w:t xml:space="preserve"> </w:t>
      </w:r>
    </w:p>
    <w:p w:rsidR="0042561B" w:rsidRPr="00006E3A" w:rsidRDefault="0042561B" w:rsidP="00006E3A">
      <w:pPr>
        <w:spacing w:line="240" w:lineRule="auto"/>
        <w:rPr>
          <w:b/>
          <w:bCs/>
        </w:rPr>
      </w:pPr>
    </w:p>
    <w:p w:rsidR="00006E3A" w:rsidRPr="00A44D83" w:rsidRDefault="00006E3A" w:rsidP="00006E3A">
      <w:pPr>
        <w:spacing w:line="240" w:lineRule="auto"/>
        <w:rPr>
          <w:b/>
          <w:bCs/>
          <w:color w:val="auto"/>
          <w:sz w:val="22"/>
          <w:szCs w:val="22"/>
          <w:lang w:eastAsia="en-US"/>
        </w:rPr>
      </w:pPr>
    </w:p>
    <w:p w:rsidR="001E32F2" w:rsidRDefault="001E32F2"/>
    <w:sectPr w:rsidR="001E32F2" w:rsidSect="001E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D9" w:rsidRDefault="00796FD9" w:rsidP="00796FD9">
      <w:pPr>
        <w:spacing w:line="240" w:lineRule="auto"/>
      </w:pPr>
      <w:r>
        <w:separator/>
      </w:r>
    </w:p>
  </w:endnote>
  <w:endnote w:type="continuationSeparator" w:id="0">
    <w:p w:rsidR="00796FD9" w:rsidRDefault="00796FD9" w:rsidP="00796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D9" w:rsidRDefault="00796FD9" w:rsidP="00796FD9">
      <w:pPr>
        <w:spacing w:line="240" w:lineRule="auto"/>
      </w:pPr>
      <w:r>
        <w:separator/>
      </w:r>
    </w:p>
  </w:footnote>
  <w:footnote w:type="continuationSeparator" w:id="0">
    <w:p w:rsidR="00796FD9" w:rsidRDefault="00796FD9" w:rsidP="00796F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E3A"/>
    <w:rsid w:val="00003B08"/>
    <w:rsid w:val="00006E3A"/>
    <w:rsid w:val="000077AD"/>
    <w:rsid w:val="000215E3"/>
    <w:rsid w:val="0002182A"/>
    <w:rsid w:val="0002347D"/>
    <w:rsid w:val="00026E83"/>
    <w:rsid w:val="00040983"/>
    <w:rsid w:val="00040B0C"/>
    <w:rsid w:val="000444B9"/>
    <w:rsid w:val="000647FB"/>
    <w:rsid w:val="000651B8"/>
    <w:rsid w:val="00065261"/>
    <w:rsid w:val="00071365"/>
    <w:rsid w:val="00072CC0"/>
    <w:rsid w:val="00072EC0"/>
    <w:rsid w:val="0007620D"/>
    <w:rsid w:val="00077681"/>
    <w:rsid w:val="00084DC2"/>
    <w:rsid w:val="00085AD1"/>
    <w:rsid w:val="00085BBE"/>
    <w:rsid w:val="00090F26"/>
    <w:rsid w:val="00092DEF"/>
    <w:rsid w:val="000A1679"/>
    <w:rsid w:val="000A341B"/>
    <w:rsid w:val="000A6E4C"/>
    <w:rsid w:val="000B10E5"/>
    <w:rsid w:val="000C5461"/>
    <w:rsid w:val="000D4372"/>
    <w:rsid w:val="000D7DD0"/>
    <w:rsid w:val="000E6A6A"/>
    <w:rsid w:val="000F1AE4"/>
    <w:rsid w:val="000F6A61"/>
    <w:rsid w:val="000F6D00"/>
    <w:rsid w:val="00101A23"/>
    <w:rsid w:val="00110065"/>
    <w:rsid w:val="00121517"/>
    <w:rsid w:val="00121BAC"/>
    <w:rsid w:val="00124467"/>
    <w:rsid w:val="001265E4"/>
    <w:rsid w:val="00131647"/>
    <w:rsid w:val="00140456"/>
    <w:rsid w:val="0014665B"/>
    <w:rsid w:val="00165814"/>
    <w:rsid w:val="00172561"/>
    <w:rsid w:val="00173841"/>
    <w:rsid w:val="00174662"/>
    <w:rsid w:val="001766E8"/>
    <w:rsid w:val="00182FD0"/>
    <w:rsid w:val="00183986"/>
    <w:rsid w:val="0018415E"/>
    <w:rsid w:val="001921B4"/>
    <w:rsid w:val="00192BEE"/>
    <w:rsid w:val="001A1AAC"/>
    <w:rsid w:val="001B5C0C"/>
    <w:rsid w:val="001C110B"/>
    <w:rsid w:val="001C6694"/>
    <w:rsid w:val="001D0A64"/>
    <w:rsid w:val="001D5044"/>
    <w:rsid w:val="001D5F77"/>
    <w:rsid w:val="001E094B"/>
    <w:rsid w:val="001E1780"/>
    <w:rsid w:val="001E32F2"/>
    <w:rsid w:val="001F0A79"/>
    <w:rsid w:val="001F16DE"/>
    <w:rsid w:val="001F314D"/>
    <w:rsid w:val="001F5A4B"/>
    <w:rsid w:val="00200468"/>
    <w:rsid w:val="0020077D"/>
    <w:rsid w:val="00201413"/>
    <w:rsid w:val="00203CC6"/>
    <w:rsid w:val="00206D55"/>
    <w:rsid w:val="00207C18"/>
    <w:rsid w:val="00223425"/>
    <w:rsid w:val="00227224"/>
    <w:rsid w:val="0025282A"/>
    <w:rsid w:val="00254937"/>
    <w:rsid w:val="002567A6"/>
    <w:rsid w:val="00261F0F"/>
    <w:rsid w:val="002722F5"/>
    <w:rsid w:val="0028424E"/>
    <w:rsid w:val="002853B4"/>
    <w:rsid w:val="002A2A41"/>
    <w:rsid w:val="002A506B"/>
    <w:rsid w:val="002A67D8"/>
    <w:rsid w:val="002B0A67"/>
    <w:rsid w:val="002B419A"/>
    <w:rsid w:val="002C07A1"/>
    <w:rsid w:val="002C15DF"/>
    <w:rsid w:val="002D072E"/>
    <w:rsid w:val="002D63CF"/>
    <w:rsid w:val="002D7C0E"/>
    <w:rsid w:val="002E6E16"/>
    <w:rsid w:val="00304541"/>
    <w:rsid w:val="0030693B"/>
    <w:rsid w:val="00307A09"/>
    <w:rsid w:val="00307C91"/>
    <w:rsid w:val="00312F4F"/>
    <w:rsid w:val="003134A2"/>
    <w:rsid w:val="00316622"/>
    <w:rsid w:val="0031676A"/>
    <w:rsid w:val="00322732"/>
    <w:rsid w:val="003235E6"/>
    <w:rsid w:val="00325BA9"/>
    <w:rsid w:val="0033030C"/>
    <w:rsid w:val="00334827"/>
    <w:rsid w:val="00335239"/>
    <w:rsid w:val="003357E0"/>
    <w:rsid w:val="00345F43"/>
    <w:rsid w:val="00350701"/>
    <w:rsid w:val="00353980"/>
    <w:rsid w:val="0035447C"/>
    <w:rsid w:val="003562A5"/>
    <w:rsid w:val="0036316A"/>
    <w:rsid w:val="00365D3B"/>
    <w:rsid w:val="00367622"/>
    <w:rsid w:val="003764BA"/>
    <w:rsid w:val="0037749B"/>
    <w:rsid w:val="00380A51"/>
    <w:rsid w:val="00393D75"/>
    <w:rsid w:val="0039412A"/>
    <w:rsid w:val="003A3064"/>
    <w:rsid w:val="003B0659"/>
    <w:rsid w:val="003B0E81"/>
    <w:rsid w:val="003B78A1"/>
    <w:rsid w:val="003C0392"/>
    <w:rsid w:val="003C1922"/>
    <w:rsid w:val="003C5E1E"/>
    <w:rsid w:val="003C694E"/>
    <w:rsid w:val="003D47DF"/>
    <w:rsid w:val="003D7AAB"/>
    <w:rsid w:val="003E450C"/>
    <w:rsid w:val="003F109F"/>
    <w:rsid w:val="003F676D"/>
    <w:rsid w:val="004144DC"/>
    <w:rsid w:val="00416196"/>
    <w:rsid w:val="0042561B"/>
    <w:rsid w:val="004359F6"/>
    <w:rsid w:val="00436ABC"/>
    <w:rsid w:val="00441981"/>
    <w:rsid w:val="004432BF"/>
    <w:rsid w:val="0044687B"/>
    <w:rsid w:val="00451657"/>
    <w:rsid w:val="0045632A"/>
    <w:rsid w:val="00463532"/>
    <w:rsid w:val="00463AE6"/>
    <w:rsid w:val="004766EE"/>
    <w:rsid w:val="004771BE"/>
    <w:rsid w:val="00477572"/>
    <w:rsid w:val="00490BC7"/>
    <w:rsid w:val="004924E9"/>
    <w:rsid w:val="004A15F5"/>
    <w:rsid w:val="004B059E"/>
    <w:rsid w:val="004B13E6"/>
    <w:rsid w:val="004B344D"/>
    <w:rsid w:val="004C0FFF"/>
    <w:rsid w:val="004D0206"/>
    <w:rsid w:val="004D65EC"/>
    <w:rsid w:val="004E098B"/>
    <w:rsid w:val="004E1171"/>
    <w:rsid w:val="004E42BF"/>
    <w:rsid w:val="00502D25"/>
    <w:rsid w:val="00510B71"/>
    <w:rsid w:val="005125AA"/>
    <w:rsid w:val="0051467F"/>
    <w:rsid w:val="005230C5"/>
    <w:rsid w:val="00535AC4"/>
    <w:rsid w:val="005427E8"/>
    <w:rsid w:val="00542959"/>
    <w:rsid w:val="00543B6D"/>
    <w:rsid w:val="00545553"/>
    <w:rsid w:val="00555645"/>
    <w:rsid w:val="005654BA"/>
    <w:rsid w:val="0056744D"/>
    <w:rsid w:val="0057694E"/>
    <w:rsid w:val="00576C05"/>
    <w:rsid w:val="00580125"/>
    <w:rsid w:val="0058046A"/>
    <w:rsid w:val="00582194"/>
    <w:rsid w:val="00590EFA"/>
    <w:rsid w:val="005A2CEF"/>
    <w:rsid w:val="005A559F"/>
    <w:rsid w:val="005B1D15"/>
    <w:rsid w:val="005B252D"/>
    <w:rsid w:val="005B2E6C"/>
    <w:rsid w:val="005B3192"/>
    <w:rsid w:val="005B553A"/>
    <w:rsid w:val="005B584F"/>
    <w:rsid w:val="005B7B5A"/>
    <w:rsid w:val="005C4571"/>
    <w:rsid w:val="005C516B"/>
    <w:rsid w:val="005C6B52"/>
    <w:rsid w:val="005F1265"/>
    <w:rsid w:val="005F130D"/>
    <w:rsid w:val="005F237E"/>
    <w:rsid w:val="005F6C76"/>
    <w:rsid w:val="006137DC"/>
    <w:rsid w:val="00613D21"/>
    <w:rsid w:val="006157C9"/>
    <w:rsid w:val="0061632C"/>
    <w:rsid w:val="00617696"/>
    <w:rsid w:val="00624A73"/>
    <w:rsid w:val="006270E8"/>
    <w:rsid w:val="00636CD8"/>
    <w:rsid w:val="0064130B"/>
    <w:rsid w:val="006545DB"/>
    <w:rsid w:val="00655FB2"/>
    <w:rsid w:val="00657E93"/>
    <w:rsid w:val="00657EDA"/>
    <w:rsid w:val="0066069B"/>
    <w:rsid w:val="00661967"/>
    <w:rsid w:val="006634B6"/>
    <w:rsid w:val="006707B9"/>
    <w:rsid w:val="006815F7"/>
    <w:rsid w:val="006913A0"/>
    <w:rsid w:val="00692CD2"/>
    <w:rsid w:val="0069343A"/>
    <w:rsid w:val="00696C16"/>
    <w:rsid w:val="006A0C9B"/>
    <w:rsid w:val="006A683D"/>
    <w:rsid w:val="006B1D1F"/>
    <w:rsid w:val="006B395C"/>
    <w:rsid w:val="006C0FD7"/>
    <w:rsid w:val="006C5F37"/>
    <w:rsid w:val="006D42D0"/>
    <w:rsid w:val="006E4BB3"/>
    <w:rsid w:val="006E7488"/>
    <w:rsid w:val="006F7C5C"/>
    <w:rsid w:val="006F7E26"/>
    <w:rsid w:val="00701A32"/>
    <w:rsid w:val="007040B1"/>
    <w:rsid w:val="00705174"/>
    <w:rsid w:val="00714374"/>
    <w:rsid w:val="007219EC"/>
    <w:rsid w:val="00722166"/>
    <w:rsid w:val="0072732A"/>
    <w:rsid w:val="007317A6"/>
    <w:rsid w:val="007329C6"/>
    <w:rsid w:val="007401DA"/>
    <w:rsid w:val="00744B7C"/>
    <w:rsid w:val="00745F66"/>
    <w:rsid w:val="0075264F"/>
    <w:rsid w:val="007541B1"/>
    <w:rsid w:val="007567EB"/>
    <w:rsid w:val="00762E60"/>
    <w:rsid w:val="007652A9"/>
    <w:rsid w:val="00774878"/>
    <w:rsid w:val="007753CA"/>
    <w:rsid w:val="00776DC3"/>
    <w:rsid w:val="00782C16"/>
    <w:rsid w:val="0079133B"/>
    <w:rsid w:val="00796FD9"/>
    <w:rsid w:val="00797B57"/>
    <w:rsid w:val="007A48D8"/>
    <w:rsid w:val="007A5394"/>
    <w:rsid w:val="007B02C0"/>
    <w:rsid w:val="007B22DC"/>
    <w:rsid w:val="007B247A"/>
    <w:rsid w:val="007C4112"/>
    <w:rsid w:val="007C6F65"/>
    <w:rsid w:val="007D1B49"/>
    <w:rsid w:val="007E5BD4"/>
    <w:rsid w:val="007F2D1D"/>
    <w:rsid w:val="007F355C"/>
    <w:rsid w:val="00801A96"/>
    <w:rsid w:val="008120E6"/>
    <w:rsid w:val="00812229"/>
    <w:rsid w:val="008233A1"/>
    <w:rsid w:val="00824A90"/>
    <w:rsid w:val="00833E4A"/>
    <w:rsid w:val="008515DA"/>
    <w:rsid w:val="00852CDE"/>
    <w:rsid w:val="00855ECC"/>
    <w:rsid w:val="008608DD"/>
    <w:rsid w:val="008615D6"/>
    <w:rsid w:val="00861AC2"/>
    <w:rsid w:val="00862BE3"/>
    <w:rsid w:val="008650BB"/>
    <w:rsid w:val="0087728A"/>
    <w:rsid w:val="00880E2A"/>
    <w:rsid w:val="008822F3"/>
    <w:rsid w:val="008832BD"/>
    <w:rsid w:val="0088550C"/>
    <w:rsid w:val="00895328"/>
    <w:rsid w:val="008A4769"/>
    <w:rsid w:val="008A6052"/>
    <w:rsid w:val="008B6C9A"/>
    <w:rsid w:val="008B6EDD"/>
    <w:rsid w:val="008C1A18"/>
    <w:rsid w:val="008C5EF4"/>
    <w:rsid w:val="008C6211"/>
    <w:rsid w:val="008D4E09"/>
    <w:rsid w:val="008E5592"/>
    <w:rsid w:val="008E5E8A"/>
    <w:rsid w:val="008E6D55"/>
    <w:rsid w:val="008F0FB9"/>
    <w:rsid w:val="008F2C17"/>
    <w:rsid w:val="008F2D10"/>
    <w:rsid w:val="00902AFF"/>
    <w:rsid w:val="00911A55"/>
    <w:rsid w:val="0091256E"/>
    <w:rsid w:val="0092792D"/>
    <w:rsid w:val="0093321A"/>
    <w:rsid w:val="00935847"/>
    <w:rsid w:val="00937BD8"/>
    <w:rsid w:val="00950252"/>
    <w:rsid w:val="00952856"/>
    <w:rsid w:val="00952F31"/>
    <w:rsid w:val="009535C4"/>
    <w:rsid w:val="009560EE"/>
    <w:rsid w:val="00960133"/>
    <w:rsid w:val="00960C06"/>
    <w:rsid w:val="00962554"/>
    <w:rsid w:val="00970207"/>
    <w:rsid w:val="009745F7"/>
    <w:rsid w:val="009770C4"/>
    <w:rsid w:val="009858D8"/>
    <w:rsid w:val="00993C86"/>
    <w:rsid w:val="009A1F50"/>
    <w:rsid w:val="009A7111"/>
    <w:rsid w:val="009A7193"/>
    <w:rsid w:val="009B4261"/>
    <w:rsid w:val="009C3469"/>
    <w:rsid w:val="009D7B05"/>
    <w:rsid w:val="009E1C2C"/>
    <w:rsid w:val="009E3E1D"/>
    <w:rsid w:val="009F2F5F"/>
    <w:rsid w:val="009F6857"/>
    <w:rsid w:val="00A02BF0"/>
    <w:rsid w:val="00A046C6"/>
    <w:rsid w:val="00A05443"/>
    <w:rsid w:val="00A07D58"/>
    <w:rsid w:val="00A10B5F"/>
    <w:rsid w:val="00A149F1"/>
    <w:rsid w:val="00A179C7"/>
    <w:rsid w:val="00A21246"/>
    <w:rsid w:val="00A23341"/>
    <w:rsid w:val="00A26B65"/>
    <w:rsid w:val="00A31FF6"/>
    <w:rsid w:val="00A32001"/>
    <w:rsid w:val="00A374B3"/>
    <w:rsid w:val="00A378C1"/>
    <w:rsid w:val="00A5260F"/>
    <w:rsid w:val="00A53F12"/>
    <w:rsid w:val="00A55421"/>
    <w:rsid w:val="00A6361E"/>
    <w:rsid w:val="00A70A85"/>
    <w:rsid w:val="00A72340"/>
    <w:rsid w:val="00A75EFF"/>
    <w:rsid w:val="00A76EAD"/>
    <w:rsid w:val="00A81636"/>
    <w:rsid w:val="00A831D7"/>
    <w:rsid w:val="00AA0205"/>
    <w:rsid w:val="00AA322F"/>
    <w:rsid w:val="00AA57C7"/>
    <w:rsid w:val="00AB26F1"/>
    <w:rsid w:val="00AB7622"/>
    <w:rsid w:val="00AC58CA"/>
    <w:rsid w:val="00AD1AB1"/>
    <w:rsid w:val="00AE5877"/>
    <w:rsid w:val="00AE5AC2"/>
    <w:rsid w:val="00AF040A"/>
    <w:rsid w:val="00AF585B"/>
    <w:rsid w:val="00AF6756"/>
    <w:rsid w:val="00B023DB"/>
    <w:rsid w:val="00B11E14"/>
    <w:rsid w:val="00B1302B"/>
    <w:rsid w:val="00B16201"/>
    <w:rsid w:val="00B226D8"/>
    <w:rsid w:val="00B23D19"/>
    <w:rsid w:val="00B23F8C"/>
    <w:rsid w:val="00B247F5"/>
    <w:rsid w:val="00B25E8F"/>
    <w:rsid w:val="00B2670E"/>
    <w:rsid w:val="00B35E7E"/>
    <w:rsid w:val="00B373B3"/>
    <w:rsid w:val="00B41378"/>
    <w:rsid w:val="00B42F99"/>
    <w:rsid w:val="00B43428"/>
    <w:rsid w:val="00B53E8C"/>
    <w:rsid w:val="00B57C06"/>
    <w:rsid w:val="00B62F62"/>
    <w:rsid w:val="00B660E8"/>
    <w:rsid w:val="00B76CC9"/>
    <w:rsid w:val="00B76CE6"/>
    <w:rsid w:val="00B811DD"/>
    <w:rsid w:val="00B823BD"/>
    <w:rsid w:val="00B911DB"/>
    <w:rsid w:val="00B91AA7"/>
    <w:rsid w:val="00B961D2"/>
    <w:rsid w:val="00B9795C"/>
    <w:rsid w:val="00BA1681"/>
    <w:rsid w:val="00BB5C6D"/>
    <w:rsid w:val="00BC70EB"/>
    <w:rsid w:val="00BD0A86"/>
    <w:rsid w:val="00BD36DC"/>
    <w:rsid w:val="00BD3FC7"/>
    <w:rsid w:val="00BD5CE9"/>
    <w:rsid w:val="00BE1737"/>
    <w:rsid w:val="00BE488F"/>
    <w:rsid w:val="00BF60F2"/>
    <w:rsid w:val="00C025CD"/>
    <w:rsid w:val="00C039F0"/>
    <w:rsid w:val="00C05C15"/>
    <w:rsid w:val="00C22567"/>
    <w:rsid w:val="00C23985"/>
    <w:rsid w:val="00C30520"/>
    <w:rsid w:val="00C31093"/>
    <w:rsid w:val="00C349AA"/>
    <w:rsid w:val="00C41450"/>
    <w:rsid w:val="00C52E1D"/>
    <w:rsid w:val="00C53EC5"/>
    <w:rsid w:val="00C56D29"/>
    <w:rsid w:val="00C60D98"/>
    <w:rsid w:val="00C60F66"/>
    <w:rsid w:val="00C611AA"/>
    <w:rsid w:val="00C63404"/>
    <w:rsid w:val="00C64672"/>
    <w:rsid w:val="00C65AB3"/>
    <w:rsid w:val="00C67386"/>
    <w:rsid w:val="00C71D0C"/>
    <w:rsid w:val="00C74C2D"/>
    <w:rsid w:val="00C77416"/>
    <w:rsid w:val="00C778E3"/>
    <w:rsid w:val="00C84AC0"/>
    <w:rsid w:val="00C93894"/>
    <w:rsid w:val="00C94796"/>
    <w:rsid w:val="00C97475"/>
    <w:rsid w:val="00CA1AFF"/>
    <w:rsid w:val="00CA246C"/>
    <w:rsid w:val="00CA4B5C"/>
    <w:rsid w:val="00CB5222"/>
    <w:rsid w:val="00CC6CD9"/>
    <w:rsid w:val="00CC74A7"/>
    <w:rsid w:val="00CD1EE5"/>
    <w:rsid w:val="00CD476B"/>
    <w:rsid w:val="00CE0371"/>
    <w:rsid w:val="00CE08C5"/>
    <w:rsid w:val="00CE4CDD"/>
    <w:rsid w:val="00CE7984"/>
    <w:rsid w:val="00CF09D3"/>
    <w:rsid w:val="00CF3DCC"/>
    <w:rsid w:val="00D00F00"/>
    <w:rsid w:val="00D02682"/>
    <w:rsid w:val="00D11F72"/>
    <w:rsid w:val="00D17825"/>
    <w:rsid w:val="00D25D96"/>
    <w:rsid w:val="00D25F46"/>
    <w:rsid w:val="00D30AFA"/>
    <w:rsid w:val="00D33555"/>
    <w:rsid w:val="00D347C9"/>
    <w:rsid w:val="00D43050"/>
    <w:rsid w:val="00D43DCF"/>
    <w:rsid w:val="00D44424"/>
    <w:rsid w:val="00D47107"/>
    <w:rsid w:val="00D627CA"/>
    <w:rsid w:val="00D62D4F"/>
    <w:rsid w:val="00D711A5"/>
    <w:rsid w:val="00D7178C"/>
    <w:rsid w:val="00D77107"/>
    <w:rsid w:val="00D80A2F"/>
    <w:rsid w:val="00D841E9"/>
    <w:rsid w:val="00D86B23"/>
    <w:rsid w:val="00D86DC4"/>
    <w:rsid w:val="00D87A6B"/>
    <w:rsid w:val="00D87DBD"/>
    <w:rsid w:val="00D87E45"/>
    <w:rsid w:val="00D9025C"/>
    <w:rsid w:val="00D90427"/>
    <w:rsid w:val="00D913A5"/>
    <w:rsid w:val="00D96795"/>
    <w:rsid w:val="00D97167"/>
    <w:rsid w:val="00DA3139"/>
    <w:rsid w:val="00DA4B43"/>
    <w:rsid w:val="00DB2DBA"/>
    <w:rsid w:val="00DC7DE5"/>
    <w:rsid w:val="00DE4291"/>
    <w:rsid w:val="00DF4188"/>
    <w:rsid w:val="00E01C13"/>
    <w:rsid w:val="00E102C7"/>
    <w:rsid w:val="00E10C8B"/>
    <w:rsid w:val="00E1271F"/>
    <w:rsid w:val="00E13023"/>
    <w:rsid w:val="00E143F2"/>
    <w:rsid w:val="00E21184"/>
    <w:rsid w:val="00E26EBD"/>
    <w:rsid w:val="00E27415"/>
    <w:rsid w:val="00E323F3"/>
    <w:rsid w:val="00E46669"/>
    <w:rsid w:val="00E479CE"/>
    <w:rsid w:val="00E51B82"/>
    <w:rsid w:val="00E55028"/>
    <w:rsid w:val="00E56D31"/>
    <w:rsid w:val="00E7379F"/>
    <w:rsid w:val="00E739F0"/>
    <w:rsid w:val="00E83E77"/>
    <w:rsid w:val="00E8699F"/>
    <w:rsid w:val="00E919C4"/>
    <w:rsid w:val="00EB0192"/>
    <w:rsid w:val="00EB432A"/>
    <w:rsid w:val="00EB6C5C"/>
    <w:rsid w:val="00EC1DA7"/>
    <w:rsid w:val="00ED2484"/>
    <w:rsid w:val="00ED4B17"/>
    <w:rsid w:val="00ED5BF6"/>
    <w:rsid w:val="00EE17CB"/>
    <w:rsid w:val="00F062B1"/>
    <w:rsid w:val="00F114A5"/>
    <w:rsid w:val="00F14B9A"/>
    <w:rsid w:val="00F218B8"/>
    <w:rsid w:val="00F237A9"/>
    <w:rsid w:val="00F26081"/>
    <w:rsid w:val="00F26A00"/>
    <w:rsid w:val="00F33AA5"/>
    <w:rsid w:val="00F372AD"/>
    <w:rsid w:val="00F44A48"/>
    <w:rsid w:val="00F470D0"/>
    <w:rsid w:val="00F521E6"/>
    <w:rsid w:val="00F530BA"/>
    <w:rsid w:val="00F6258B"/>
    <w:rsid w:val="00F75572"/>
    <w:rsid w:val="00F86985"/>
    <w:rsid w:val="00F93384"/>
    <w:rsid w:val="00F948F2"/>
    <w:rsid w:val="00FA369E"/>
    <w:rsid w:val="00FA7634"/>
    <w:rsid w:val="00FB1FEA"/>
    <w:rsid w:val="00FB59DF"/>
    <w:rsid w:val="00FC0CF2"/>
    <w:rsid w:val="00FC160C"/>
    <w:rsid w:val="00FC362D"/>
    <w:rsid w:val="00FD5E5B"/>
    <w:rsid w:val="00FD5F8F"/>
    <w:rsid w:val="00FE3746"/>
    <w:rsid w:val="00FE403E"/>
    <w:rsid w:val="00FE4C35"/>
    <w:rsid w:val="00FF556E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A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FD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FD9"/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  <w:style w:type="paragraph" w:styleId="a5">
    <w:name w:val="footer"/>
    <w:basedOn w:val="a"/>
    <w:link w:val="a6"/>
    <w:uiPriority w:val="99"/>
    <w:semiHidden/>
    <w:unhideWhenUsed/>
    <w:rsid w:val="00796FD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6FD9"/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516</dc:creator>
  <cp:lastModifiedBy>516</cp:lastModifiedBy>
  <cp:revision>4</cp:revision>
  <dcterms:created xsi:type="dcterms:W3CDTF">2022-08-16T10:08:00Z</dcterms:created>
  <dcterms:modified xsi:type="dcterms:W3CDTF">2022-08-17T10:02:00Z</dcterms:modified>
</cp:coreProperties>
</file>