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5F" w:rsidRDefault="00484E5F" w:rsidP="00484E5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484E5F">
        <w:rPr>
          <w:rFonts w:ascii="Times New Roman" w:eastAsia="Calibri" w:hAnsi="Times New Roman" w:cs="Times New Roman"/>
          <w:b/>
          <w:bCs/>
          <w:lang w:val="it-IT"/>
        </w:rPr>
        <w:t>Supplementary</w:t>
      </w:r>
      <w:r w:rsidRPr="00484E5F">
        <w:rPr>
          <w:rFonts w:ascii="Times New Roman" w:eastAsia="Calibri" w:hAnsi="Times New Roman" w:cs="Times New Roman"/>
          <w:b/>
          <w:bCs/>
          <w:lang w:val="en-US"/>
        </w:rPr>
        <w:t xml:space="preserve"> Table 1. </w:t>
      </w:r>
      <w:r w:rsidRPr="00484E5F">
        <w:rPr>
          <w:rFonts w:ascii="Times New Roman" w:eastAsia="Times New Roman" w:hAnsi="Times New Roman" w:cs="Times New Roman"/>
          <w:lang w:val="en-GB" w:eastAsia="ar-SA"/>
        </w:rPr>
        <w:t xml:space="preserve">Characteristics of the study population (N = 291).  </w:t>
      </w:r>
      <w:bookmarkStart w:id="0" w:name="_GoBack"/>
      <w:bookmarkEnd w:id="0"/>
    </w:p>
    <w:p w:rsidR="00484E5F" w:rsidRPr="00484E5F" w:rsidRDefault="00484E5F" w:rsidP="00484E5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 w:eastAsia="ar-SA"/>
        </w:rPr>
      </w:pPr>
    </w:p>
    <w:tbl>
      <w:tblPr>
        <w:tblW w:w="9000" w:type="dxa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005"/>
      </w:tblGrid>
      <w:tr w:rsidR="00484E5F" w:rsidRPr="00484E5F" w:rsidTr="00484E5F">
        <w:trPr>
          <w:trHeight w:hRule="exact" w:val="454"/>
          <w:jc w:val="center"/>
        </w:trPr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  <w:tc>
          <w:tcPr>
            <w:tcW w:w="4005" w:type="dxa"/>
            <w:tcBorders>
              <w:bottom w:val="single" w:sz="4" w:space="0" w:color="auto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 xml:space="preserve">Mean ± SD; median (IQR) or n (%) </w:t>
            </w:r>
          </w:p>
        </w:tc>
      </w:tr>
      <w:tr w:rsidR="00484E5F" w:rsidRPr="00484E5F" w:rsidTr="00484E5F">
        <w:trPr>
          <w:trHeight w:hRule="exact" w:val="454"/>
          <w:jc w:val="center"/>
        </w:trPr>
        <w:tc>
          <w:tcPr>
            <w:tcW w:w="4995" w:type="dxa"/>
            <w:tcBorders>
              <w:top w:val="single" w:sz="4" w:space="0" w:color="auto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Gender (males; N = 290)</w:t>
            </w:r>
          </w:p>
        </w:tc>
        <w:tc>
          <w:tcPr>
            <w:tcW w:w="4005" w:type="dxa"/>
            <w:tcBorders>
              <w:top w:val="single" w:sz="4" w:space="0" w:color="auto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181 (62.4)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Gestational age (weeks; 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34.7 ± 4.65; 37 (30–38)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Birth weight (g; 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2341 ± 1051; 2505 (1260–3240)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Cesarean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section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203 (70.0)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5-minutes Apgar score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8.24 ± 1.40; 8 (8–9)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Body temperature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37.0 ± 0.50; 37 (36.7–37.2)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Mean blood pressure (N = 289)</w:t>
            </w:r>
          </w:p>
        </w:tc>
        <w:tc>
          <w:tcPr>
            <w:tcW w:w="400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52.1 ± 8.92; 52 (46–58)</w:t>
            </w:r>
          </w:p>
        </w:tc>
      </w:tr>
      <w:tr w:rsidR="00484E5F" w:rsidRPr="00484E5F" w:rsidTr="00484E5F">
        <w:trPr>
          <w:trHeight w:hRule="exact" w:val="239"/>
          <w:jc w:val="center"/>
        </w:trPr>
        <w:tc>
          <w:tcPr>
            <w:tcW w:w="499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Change in skin 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color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290)</w:t>
            </w:r>
          </w:p>
        </w:tc>
        <w:tc>
          <w:tcPr>
            <w:tcW w:w="400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Normal</w:t>
            </w:r>
          </w:p>
        </w:tc>
        <w:tc>
          <w:tcPr>
            <w:tcW w:w="400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31 (10.7)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Moderate change</w:t>
            </w:r>
          </w:p>
        </w:tc>
        <w:tc>
          <w:tcPr>
            <w:tcW w:w="400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182 (62.8)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Considerable change</w:t>
            </w:r>
          </w:p>
        </w:tc>
        <w:tc>
          <w:tcPr>
            <w:tcW w:w="400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77 (26.5)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capillary refill time (CRT) (N = 290)</w:t>
            </w:r>
          </w:p>
        </w:tc>
        <w:tc>
          <w:tcPr>
            <w:tcW w:w="4005" w:type="dxa"/>
            <w:tcBorders>
              <w:top w:val="nil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Normal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80 (27.6)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Impaired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149 (51.4)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Considerably impaired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61 (21.0)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Base deficit (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mmol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/L; N =290)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3.56 ± 2.99; 3 (1.2–5)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Blood pH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≥ 7.30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259 (89.3)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≥ 7.20 and &lt; 7.30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27 (9.3)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&lt; 7.20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4 (1.4)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Shift to the left (N =288)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No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192 (66.7)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Moderate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85 (29.5)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Considerable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11 (3.8)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Muscular 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hypotonia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286)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138 (48.2)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Bradycardia (N =290)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8 (2.8)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Apneic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spell (N = 287)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81 (28.2)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Liver enlargement (N =290)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55 (19.0)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Gastrointestinal symptoms (N = 289)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121 (41.9)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Respiratory distress (N =290)</w:t>
            </w:r>
            <w:r w:rsidRPr="00484E5F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95 (32.8)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SpO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/FiO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Not intubated or intubated with SpO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/FiO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≥300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149 (51.4)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Intubated with 200≥ SpO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/FiO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 xml:space="preserve">2 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&lt;300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100 (34.5)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Intubated with 150≥ SpO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/FiO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&lt;200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22 (7.6)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Intubated with 100≥ SpO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/FiO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&lt; 150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12 (4.1)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Intubated with SpO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/FiO</w:t>
            </w:r>
            <w:r w:rsidRPr="00484E5F">
              <w:rPr>
                <w:rFonts w:ascii="Times New Roman" w:eastAsia="Times New Roman" w:hAnsi="Times New Roman" w:cs="Times New Roman"/>
                <w:vertAlign w:val="subscript"/>
                <w:lang w:val="en-GB" w:eastAsia="ar-SA"/>
              </w:rPr>
              <w:t>2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&lt;100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7 (2.4)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Tollner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score (N =291)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7.15 ± 4.40; 6 (4–10)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nSOFA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291)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2.84 ± 3.00; 2 (0–4)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NeoBAT score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0.46 ± 0.91; 2 (0–4)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Seizures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13 (4.5)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Diuresis (ml/kg/h; 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≥ 1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281 (96.9)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≥ 0.1 and &lt;1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7 (2.4)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&lt; 0.1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 (0.7)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Edema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288)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lastRenderedPageBreak/>
              <w:t xml:space="preserve">  No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243 (84.4)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Subcutaneous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41 (14.2)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Generalized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4 (1.4)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Respiratory distress syndrome (N =290)</w:t>
            </w:r>
            <w:r w:rsidRPr="00484E5F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177 (61.0)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Bronchopulmonary dysplasia (N = 288)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No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215 (74.1)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Mild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20 (6.9)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Moderate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11 (3.8)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Severe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44 (15.2)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Retinopathy of prematurity (N =290)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No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224 (77.3)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Yes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43 (14.8)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Yes, requiring laser treatment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23 (7.9)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Patent ductus arteriosus (N = 288)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No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259 (89.9)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Yes, requiring no treatment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 (1.8)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Yes, requiring medical treatment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22 (7.6)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Yes, requiring surgical treatment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 (0.7)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Hypotension (N =290)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No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217 (74.8)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Pharmacological support to maintain adequate BP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53 (18.3)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Hypotension despite pharmacological support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20 (6.9)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Multiple organ distress syndrome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65 (22.4)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Intra-ventricular 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hemorrhage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93 (32.1)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Gastrointestinal 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hemorrhage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26 (9.0)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Pulmonary 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hemorrhage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12 (4.1)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Venipuncture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site 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hemorrhage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57 (19.7)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Urinary tract 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hemorrhage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287)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8 (2.8)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Periventricular 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leukomalacia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37 (12.8)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Intrauterine growth retardation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38 (13.1)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Acute renal failure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37 (12.8)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Disseminated intravascular coagulopathy (N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45 (15.5)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Necrotizing 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enterocolitis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289)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9 (3.1)</w:t>
            </w:r>
          </w:p>
        </w:tc>
      </w:tr>
      <w:tr w:rsidR="00484E5F" w:rsidRPr="00484E5F" w:rsidTr="00484E5F">
        <w:trPr>
          <w:trHeight w:hRule="exact" w:val="45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Albumin (g/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dL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; N = 287)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2.51 ± 0.43; 2.5 (2.2–2.7)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Hematocrit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(%; N = 275)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40.1 ± 6.52; 39.5 (35.9–44.1)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WBC (×10</w:t>
            </w:r>
            <w:r w:rsidRPr="00484E5F">
              <w:rPr>
                <w:rFonts w:ascii="Times New Roman" w:eastAsia="Times New Roman" w:hAnsi="Times New Roman" w:cs="Times New Roman"/>
                <w:vertAlign w:val="superscript"/>
                <w:lang w:val="en-GB" w:eastAsia="ar-SA"/>
              </w:rPr>
              <w:t>3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, cells/µL; 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14.6 ± 8.59; 12.7 (9.44–18.3)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Neutrophils (%; N = 289)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58.5 ± 18.1; 60.5 (47.0–72.6)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Platelets (×10</w:t>
            </w:r>
            <w:r w:rsidRPr="00484E5F">
              <w:rPr>
                <w:rFonts w:ascii="Times New Roman" w:eastAsia="Times New Roman" w:hAnsi="Times New Roman" w:cs="Times New Roman"/>
                <w:vertAlign w:val="superscript"/>
                <w:lang w:val="en-GB" w:eastAsia="ar-SA"/>
              </w:rPr>
              <w:t>3</w:t>
            </w: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, cells/µL; 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215 ± 142; 209 (89.0–296)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C-reactive protein (mg/L; 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37.2 ± 43.5; 18.5 (4.4–54.4)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SGOT (IU/L; 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84.5 ± 167; 50 (31–80)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SGPT (IU/L; N = 289)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36.7 ± 76.4; 18 (12–34)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Total bilirubin (mg/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dL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; 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7.26 ± 6.64; 6.0 (3.1–9.6)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Direct bilirubin (mg/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dL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; N = 287)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1.25 ± 4.20; 0.3 (0.2–0.5)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Blood urea nitrogen (mg/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dL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; N = 290)</w:t>
            </w:r>
          </w:p>
        </w:tc>
        <w:tc>
          <w:tcPr>
            <w:tcW w:w="4005" w:type="dxa"/>
            <w:tcBorders>
              <w:top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39.2 ± 34.9; 28 (19–50)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Creatinine, mg/</w:t>
            </w:r>
            <w:proofErr w:type="spellStart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dL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(N = 290)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0.61 ± 0.36; 0.5 (0.4–0.8)</w:t>
            </w:r>
          </w:p>
        </w:tc>
      </w:tr>
      <w:tr w:rsidR="00484E5F" w:rsidRPr="00484E5F" w:rsidTr="00484E5F">
        <w:trPr>
          <w:trHeight w:hRule="exact" w:val="45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en-GB" w:eastAsia="ar-SA"/>
              </w:rPr>
            </w:pPr>
            <w:proofErr w:type="spellStart"/>
            <w:r w:rsidRPr="00484E5F">
              <w:rPr>
                <w:rFonts w:ascii="Times New Roman" w:eastAsia="Times New Roman" w:hAnsi="Times New Roman" w:cs="Times New Roman"/>
                <w:i/>
                <w:iCs/>
                <w:lang w:val="en-GB" w:eastAsia="ar-SA"/>
              </w:rPr>
              <w:t>Extem</w:t>
            </w:r>
            <w:proofErr w:type="spellEnd"/>
            <w:r w:rsidRPr="00484E5F">
              <w:rPr>
                <w:rFonts w:ascii="Times New Roman" w:eastAsia="Times New Roman" w:hAnsi="Times New Roman" w:cs="Times New Roman"/>
                <w:i/>
                <w:iCs/>
                <w:lang w:val="en-GB" w:eastAsia="ar-SA"/>
              </w:rPr>
              <w:t xml:space="preserve"> ROTEMS parameters: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lastRenderedPageBreak/>
              <w:t xml:space="preserve">  CT (minutes; N = 291)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62.5 ± 71.0; 51.0 (44.0–61.0)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A5 (mm; N = 291)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42.1 ± 14.4; 43.0 (33.0–53.0)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A10 (mm; N = 290)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51.2 ± 15.0; 53.0 (43.0–63.0)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A15 (mm; N = 288)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54.7 ± 14.7; 57.0 (47.0–66.0)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A20 (mm; N = 289)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56.5 ± 14.3; 59.0 (49.0–67.0)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A25 (mm; N = 289)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57.2 ± 14.1; 60.0 (51.0–68.0)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A30 (mm; N = 279)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57.6 ± 14.1; 60.0 (51.0–68.0)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CFT (minutes; N = 288)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157± 316; 82.5 (59.0–127)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MCF (mm; N = 291)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58.8 ± 14.8; 60.0 (51.0–69.0)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ALPHA (°; N = 290)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72.8 ± 12.2; 76.0 (70.0–80.0)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LI30 (%; N = 275)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98.8 ± 6.02; 100 (99.0–100)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LI45 (%; N = 260)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96.7 ± 5.95; 98.0 (96.0–100)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LI60 (%; N = 236)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94.2 ± 6.28; 95.0 (92.0–98.0)</w:t>
            </w:r>
          </w:p>
        </w:tc>
      </w:tr>
      <w:tr w:rsidR="00484E5F" w:rsidRPr="00484E5F" w:rsidTr="00484E5F">
        <w:trPr>
          <w:trHeight w:hRule="exact" w:val="284"/>
          <w:jc w:val="center"/>
        </w:trPr>
        <w:tc>
          <w:tcPr>
            <w:tcW w:w="499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MCE (N = 270)</w:t>
            </w:r>
          </w:p>
        </w:tc>
        <w:tc>
          <w:tcPr>
            <w:tcW w:w="4005" w:type="dxa"/>
            <w:tcBorders>
              <w:top w:val="nil"/>
              <w:bottom w:val="nil"/>
            </w:tcBorders>
            <w:vAlign w:val="bottom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171 ± 114; 151 (104–214)</w:t>
            </w:r>
          </w:p>
        </w:tc>
      </w:tr>
      <w:tr w:rsidR="00484E5F" w:rsidRPr="00484E5F" w:rsidTr="00484E5F">
        <w:trPr>
          <w:trHeight w:hRule="exact" w:val="397"/>
          <w:jc w:val="center"/>
        </w:trPr>
        <w:tc>
          <w:tcPr>
            <w:tcW w:w="4995" w:type="dxa"/>
            <w:tcBorders>
              <w:top w:val="nil"/>
              <w:bottom w:val="single" w:sz="4" w:space="0" w:color="auto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 ML (%; N = 290)</w:t>
            </w:r>
          </w:p>
        </w:tc>
        <w:tc>
          <w:tcPr>
            <w:tcW w:w="4005" w:type="dxa"/>
            <w:tcBorders>
              <w:top w:val="nil"/>
              <w:bottom w:val="single" w:sz="4" w:space="0" w:color="auto"/>
            </w:tcBorders>
            <w:vAlign w:val="center"/>
          </w:tcPr>
          <w:p w:rsidR="00484E5F" w:rsidRPr="00484E5F" w:rsidRDefault="00484E5F" w:rsidP="00484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484E5F">
              <w:rPr>
                <w:rFonts w:ascii="Times New Roman" w:eastAsia="Times New Roman" w:hAnsi="Times New Roman" w:cs="Times New Roman"/>
                <w:lang w:val="en-GB" w:eastAsia="ar-SA"/>
              </w:rPr>
              <w:t>9.56 ± 11.8; 8 (3–12)</w:t>
            </w:r>
          </w:p>
        </w:tc>
      </w:tr>
    </w:tbl>
    <w:p w:rsidR="00484E5F" w:rsidRPr="00484E5F" w:rsidRDefault="00484E5F" w:rsidP="0048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ar-SA"/>
        </w:rPr>
      </w:pPr>
      <w:proofErr w:type="gramStart"/>
      <w:r w:rsidRPr="00484E5F">
        <w:rPr>
          <w:rFonts w:ascii="Times New Roman" w:eastAsia="Times New Roman" w:hAnsi="Times New Roman" w:cs="Times New Roman"/>
          <w:i/>
          <w:iCs/>
          <w:lang w:val="en-GB" w:eastAsia="ar-SA"/>
        </w:rPr>
        <w:t>Abbreviations:</w:t>
      </w:r>
      <w:r w:rsidRPr="00484E5F">
        <w:rPr>
          <w:rFonts w:ascii="Times New Roman" w:eastAsia="Times New Roman" w:hAnsi="Times New Roman" w:cs="Times New Roman"/>
          <w:lang w:val="en-GB" w:eastAsia="ar-SA"/>
        </w:rPr>
        <w:t xml:space="preserve">  BP, blood pressure; SD, standard deviation;  IQR, interquartile range;  CT, clotting time;  CFT, clot formation time; A5, clot amplitude at 5 minutes; A10, clot amplitude at 10 minutes;  A15, clot amplitude at 15 minutes;  A20, clot amplitude at 20 minutes;  A25, clot amplitude at 25 minutes; A30, clot amplitude at 30 minutes;  MCF, maximum clot firmness;  LI60, lysis index at 60 min;  ML, maximal lysis; MCE, maximum clot elasticity; SGOT, serum glutamic </w:t>
      </w:r>
      <w:proofErr w:type="spellStart"/>
      <w:r w:rsidRPr="00484E5F">
        <w:rPr>
          <w:rFonts w:ascii="Times New Roman" w:eastAsia="Times New Roman" w:hAnsi="Times New Roman" w:cs="Times New Roman"/>
          <w:lang w:val="en-GB" w:eastAsia="ar-SA"/>
        </w:rPr>
        <w:t>oxaloacetic</w:t>
      </w:r>
      <w:proofErr w:type="spellEnd"/>
      <w:r w:rsidRPr="00484E5F">
        <w:rPr>
          <w:rFonts w:ascii="Times New Roman" w:eastAsia="Times New Roman" w:hAnsi="Times New Roman" w:cs="Times New Roman"/>
          <w:lang w:val="en-GB" w:eastAsia="ar-SA"/>
        </w:rPr>
        <w:t xml:space="preserve"> transaminase; SGPT, serum glutamic pyruvic transaminase, WBC, white blood cells, NeoBAT, neonatal bleeding assessment tool; </w:t>
      </w:r>
      <w:proofErr w:type="spellStart"/>
      <w:r w:rsidRPr="00484E5F">
        <w:rPr>
          <w:rFonts w:ascii="Times New Roman" w:eastAsia="Times New Roman" w:hAnsi="Times New Roman" w:cs="Times New Roman"/>
          <w:lang w:val="en-GB" w:eastAsia="ar-SA"/>
        </w:rPr>
        <w:t>nSOFA</w:t>
      </w:r>
      <w:proofErr w:type="spellEnd"/>
      <w:r w:rsidRPr="00484E5F">
        <w:rPr>
          <w:rFonts w:ascii="Times New Roman" w:eastAsia="Times New Roman" w:hAnsi="Times New Roman" w:cs="Times New Roman"/>
          <w:lang w:val="en-GB" w:eastAsia="ar-SA"/>
        </w:rPr>
        <w:t>, neonatal, Sequential Organ Failure Assessment</w:t>
      </w:r>
      <w:proofErr w:type="gramEnd"/>
    </w:p>
    <w:p w:rsidR="00484E5F" w:rsidRPr="00484E5F" w:rsidRDefault="00484E5F" w:rsidP="0048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484E5F">
        <w:rPr>
          <w:rFonts w:ascii="Times New Roman" w:eastAsia="Times New Roman" w:hAnsi="Times New Roman" w:cs="Times New Roman"/>
          <w:lang w:val="en-US" w:eastAsia="ar-SA"/>
        </w:rPr>
        <w:t>Footnotes:</w:t>
      </w:r>
      <w:r w:rsidRPr="00484E5F">
        <w:rPr>
          <w:rFonts w:ascii="Times New Roman" w:eastAsia="Calibri" w:hAnsi="Times New Roman" w:cs="Times New Roman"/>
          <w:lang w:val="en-US"/>
        </w:rPr>
        <w:t xml:space="preserve"> </w:t>
      </w:r>
      <w:r w:rsidRPr="00484E5F">
        <w:rPr>
          <w:rFonts w:ascii="Times New Roman" w:eastAsia="Times New Roman" w:hAnsi="Times New Roman" w:cs="Times New Roman"/>
          <w:lang w:val="en-US" w:eastAsia="ar-SA"/>
        </w:rPr>
        <w:t>*Respiratory Distress Syndrome (RDS) was a diagnosis throughout hospitalization; respiratory distress refers to symptoms occurring at the time of evaluation due to suspected sepsis.</w:t>
      </w:r>
    </w:p>
    <w:p w:rsidR="00F649A9" w:rsidRPr="00484E5F" w:rsidRDefault="00484E5F">
      <w:pPr>
        <w:rPr>
          <w:lang w:val="en-US"/>
        </w:rPr>
      </w:pPr>
    </w:p>
    <w:sectPr w:rsidR="00F649A9" w:rsidRPr="00484E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5F"/>
    <w:rsid w:val="000769FB"/>
    <w:rsid w:val="00116EA4"/>
    <w:rsid w:val="004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91D9"/>
  <w15:chartTrackingRefBased/>
  <w15:docId w15:val="{0A96AC8C-02F5-41FC-9BBB-72C20C10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2022-07-27T10:09:00Z</dcterms:created>
  <dcterms:modified xsi:type="dcterms:W3CDTF">2022-07-27T10:11:00Z</dcterms:modified>
</cp:coreProperties>
</file>