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5A427" w14:textId="6C807DA5" w:rsidR="00EA3D3C" w:rsidRPr="00473463" w:rsidRDefault="00654E8F" w:rsidP="00473463">
      <w:pPr>
        <w:pStyle w:val="SupplementaryMaterial"/>
        <w:rPr>
          <w:b w:val="0"/>
        </w:rPr>
      </w:pPr>
      <w:r w:rsidRPr="001549D3">
        <w:t>Supplementary Material</w:t>
      </w:r>
    </w:p>
    <w:p w14:paraId="6754D378" w14:textId="60F3745B" w:rsidR="00994A3D" w:rsidRDefault="00654E8F" w:rsidP="003F55BE">
      <w:pPr>
        <w:pStyle w:val="Heading1"/>
      </w:pPr>
      <w:r w:rsidRPr="00994A3D">
        <w:t>Supplementary Figures and Tables</w:t>
      </w:r>
    </w:p>
    <w:p w14:paraId="76C3BF3E" w14:textId="56CFB619" w:rsidR="000F162A" w:rsidRDefault="00E16BC5" w:rsidP="00E16BC5">
      <w:pPr>
        <w:ind w:left="-540"/>
      </w:pPr>
      <w:r>
        <w:rPr>
          <w:noProof/>
        </w:rPr>
        <w:drawing>
          <wp:inline distT="0" distB="0" distL="0" distR="0" wp14:anchorId="0F65CA9F" wp14:editId="65E58609">
            <wp:extent cx="6833018" cy="237744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33018" cy="2377440"/>
                    </a:xfrm>
                    <a:prstGeom prst="rect">
                      <a:avLst/>
                    </a:prstGeom>
                    <a:noFill/>
                    <a:ln>
                      <a:noFill/>
                    </a:ln>
                  </pic:spPr>
                </pic:pic>
              </a:graphicData>
            </a:graphic>
          </wp:inline>
        </w:drawing>
      </w:r>
    </w:p>
    <w:p w14:paraId="7989B98A" w14:textId="64B0B4F1" w:rsidR="00E16BC5" w:rsidRPr="008C2CD0" w:rsidRDefault="00E16BC5" w:rsidP="008C2CD0">
      <w:pPr>
        <w:spacing w:before="0" w:after="200" w:line="276" w:lineRule="auto"/>
        <w:rPr>
          <w:rFonts w:cs="Times New Roman"/>
          <w:szCs w:val="24"/>
        </w:rPr>
      </w:pPr>
      <w:r w:rsidRPr="0001436A">
        <w:rPr>
          <w:rFonts w:cs="Times New Roman"/>
          <w:b/>
          <w:szCs w:val="24"/>
        </w:rPr>
        <w:t xml:space="preserve">Supplementary Figure </w:t>
      </w:r>
      <w:r>
        <w:rPr>
          <w:rFonts w:cs="Times New Roman"/>
          <w:b/>
          <w:szCs w:val="24"/>
        </w:rPr>
        <w:t>1</w:t>
      </w:r>
      <w:r w:rsidRPr="0001436A">
        <w:rPr>
          <w:rFonts w:cs="Times New Roman"/>
          <w:b/>
          <w:szCs w:val="24"/>
        </w:rPr>
        <w:t>.</w:t>
      </w:r>
      <w:r w:rsidRPr="001549D3">
        <w:rPr>
          <w:rFonts w:cs="Times New Roman"/>
          <w:szCs w:val="24"/>
        </w:rPr>
        <w:t xml:space="preserve"> </w:t>
      </w:r>
      <w:r>
        <w:rPr>
          <w:rFonts w:cs="Times New Roman"/>
          <w:szCs w:val="24"/>
        </w:rPr>
        <w:t xml:space="preserve">Expression of genes in the </w:t>
      </w:r>
      <w:r>
        <w:rPr>
          <w:rFonts w:cs="Times New Roman"/>
          <w:i/>
          <w:iCs/>
          <w:szCs w:val="24"/>
        </w:rPr>
        <w:t xml:space="preserve">COS </w:t>
      </w:r>
      <w:r>
        <w:rPr>
          <w:rFonts w:cs="Times New Roman"/>
          <w:szCs w:val="24"/>
        </w:rPr>
        <w:t xml:space="preserve">locus in WT and </w:t>
      </w:r>
      <w:r>
        <w:rPr>
          <w:rFonts w:cs="Times New Roman"/>
          <w:i/>
          <w:iCs/>
          <w:szCs w:val="24"/>
        </w:rPr>
        <w:t>cos</w:t>
      </w:r>
      <w:r>
        <w:rPr>
          <w:rFonts w:cs="Times New Roman"/>
          <w:szCs w:val="24"/>
        </w:rPr>
        <w:t xml:space="preserve"> mutants. </w:t>
      </w:r>
      <w:r w:rsidRPr="00E16BC5">
        <w:rPr>
          <w:rFonts w:cs="Times New Roman"/>
          <w:szCs w:val="24"/>
        </w:rPr>
        <w:t xml:space="preserve">Relative expression levels of </w:t>
      </w:r>
      <w:r>
        <w:rPr>
          <w:rFonts w:cs="Times New Roman"/>
          <w:szCs w:val="24"/>
        </w:rPr>
        <w:t>AT1G13608</w:t>
      </w:r>
      <w:r w:rsidRPr="00E16BC5">
        <w:rPr>
          <w:rFonts w:cs="Times New Roman"/>
          <w:szCs w:val="24"/>
        </w:rPr>
        <w:t xml:space="preserve"> (A)</w:t>
      </w:r>
      <w:r>
        <w:rPr>
          <w:rFonts w:cs="Times New Roman"/>
          <w:szCs w:val="24"/>
        </w:rPr>
        <w:t>, AT1G13609</w:t>
      </w:r>
      <w:r w:rsidRPr="00E16BC5">
        <w:rPr>
          <w:rFonts w:cs="Times New Roman"/>
          <w:szCs w:val="24"/>
        </w:rPr>
        <w:t xml:space="preserve"> (B)</w:t>
      </w:r>
      <w:r>
        <w:rPr>
          <w:rFonts w:cs="Times New Roman"/>
          <w:szCs w:val="24"/>
        </w:rPr>
        <w:t xml:space="preserve"> and </w:t>
      </w:r>
      <w:r>
        <w:rPr>
          <w:rFonts w:cs="Times New Roman"/>
          <w:i/>
          <w:iCs/>
          <w:szCs w:val="24"/>
        </w:rPr>
        <w:t>COS</w:t>
      </w:r>
      <w:r>
        <w:rPr>
          <w:rFonts w:cs="Times New Roman"/>
          <w:szCs w:val="24"/>
        </w:rPr>
        <w:t xml:space="preserve"> (C)</w:t>
      </w:r>
      <w:r w:rsidRPr="00E16BC5">
        <w:rPr>
          <w:rFonts w:cs="Times New Roman"/>
          <w:szCs w:val="24"/>
        </w:rPr>
        <w:t xml:space="preserve"> in </w:t>
      </w:r>
      <w:r>
        <w:rPr>
          <w:rFonts w:cs="Times New Roman"/>
          <w:szCs w:val="24"/>
        </w:rPr>
        <w:t>shoots</w:t>
      </w:r>
      <w:r w:rsidRPr="00E16BC5">
        <w:rPr>
          <w:rFonts w:cs="Times New Roman"/>
          <w:szCs w:val="24"/>
        </w:rPr>
        <w:t xml:space="preserve"> of WT and cos mutants. Seedlings were grown on 1/2X MS agar with 50 μM Fe-EDTA for 14 d followed by a growth period of 3 d either on Fe-sufficient or Fe-deficient MS agar medium. Bars represent means ± SD of relative transcript levels normalized to </w:t>
      </w:r>
      <w:r w:rsidRPr="00E16BC5">
        <w:rPr>
          <w:rFonts w:cs="Times New Roman"/>
          <w:i/>
          <w:iCs/>
          <w:szCs w:val="24"/>
        </w:rPr>
        <w:t>ACT2</w:t>
      </w:r>
      <w:r w:rsidRPr="00E16BC5">
        <w:rPr>
          <w:rFonts w:cs="Times New Roman"/>
          <w:szCs w:val="24"/>
        </w:rPr>
        <w:t xml:space="preserve"> (n=3).</w:t>
      </w:r>
    </w:p>
    <w:p w14:paraId="56F1D618" w14:textId="63D068CD" w:rsidR="00D20B4D" w:rsidRDefault="00D20B4D" w:rsidP="00D20B4D">
      <w:pPr>
        <w:spacing w:before="0" w:after="200" w:line="276" w:lineRule="auto"/>
        <w:jc w:val="center"/>
        <w:rPr>
          <w:rFonts w:cs="Times New Roman"/>
          <w:szCs w:val="24"/>
        </w:rPr>
      </w:pPr>
      <w:r>
        <w:rPr>
          <w:rFonts w:cs="Times New Roman"/>
          <w:noProof/>
          <w:szCs w:val="24"/>
        </w:rPr>
        <w:drawing>
          <wp:inline distT="0" distB="0" distL="0" distR="0" wp14:anchorId="44FD9085" wp14:editId="50E96BEC">
            <wp:extent cx="2834640" cy="28346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7C1ABDD8" w14:textId="6457374D" w:rsidR="00D20B4D" w:rsidRDefault="00D20B4D">
      <w:pPr>
        <w:spacing w:before="0" w:after="200" w:line="276" w:lineRule="auto"/>
        <w:rPr>
          <w:rFonts w:cs="Times New Roman"/>
          <w:szCs w:val="24"/>
        </w:rPr>
      </w:pPr>
      <w:r w:rsidRPr="0001436A">
        <w:rPr>
          <w:rFonts w:cs="Times New Roman"/>
          <w:b/>
          <w:szCs w:val="24"/>
        </w:rPr>
        <w:t xml:space="preserve">Supplementary Figure </w:t>
      </w:r>
      <w:r>
        <w:rPr>
          <w:rFonts w:cs="Times New Roman"/>
          <w:b/>
          <w:szCs w:val="24"/>
        </w:rPr>
        <w:t>2</w:t>
      </w:r>
      <w:r w:rsidRPr="0001436A">
        <w:rPr>
          <w:rFonts w:cs="Times New Roman"/>
          <w:b/>
          <w:szCs w:val="24"/>
        </w:rPr>
        <w:t>.</w:t>
      </w:r>
      <w:r w:rsidRPr="001549D3">
        <w:rPr>
          <w:rFonts w:cs="Times New Roman"/>
          <w:szCs w:val="24"/>
        </w:rPr>
        <w:t xml:space="preserve"> </w:t>
      </w:r>
      <w:r>
        <w:rPr>
          <w:rFonts w:cs="Times New Roman"/>
          <w:szCs w:val="24"/>
        </w:rPr>
        <w:t xml:space="preserve">Germination rate of WT and </w:t>
      </w:r>
      <w:r>
        <w:rPr>
          <w:rFonts w:cs="Times New Roman"/>
          <w:i/>
          <w:iCs/>
          <w:szCs w:val="24"/>
        </w:rPr>
        <w:t xml:space="preserve">cos </w:t>
      </w:r>
      <w:r>
        <w:rPr>
          <w:rFonts w:cs="Times New Roman"/>
          <w:szCs w:val="24"/>
        </w:rPr>
        <w:t>mutants. 100 seeds from each genotype were grown on 1/2X</w:t>
      </w:r>
      <w:r w:rsidRPr="0059707E">
        <w:rPr>
          <w:rFonts w:cs="Times New Roman"/>
          <w:szCs w:val="24"/>
        </w:rPr>
        <w:t xml:space="preserve"> MS agar with 50 μM Fe-EDTA</w:t>
      </w:r>
      <w:r>
        <w:rPr>
          <w:rFonts w:cs="Times New Roman"/>
          <w:szCs w:val="24"/>
        </w:rPr>
        <w:t xml:space="preserve"> for four days and scored based on the emergence of hypocotyl.</w:t>
      </w:r>
    </w:p>
    <w:p w14:paraId="60B5BC2A" w14:textId="4ADE3128" w:rsidR="000A3854" w:rsidRDefault="000A3854" w:rsidP="000A3854">
      <w:pPr>
        <w:spacing w:before="0" w:after="200" w:line="276" w:lineRule="auto"/>
        <w:jc w:val="center"/>
        <w:rPr>
          <w:rFonts w:cs="Times New Roman"/>
          <w:szCs w:val="24"/>
        </w:rPr>
      </w:pPr>
      <w:r>
        <w:rPr>
          <w:rFonts w:cs="Times New Roman"/>
          <w:noProof/>
          <w:szCs w:val="24"/>
        </w:rPr>
        <w:lastRenderedPageBreak/>
        <w:drawing>
          <wp:inline distT="0" distB="0" distL="0" distR="0" wp14:anchorId="03169C73" wp14:editId="23B58870">
            <wp:extent cx="2834640" cy="2834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p w14:paraId="67235D75" w14:textId="382C7EAF" w:rsidR="000A3854" w:rsidRDefault="000A3854">
      <w:pPr>
        <w:spacing w:before="0" w:after="200" w:line="276" w:lineRule="auto"/>
        <w:rPr>
          <w:rFonts w:cs="Times New Roman"/>
          <w:szCs w:val="24"/>
        </w:rPr>
      </w:pPr>
      <w:r w:rsidRPr="0001436A">
        <w:rPr>
          <w:rFonts w:cs="Times New Roman"/>
          <w:b/>
          <w:szCs w:val="24"/>
        </w:rPr>
        <w:t xml:space="preserve">Supplementary Figure </w:t>
      </w:r>
      <w:r>
        <w:rPr>
          <w:rFonts w:cs="Times New Roman"/>
          <w:b/>
          <w:szCs w:val="24"/>
        </w:rPr>
        <w:t>3</w:t>
      </w:r>
      <w:r w:rsidRPr="0001436A">
        <w:rPr>
          <w:rFonts w:cs="Times New Roman"/>
          <w:b/>
          <w:szCs w:val="24"/>
        </w:rPr>
        <w:t>.</w:t>
      </w:r>
      <w:r w:rsidRPr="001549D3">
        <w:rPr>
          <w:rFonts w:cs="Times New Roman"/>
          <w:szCs w:val="24"/>
        </w:rPr>
        <w:t xml:space="preserve"> </w:t>
      </w:r>
      <w:r>
        <w:rPr>
          <w:rFonts w:cs="Times New Roman"/>
          <w:szCs w:val="24"/>
        </w:rPr>
        <w:t xml:space="preserve">Fresh weight of WT and </w:t>
      </w:r>
      <w:r>
        <w:rPr>
          <w:rFonts w:cs="Times New Roman"/>
          <w:i/>
          <w:iCs/>
          <w:szCs w:val="24"/>
        </w:rPr>
        <w:t xml:space="preserve">cos </w:t>
      </w:r>
      <w:r>
        <w:rPr>
          <w:rFonts w:cs="Times New Roman"/>
          <w:szCs w:val="24"/>
        </w:rPr>
        <w:t>mutants</w:t>
      </w:r>
      <w:r w:rsidRPr="001549D3">
        <w:rPr>
          <w:rFonts w:cs="Times New Roman"/>
          <w:szCs w:val="24"/>
        </w:rPr>
        <w:t>.</w:t>
      </w:r>
      <w:r>
        <w:rPr>
          <w:rFonts w:cs="Times New Roman"/>
          <w:szCs w:val="24"/>
        </w:rPr>
        <w:t xml:space="preserve"> Fresh weight of </w:t>
      </w:r>
      <w:r w:rsidRPr="00C7003A">
        <w:t>shoot systems of plants grown on soil for 14 d</w:t>
      </w:r>
      <w:r>
        <w:t xml:space="preserve"> (n=6).</w:t>
      </w:r>
      <w:r>
        <w:rPr>
          <w:rFonts w:cs="Times New Roman"/>
          <w:szCs w:val="24"/>
        </w:rPr>
        <w:br w:type="page"/>
      </w:r>
    </w:p>
    <w:p w14:paraId="3C419443" w14:textId="30FCA3C4" w:rsidR="00994A3D" w:rsidRPr="001549D3" w:rsidRDefault="00994A3D" w:rsidP="00994A3D">
      <w:pPr>
        <w:keepNext/>
        <w:jc w:val="center"/>
        <w:rPr>
          <w:rFonts w:cs="Times New Roman"/>
          <w:szCs w:val="24"/>
        </w:rPr>
      </w:pPr>
      <w:r w:rsidRPr="001549D3">
        <w:rPr>
          <w:b/>
          <w:noProof/>
          <w:lang w:val="en-GB" w:eastAsia="en-GB"/>
        </w:rPr>
        <w:lastRenderedPageBreak/>
        <w:drawing>
          <wp:inline distT="0" distB="0" distL="0" distR="0" wp14:anchorId="08F40240" wp14:editId="7310D420">
            <wp:extent cx="6014965" cy="28346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14965" cy="2834640"/>
                    </a:xfrm>
                    <a:prstGeom prst="rect">
                      <a:avLst/>
                    </a:prstGeom>
                    <a:noFill/>
                    <a:ln>
                      <a:noFill/>
                    </a:ln>
                  </pic:spPr>
                </pic:pic>
              </a:graphicData>
            </a:graphic>
          </wp:inline>
        </w:drawing>
      </w:r>
    </w:p>
    <w:p w14:paraId="1CAED3C2" w14:textId="57CE4819" w:rsidR="00BA4DD6" w:rsidRDefault="00994A3D" w:rsidP="00004B47">
      <w:pPr>
        <w:keepNext/>
        <w:rPr>
          <w:rFonts w:cs="Times New Roman"/>
          <w:szCs w:val="24"/>
        </w:rPr>
      </w:pPr>
      <w:r w:rsidRPr="0001436A">
        <w:rPr>
          <w:rFonts w:cs="Times New Roman"/>
          <w:b/>
          <w:szCs w:val="24"/>
        </w:rPr>
        <w:t xml:space="preserve">Supplementary Figure </w:t>
      </w:r>
      <w:r w:rsidR="00A20B9A">
        <w:rPr>
          <w:rFonts w:cs="Times New Roman"/>
          <w:b/>
          <w:szCs w:val="24"/>
        </w:rPr>
        <w:t>4</w:t>
      </w:r>
      <w:r w:rsidRPr="0001436A">
        <w:rPr>
          <w:rFonts w:cs="Times New Roman"/>
          <w:b/>
          <w:szCs w:val="24"/>
        </w:rPr>
        <w:t>.</w:t>
      </w:r>
      <w:r w:rsidRPr="001549D3">
        <w:rPr>
          <w:rFonts w:cs="Times New Roman"/>
          <w:szCs w:val="24"/>
        </w:rPr>
        <w:t xml:space="preserve"> </w:t>
      </w:r>
      <w:r w:rsidR="00730854">
        <w:rPr>
          <w:rFonts w:cs="Times New Roman"/>
          <w:szCs w:val="24"/>
        </w:rPr>
        <w:t xml:space="preserve">Iron deficiency regulated gene expression in </w:t>
      </w:r>
      <w:r w:rsidR="00730854">
        <w:rPr>
          <w:rFonts w:cs="Times New Roman"/>
          <w:i/>
          <w:iCs/>
          <w:szCs w:val="24"/>
        </w:rPr>
        <w:t xml:space="preserve">cos </w:t>
      </w:r>
      <w:r w:rsidR="00730854">
        <w:rPr>
          <w:rFonts w:cs="Times New Roman"/>
          <w:szCs w:val="24"/>
        </w:rPr>
        <w:t>mutant roots</w:t>
      </w:r>
      <w:r w:rsidRPr="001549D3">
        <w:rPr>
          <w:rFonts w:cs="Times New Roman"/>
          <w:szCs w:val="24"/>
        </w:rPr>
        <w:t>.</w:t>
      </w:r>
      <w:r w:rsidR="0059707E">
        <w:rPr>
          <w:rFonts w:cs="Times New Roman"/>
          <w:szCs w:val="24"/>
        </w:rPr>
        <w:t xml:space="preserve"> </w:t>
      </w:r>
      <w:bookmarkStart w:id="0" w:name="_Hlk112163266"/>
      <w:r w:rsidR="0059707E">
        <w:rPr>
          <w:rFonts w:cs="Times New Roman"/>
          <w:szCs w:val="24"/>
        </w:rPr>
        <w:t xml:space="preserve">Relative expression levels of </w:t>
      </w:r>
      <w:r w:rsidR="0059707E">
        <w:rPr>
          <w:rFonts w:cs="Times New Roman"/>
          <w:i/>
          <w:iCs/>
          <w:szCs w:val="24"/>
        </w:rPr>
        <w:t xml:space="preserve">IRT1 </w:t>
      </w:r>
      <w:r w:rsidR="0059707E">
        <w:rPr>
          <w:rFonts w:cs="Times New Roman"/>
          <w:szCs w:val="24"/>
        </w:rPr>
        <w:t xml:space="preserve">(A) and </w:t>
      </w:r>
      <w:r w:rsidR="0059707E">
        <w:rPr>
          <w:rFonts w:cs="Times New Roman"/>
          <w:i/>
          <w:iCs/>
          <w:szCs w:val="24"/>
        </w:rPr>
        <w:t>FIT</w:t>
      </w:r>
      <w:r w:rsidR="0059707E">
        <w:rPr>
          <w:rFonts w:cs="Times New Roman"/>
          <w:szCs w:val="24"/>
        </w:rPr>
        <w:t xml:space="preserve"> (B) in roots of WT and </w:t>
      </w:r>
      <w:r w:rsidR="0059707E">
        <w:rPr>
          <w:rFonts w:cs="Times New Roman"/>
          <w:i/>
          <w:iCs/>
          <w:szCs w:val="24"/>
        </w:rPr>
        <w:t xml:space="preserve">cos </w:t>
      </w:r>
      <w:r w:rsidR="0059707E">
        <w:rPr>
          <w:rFonts w:cs="Times New Roman"/>
          <w:szCs w:val="24"/>
        </w:rPr>
        <w:t xml:space="preserve">mutants. </w:t>
      </w:r>
      <w:r w:rsidR="0059707E" w:rsidRPr="0059707E">
        <w:rPr>
          <w:rFonts w:cs="Times New Roman"/>
          <w:szCs w:val="24"/>
        </w:rPr>
        <w:t xml:space="preserve">Seedlings were grown on </w:t>
      </w:r>
      <w:r w:rsidR="003C3B00">
        <w:rPr>
          <w:rFonts w:cs="Times New Roman"/>
          <w:szCs w:val="24"/>
        </w:rPr>
        <w:t>1/2</w:t>
      </w:r>
      <w:r w:rsidR="001227F9">
        <w:rPr>
          <w:rFonts w:cs="Times New Roman"/>
          <w:szCs w:val="24"/>
        </w:rPr>
        <w:t>X</w:t>
      </w:r>
      <w:r w:rsidR="0059707E" w:rsidRPr="0059707E">
        <w:rPr>
          <w:rFonts w:cs="Times New Roman"/>
          <w:szCs w:val="24"/>
        </w:rPr>
        <w:t xml:space="preserve"> MS agar with 50 μM Fe-EDTA for 14 d followed by a growth</w:t>
      </w:r>
      <w:r w:rsidR="00BA4DD6">
        <w:rPr>
          <w:rFonts w:cs="Times New Roman"/>
          <w:szCs w:val="24"/>
        </w:rPr>
        <w:t xml:space="preserve"> </w:t>
      </w:r>
      <w:r w:rsidR="0059707E" w:rsidRPr="0059707E">
        <w:rPr>
          <w:rFonts w:cs="Times New Roman"/>
          <w:szCs w:val="24"/>
        </w:rPr>
        <w:t xml:space="preserve">period of 3 d either on Fe-sufficient or Fe-deficient MS agar medium. Bars represent means ± SD of relative transcript levels normalized to </w:t>
      </w:r>
      <w:r w:rsidR="0059707E" w:rsidRPr="0059707E">
        <w:rPr>
          <w:rFonts w:cs="Times New Roman"/>
          <w:i/>
          <w:iCs/>
          <w:szCs w:val="24"/>
        </w:rPr>
        <w:t>ACT2</w:t>
      </w:r>
      <w:r w:rsidR="0059707E" w:rsidRPr="0059707E">
        <w:rPr>
          <w:rFonts w:cs="Times New Roman"/>
          <w:szCs w:val="24"/>
        </w:rPr>
        <w:t xml:space="preserve"> (n=3).</w:t>
      </w:r>
    </w:p>
    <w:bookmarkEnd w:id="0"/>
    <w:p w14:paraId="44807CDF" w14:textId="77777777" w:rsidR="00BA4DD6" w:rsidRDefault="00BA4DD6">
      <w:pPr>
        <w:spacing w:before="0" w:after="200" w:line="276" w:lineRule="auto"/>
        <w:rPr>
          <w:rFonts w:cs="Times New Roman"/>
          <w:szCs w:val="24"/>
        </w:rPr>
      </w:pPr>
      <w:r>
        <w:rPr>
          <w:rFonts w:cs="Times New Roman"/>
          <w:szCs w:val="24"/>
        </w:rPr>
        <w:br w:type="page"/>
      </w:r>
    </w:p>
    <w:p w14:paraId="6CCE7493" w14:textId="7CC495AC" w:rsidR="00004B47" w:rsidRPr="001549D3" w:rsidRDefault="00004B47" w:rsidP="00BA4DD6">
      <w:pPr>
        <w:keepNext/>
        <w:rPr>
          <w:rFonts w:cs="Times New Roman"/>
          <w:szCs w:val="24"/>
        </w:rPr>
      </w:pPr>
      <w:r w:rsidRPr="001549D3">
        <w:rPr>
          <w:b/>
          <w:noProof/>
          <w:lang w:val="en-GB" w:eastAsia="en-GB"/>
        </w:rPr>
        <w:lastRenderedPageBreak/>
        <w:drawing>
          <wp:inline distT="0" distB="0" distL="0" distR="0" wp14:anchorId="6179D458" wp14:editId="12C695A7">
            <wp:extent cx="6004191" cy="338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04191" cy="3383280"/>
                    </a:xfrm>
                    <a:prstGeom prst="rect">
                      <a:avLst/>
                    </a:prstGeom>
                    <a:noFill/>
                    <a:ln>
                      <a:noFill/>
                    </a:ln>
                  </pic:spPr>
                </pic:pic>
              </a:graphicData>
            </a:graphic>
          </wp:inline>
        </w:drawing>
      </w:r>
    </w:p>
    <w:p w14:paraId="10E27EA5" w14:textId="79812E82" w:rsidR="00004B47" w:rsidRDefault="00004B47" w:rsidP="00BA4DD6">
      <w:pPr>
        <w:keepNext/>
        <w:rPr>
          <w:rFonts w:cs="Times New Roman"/>
          <w:szCs w:val="24"/>
        </w:rPr>
      </w:pPr>
      <w:r w:rsidRPr="0001436A">
        <w:rPr>
          <w:rFonts w:cs="Times New Roman"/>
          <w:b/>
          <w:szCs w:val="24"/>
        </w:rPr>
        <w:t xml:space="preserve">Supplementary Figure </w:t>
      </w:r>
      <w:r w:rsidR="00A20B9A">
        <w:rPr>
          <w:rFonts w:cs="Times New Roman"/>
          <w:b/>
          <w:szCs w:val="24"/>
        </w:rPr>
        <w:t>5</w:t>
      </w:r>
      <w:r w:rsidRPr="0001436A">
        <w:rPr>
          <w:rFonts w:cs="Times New Roman"/>
          <w:b/>
          <w:szCs w:val="24"/>
        </w:rPr>
        <w:t>.</w:t>
      </w:r>
      <w:r w:rsidRPr="001549D3">
        <w:rPr>
          <w:rFonts w:cs="Times New Roman"/>
          <w:szCs w:val="24"/>
        </w:rPr>
        <w:t xml:space="preserve"> </w:t>
      </w:r>
      <w:r>
        <w:rPr>
          <w:rFonts w:cs="Times New Roman"/>
          <w:szCs w:val="24"/>
        </w:rPr>
        <w:t xml:space="preserve">Negative controls for SOSG treatment. </w:t>
      </w:r>
      <w:r w:rsidRPr="00004B47">
        <w:rPr>
          <w:rFonts w:cs="Times New Roman"/>
          <w:szCs w:val="24"/>
        </w:rPr>
        <w:t xml:space="preserve">Seedlings were grown on </w:t>
      </w:r>
      <w:r w:rsidR="003C3B00">
        <w:rPr>
          <w:rFonts w:cs="Times New Roman"/>
          <w:szCs w:val="24"/>
        </w:rPr>
        <w:t xml:space="preserve">1/2X </w:t>
      </w:r>
      <w:r w:rsidRPr="00004B47">
        <w:rPr>
          <w:rFonts w:cs="Times New Roman"/>
          <w:szCs w:val="24"/>
        </w:rPr>
        <w:t xml:space="preserve">MS agar with 50 μM Fe-EDTA for 14 d followed by a growth period of 3 d either on Fe-sufficient or Fe-deficient MS agar medium. </w:t>
      </w:r>
      <w:r>
        <w:rPr>
          <w:rFonts w:cs="Times New Roman"/>
          <w:szCs w:val="24"/>
        </w:rPr>
        <w:t xml:space="preserve">WT and </w:t>
      </w:r>
      <w:r>
        <w:rPr>
          <w:rFonts w:cs="Times New Roman"/>
          <w:i/>
          <w:iCs/>
          <w:szCs w:val="24"/>
        </w:rPr>
        <w:t xml:space="preserve">cos </w:t>
      </w:r>
      <w:r>
        <w:rPr>
          <w:rFonts w:cs="Times New Roman"/>
          <w:szCs w:val="24"/>
        </w:rPr>
        <w:t xml:space="preserve">mutants were infiltrated with 50 mM phosphate buffer (pH 7.0), incubated under high light for 30 minutes and analyzed simultaneously </w:t>
      </w:r>
      <w:r w:rsidR="001227F9">
        <w:rPr>
          <w:rFonts w:cs="Times New Roman"/>
          <w:szCs w:val="24"/>
        </w:rPr>
        <w:t xml:space="preserve">with </w:t>
      </w:r>
      <w:r>
        <w:rPr>
          <w:rFonts w:cs="Times New Roman"/>
          <w:szCs w:val="24"/>
        </w:rPr>
        <w:t>negative controls.</w:t>
      </w:r>
    </w:p>
    <w:p w14:paraId="190FCF6B" w14:textId="7F75E3E3" w:rsidR="00B80509" w:rsidRPr="00D4081A" w:rsidRDefault="00B80509" w:rsidP="00D4081A">
      <w:pPr>
        <w:spacing w:before="0" w:after="200" w:line="276" w:lineRule="auto"/>
        <w:rPr>
          <w:rFonts w:cs="Times New Roman"/>
          <w:b/>
          <w:bCs/>
          <w:szCs w:val="24"/>
        </w:rPr>
      </w:pPr>
      <w:r>
        <w:rPr>
          <w:rFonts w:cs="Times New Roman"/>
          <w:b/>
          <w:bCs/>
          <w:szCs w:val="24"/>
        </w:rPr>
        <w:t xml:space="preserve">Supplementary Table 1. </w:t>
      </w:r>
      <w:r>
        <w:rPr>
          <w:rFonts w:cs="Times New Roman"/>
          <w:szCs w:val="24"/>
        </w:rPr>
        <w:t>Sequences of primers used in this study</w:t>
      </w:r>
    </w:p>
    <w:tbl>
      <w:tblPr>
        <w:tblStyle w:val="TableGrid"/>
        <w:tblW w:w="0" w:type="auto"/>
        <w:tblLook w:val="04A0" w:firstRow="1" w:lastRow="0" w:firstColumn="1" w:lastColumn="0" w:noHBand="0" w:noVBand="1"/>
      </w:tblPr>
      <w:tblGrid>
        <w:gridCol w:w="2660"/>
        <w:gridCol w:w="4451"/>
        <w:gridCol w:w="2656"/>
      </w:tblGrid>
      <w:tr w:rsidR="00B80509" w:rsidRPr="00B80509" w14:paraId="706C0BC9" w14:textId="77777777" w:rsidTr="00264AD2">
        <w:trPr>
          <w:trHeight w:val="288"/>
        </w:trPr>
        <w:tc>
          <w:tcPr>
            <w:tcW w:w="2695" w:type="dxa"/>
            <w:noWrap/>
            <w:hideMark/>
          </w:tcPr>
          <w:p w14:paraId="3253EB6E" w14:textId="77777777" w:rsidR="00B80509" w:rsidRPr="00B80509" w:rsidRDefault="00B80509" w:rsidP="00B80509">
            <w:pPr>
              <w:keepNext/>
              <w:rPr>
                <w:rFonts w:cs="Times New Roman"/>
                <w:szCs w:val="24"/>
              </w:rPr>
            </w:pPr>
            <w:r w:rsidRPr="00B80509">
              <w:rPr>
                <w:rFonts w:cs="Times New Roman"/>
                <w:szCs w:val="24"/>
              </w:rPr>
              <w:lastRenderedPageBreak/>
              <w:t>Name</w:t>
            </w:r>
          </w:p>
        </w:tc>
        <w:tc>
          <w:tcPr>
            <w:tcW w:w="4330" w:type="dxa"/>
            <w:noWrap/>
            <w:hideMark/>
          </w:tcPr>
          <w:p w14:paraId="587B9B79" w14:textId="77777777" w:rsidR="00B80509" w:rsidRPr="00B80509" w:rsidRDefault="00B80509" w:rsidP="00B80509">
            <w:pPr>
              <w:keepNext/>
              <w:rPr>
                <w:rFonts w:cs="Times New Roman"/>
                <w:szCs w:val="24"/>
              </w:rPr>
            </w:pPr>
            <w:r w:rsidRPr="00B80509">
              <w:rPr>
                <w:rFonts w:cs="Times New Roman"/>
                <w:szCs w:val="24"/>
              </w:rPr>
              <w:t>Sequence (5’ → 3’)</w:t>
            </w:r>
          </w:p>
        </w:tc>
        <w:tc>
          <w:tcPr>
            <w:tcW w:w="2690" w:type="dxa"/>
            <w:noWrap/>
            <w:hideMark/>
          </w:tcPr>
          <w:p w14:paraId="190859DC" w14:textId="77777777" w:rsidR="00B80509" w:rsidRPr="00B80509" w:rsidRDefault="00B80509" w:rsidP="00B80509">
            <w:pPr>
              <w:keepNext/>
              <w:rPr>
                <w:rFonts w:cs="Times New Roman"/>
                <w:szCs w:val="24"/>
              </w:rPr>
            </w:pPr>
            <w:r w:rsidRPr="00B80509">
              <w:rPr>
                <w:rFonts w:cs="Times New Roman"/>
                <w:szCs w:val="24"/>
              </w:rPr>
              <w:t>Reference</w:t>
            </w:r>
          </w:p>
        </w:tc>
      </w:tr>
      <w:tr w:rsidR="00B80509" w:rsidRPr="00B80509" w14:paraId="78793FB5" w14:textId="77777777" w:rsidTr="00264AD2">
        <w:trPr>
          <w:trHeight w:val="288"/>
        </w:trPr>
        <w:tc>
          <w:tcPr>
            <w:tcW w:w="2695" w:type="dxa"/>
            <w:noWrap/>
            <w:hideMark/>
          </w:tcPr>
          <w:p w14:paraId="7C0D0711" w14:textId="77777777" w:rsidR="00B80509" w:rsidRPr="00B80509" w:rsidRDefault="00B80509" w:rsidP="00B80509">
            <w:pPr>
              <w:keepNext/>
              <w:rPr>
                <w:rFonts w:cs="Times New Roman"/>
                <w:szCs w:val="24"/>
              </w:rPr>
            </w:pPr>
            <w:r w:rsidRPr="00B80509">
              <w:rPr>
                <w:rFonts w:cs="Times New Roman"/>
                <w:szCs w:val="24"/>
              </w:rPr>
              <w:t>COS-R1</w:t>
            </w:r>
          </w:p>
        </w:tc>
        <w:tc>
          <w:tcPr>
            <w:tcW w:w="4330" w:type="dxa"/>
            <w:noWrap/>
            <w:hideMark/>
          </w:tcPr>
          <w:p w14:paraId="1AD50A7E" w14:textId="77777777" w:rsidR="00B80509" w:rsidRPr="00B80509" w:rsidRDefault="00B80509" w:rsidP="00B80509">
            <w:pPr>
              <w:keepNext/>
              <w:rPr>
                <w:rFonts w:cs="Times New Roman"/>
                <w:szCs w:val="24"/>
              </w:rPr>
            </w:pPr>
            <w:r w:rsidRPr="00B80509">
              <w:rPr>
                <w:rFonts w:cs="Times New Roman"/>
                <w:szCs w:val="24"/>
              </w:rPr>
              <w:t>GGCTTCTTCTCATCCAGTTTACAAGC</w:t>
            </w:r>
          </w:p>
        </w:tc>
        <w:tc>
          <w:tcPr>
            <w:tcW w:w="2690" w:type="dxa"/>
            <w:noWrap/>
            <w:hideMark/>
          </w:tcPr>
          <w:p w14:paraId="7A004C3A"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6A5A535A" w14:textId="77777777" w:rsidTr="00264AD2">
        <w:trPr>
          <w:trHeight w:val="288"/>
        </w:trPr>
        <w:tc>
          <w:tcPr>
            <w:tcW w:w="2695" w:type="dxa"/>
            <w:noWrap/>
            <w:hideMark/>
          </w:tcPr>
          <w:p w14:paraId="5E8DFFA8" w14:textId="77777777" w:rsidR="00B80509" w:rsidRPr="00B80509" w:rsidRDefault="00B80509" w:rsidP="00B80509">
            <w:pPr>
              <w:keepNext/>
              <w:rPr>
                <w:rFonts w:cs="Times New Roman"/>
                <w:szCs w:val="24"/>
              </w:rPr>
            </w:pPr>
            <w:r w:rsidRPr="00B80509">
              <w:rPr>
                <w:rFonts w:cs="Times New Roman"/>
                <w:szCs w:val="24"/>
              </w:rPr>
              <w:t>COS-F1</w:t>
            </w:r>
          </w:p>
        </w:tc>
        <w:tc>
          <w:tcPr>
            <w:tcW w:w="4330" w:type="dxa"/>
            <w:noWrap/>
            <w:hideMark/>
          </w:tcPr>
          <w:p w14:paraId="0895C872" w14:textId="77777777" w:rsidR="00B80509" w:rsidRPr="00B80509" w:rsidRDefault="00B80509" w:rsidP="00B80509">
            <w:pPr>
              <w:keepNext/>
              <w:rPr>
                <w:rFonts w:cs="Times New Roman"/>
                <w:szCs w:val="24"/>
              </w:rPr>
            </w:pPr>
            <w:r w:rsidRPr="00B80509">
              <w:rPr>
                <w:rFonts w:cs="Times New Roman"/>
                <w:szCs w:val="24"/>
              </w:rPr>
              <w:t>GGCAACGAAACTTTCTGGACC</w:t>
            </w:r>
          </w:p>
        </w:tc>
        <w:tc>
          <w:tcPr>
            <w:tcW w:w="2690" w:type="dxa"/>
            <w:noWrap/>
            <w:hideMark/>
          </w:tcPr>
          <w:p w14:paraId="75376CEA"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3DAF5E52" w14:textId="77777777" w:rsidTr="00264AD2">
        <w:trPr>
          <w:trHeight w:val="288"/>
        </w:trPr>
        <w:tc>
          <w:tcPr>
            <w:tcW w:w="2695" w:type="dxa"/>
            <w:noWrap/>
            <w:hideMark/>
          </w:tcPr>
          <w:p w14:paraId="263C97C3" w14:textId="77777777" w:rsidR="00B80509" w:rsidRPr="00B80509" w:rsidRDefault="00B80509" w:rsidP="00B80509">
            <w:pPr>
              <w:keepNext/>
              <w:rPr>
                <w:rFonts w:cs="Times New Roman"/>
                <w:szCs w:val="24"/>
              </w:rPr>
            </w:pPr>
            <w:r w:rsidRPr="00B80509">
              <w:rPr>
                <w:rFonts w:cs="Times New Roman"/>
                <w:szCs w:val="24"/>
              </w:rPr>
              <w:t>COS-F2</w:t>
            </w:r>
          </w:p>
        </w:tc>
        <w:tc>
          <w:tcPr>
            <w:tcW w:w="4330" w:type="dxa"/>
            <w:noWrap/>
            <w:hideMark/>
          </w:tcPr>
          <w:p w14:paraId="7D96D52D" w14:textId="77777777" w:rsidR="00B80509" w:rsidRPr="00B80509" w:rsidRDefault="00B80509" w:rsidP="00B80509">
            <w:pPr>
              <w:keepNext/>
              <w:rPr>
                <w:rFonts w:cs="Times New Roman"/>
                <w:szCs w:val="24"/>
              </w:rPr>
            </w:pPr>
            <w:r w:rsidRPr="00B80509">
              <w:rPr>
                <w:rFonts w:cs="Times New Roman"/>
                <w:szCs w:val="24"/>
              </w:rPr>
              <w:t>ACTCTCTACTTAACCATCATGCCCC</w:t>
            </w:r>
          </w:p>
        </w:tc>
        <w:tc>
          <w:tcPr>
            <w:tcW w:w="2690" w:type="dxa"/>
            <w:noWrap/>
            <w:hideMark/>
          </w:tcPr>
          <w:p w14:paraId="1E7D082D"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0333031A" w14:textId="77777777" w:rsidTr="00264AD2">
        <w:trPr>
          <w:trHeight w:val="288"/>
        </w:trPr>
        <w:tc>
          <w:tcPr>
            <w:tcW w:w="2695" w:type="dxa"/>
            <w:noWrap/>
            <w:hideMark/>
          </w:tcPr>
          <w:p w14:paraId="0BC23D91" w14:textId="77777777" w:rsidR="00B80509" w:rsidRPr="00B80509" w:rsidRDefault="00B80509" w:rsidP="00B80509">
            <w:pPr>
              <w:keepNext/>
              <w:rPr>
                <w:rFonts w:cs="Times New Roman"/>
                <w:szCs w:val="24"/>
              </w:rPr>
            </w:pPr>
            <w:r w:rsidRPr="00B80509">
              <w:rPr>
                <w:rFonts w:cs="Times New Roman"/>
                <w:szCs w:val="24"/>
              </w:rPr>
              <w:t>COS-R3</w:t>
            </w:r>
          </w:p>
        </w:tc>
        <w:tc>
          <w:tcPr>
            <w:tcW w:w="4330" w:type="dxa"/>
            <w:noWrap/>
            <w:hideMark/>
          </w:tcPr>
          <w:p w14:paraId="35C0ABFC" w14:textId="77777777" w:rsidR="00B80509" w:rsidRPr="00B80509" w:rsidRDefault="00B80509" w:rsidP="00B80509">
            <w:pPr>
              <w:keepNext/>
              <w:rPr>
                <w:rFonts w:cs="Times New Roman"/>
                <w:szCs w:val="24"/>
              </w:rPr>
            </w:pPr>
            <w:r w:rsidRPr="00B80509">
              <w:rPr>
                <w:rFonts w:cs="Times New Roman"/>
                <w:szCs w:val="24"/>
              </w:rPr>
              <w:t>CGGTTGGATTGTTGGTTTCTGCT</w:t>
            </w:r>
          </w:p>
        </w:tc>
        <w:tc>
          <w:tcPr>
            <w:tcW w:w="2690" w:type="dxa"/>
            <w:noWrap/>
            <w:hideMark/>
          </w:tcPr>
          <w:p w14:paraId="3B92A0E3"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2DAF9E4B" w14:textId="77777777" w:rsidTr="00264AD2">
        <w:trPr>
          <w:trHeight w:val="288"/>
        </w:trPr>
        <w:tc>
          <w:tcPr>
            <w:tcW w:w="2695" w:type="dxa"/>
            <w:noWrap/>
            <w:hideMark/>
          </w:tcPr>
          <w:p w14:paraId="570ABFBB" w14:textId="77777777" w:rsidR="00B80509" w:rsidRPr="00B80509" w:rsidRDefault="00B80509" w:rsidP="00B80509">
            <w:pPr>
              <w:keepNext/>
              <w:rPr>
                <w:rFonts w:cs="Times New Roman"/>
                <w:szCs w:val="24"/>
              </w:rPr>
            </w:pPr>
            <w:r w:rsidRPr="00B80509">
              <w:rPr>
                <w:rFonts w:cs="Times New Roman"/>
                <w:szCs w:val="24"/>
              </w:rPr>
              <w:t>qRT-COS-F (5' end)</w:t>
            </w:r>
          </w:p>
        </w:tc>
        <w:tc>
          <w:tcPr>
            <w:tcW w:w="4330" w:type="dxa"/>
            <w:noWrap/>
            <w:hideMark/>
          </w:tcPr>
          <w:p w14:paraId="526A471F" w14:textId="77777777" w:rsidR="00B80509" w:rsidRPr="00B80509" w:rsidRDefault="00B80509" w:rsidP="00B80509">
            <w:pPr>
              <w:keepNext/>
              <w:rPr>
                <w:rFonts w:cs="Times New Roman"/>
                <w:szCs w:val="24"/>
              </w:rPr>
            </w:pPr>
            <w:r w:rsidRPr="00B80509">
              <w:rPr>
                <w:rFonts w:cs="Times New Roman"/>
                <w:szCs w:val="24"/>
              </w:rPr>
              <w:t>TGGCTTCTTCTCATCCAGTTT</w:t>
            </w:r>
          </w:p>
        </w:tc>
        <w:tc>
          <w:tcPr>
            <w:tcW w:w="2690" w:type="dxa"/>
            <w:noWrap/>
            <w:hideMark/>
          </w:tcPr>
          <w:p w14:paraId="5237471A"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3CA832D1" w14:textId="77777777" w:rsidTr="00264AD2">
        <w:trPr>
          <w:trHeight w:val="288"/>
        </w:trPr>
        <w:tc>
          <w:tcPr>
            <w:tcW w:w="2695" w:type="dxa"/>
            <w:noWrap/>
            <w:hideMark/>
          </w:tcPr>
          <w:p w14:paraId="455861A9" w14:textId="77777777" w:rsidR="00B80509" w:rsidRPr="00B80509" w:rsidRDefault="00B80509" w:rsidP="00B80509">
            <w:pPr>
              <w:keepNext/>
              <w:rPr>
                <w:rFonts w:cs="Times New Roman"/>
                <w:szCs w:val="24"/>
              </w:rPr>
            </w:pPr>
            <w:r w:rsidRPr="00B80509">
              <w:rPr>
                <w:rFonts w:cs="Times New Roman"/>
                <w:szCs w:val="24"/>
              </w:rPr>
              <w:t>qRT-COS-R (5' end)</w:t>
            </w:r>
          </w:p>
        </w:tc>
        <w:tc>
          <w:tcPr>
            <w:tcW w:w="4330" w:type="dxa"/>
            <w:noWrap/>
            <w:hideMark/>
          </w:tcPr>
          <w:p w14:paraId="6AA775FF" w14:textId="77777777" w:rsidR="00B80509" w:rsidRPr="00B80509" w:rsidRDefault="00B80509" w:rsidP="00B80509">
            <w:pPr>
              <w:keepNext/>
              <w:rPr>
                <w:rFonts w:cs="Times New Roman"/>
                <w:szCs w:val="24"/>
              </w:rPr>
            </w:pPr>
            <w:r w:rsidRPr="00B80509">
              <w:rPr>
                <w:rFonts w:cs="Times New Roman"/>
                <w:szCs w:val="24"/>
              </w:rPr>
              <w:t>ACGTCATCTTTTCGTCTTTGCA</w:t>
            </w:r>
          </w:p>
        </w:tc>
        <w:tc>
          <w:tcPr>
            <w:tcW w:w="2690" w:type="dxa"/>
            <w:noWrap/>
            <w:hideMark/>
          </w:tcPr>
          <w:p w14:paraId="35669D2A"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1963005B" w14:textId="77777777" w:rsidTr="00264AD2">
        <w:trPr>
          <w:trHeight w:val="288"/>
        </w:trPr>
        <w:tc>
          <w:tcPr>
            <w:tcW w:w="2695" w:type="dxa"/>
            <w:noWrap/>
            <w:hideMark/>
          </w:tcPr>
          <w:p w14:paraId="1BB25E9C" w14:textId="77777777" w:rsidR="00B80509" w:rsidRPr="00B80509" w:rsidRDefault="00B80509" w:rsidP="00B80509">
            <w:pPr>
              <w:keepNext/>
              <w:rPr>
                <w:rFonts w:cs="Times New Roman"/>
                <w:szCs w:val="24"/>
              </w:rPr>
            </w:pPr>
            <w:r w:rsidRPr="00B80509">
              <w:rPr>
                <w:rFonts w:cs="Times New Roman"/>
                <w:szCs w:val="24"/>
              </w:rPr>
              <w:t>qRT-COS-F (3’ end)</w:t>
            </w:r>
          </w:p>
        </w:tc>
        <w:tc>
          <w:tcPr>
            <w:tcW w:w="4330" w:type="dxa"/>
            <w:noWrap/>
            <w:hideMark/>
          </w:tcPr>
          <w:p w14:paraId="24E4429E" w14:textId="77777777" w:rsidR="00B80509" w:rsidRPr="00B80509" w:rsidRDefault="00B80509" w:rsidP="00B80509">
            <w:pPr>
              <w:keepNext/>
              <w:rPr>
                <w:rFonts w:cs="Times New Roman"/>
                <w:szCs w:val="24"/>
              </w:rPr>
            </w:pPr>
            <w:r w:rsidRPr="00B80509">
              <w:rPr>
                <w:rFonts w:cs="Times New Roman"/>
                <w:szCs w:val="24"/>
              </w:rPr>
              <w:t>AGGTGTCCTAAGAATCTATGGCT</w:t>
            </w:r>
          </w:p>
        </w:tc>
        <w:tc>
          <w:tcPr>
            <w:tcW w:w="2690" w:type="dxa"/>
            <w:noWrap/>
            <w:hideMark/>
          </w:tcPr>
          <w:p w14:paraId="63DC66DC" w14:textId="77777777" w:rsidR="00B80509" w:rsidRPr="00B80509" w:rsidRDefault="00B80509" w:rsidP="00B80509">
            <w:pPr>
              <w:keepNext/>
              <w:rPr>
                <w:rFonts w:cs="Times New Roman"/>
                <w:szCs w:val="24"/>
              </w:rPr>
            </w:pPr>
            <w:r w:rsidRPr="00B80509">
              <w:rPr>
                <w:rFonts w:cs="Times New Roman"/>
                <w:szCs w:val="24"/>
              </w:rPr>
              <w:t>This study</w:t>
            </w:r>
          </w:p>
        </w:tc>
      </w:tr>
      <w:tr w:rsidR="00B80509" w:rsidRPr="00B80509" w14:paraId="0742676A" w14:textId="77777777" w:rsidTr="00264AD2">
        <w:trPr>
          <w:trHeight w:val="288"/>
        </w:trPr>
        <w:tc>
          <w:tcPr>
            <w:tcW w:w="2695" w:type="dxa"/>
            <w:noWrap/>
            <w:hideMark/>
          </w:tcPr>
          <w:p w14:paraId="06117542" w14:textId="77777777" w:rsidR="00B80509" w:rsidRPr="00B80509" w:rsidRDefault="00B80509" w:rsidP="00B80509">
            <w:pPr>
              <w:keepNext/>
              <w:rPr>
                <w:rFonts w:cs="Times New Roman"/>
                <w:szCs w:val="24"/>
              </w:rPr>
            </w:pPr>
            <w:r w:rsidRPr="00B80509">
              <w:rPr>
                <w:rFonts w:cs="Times New Roman"/>
                <w:szCs w:val="24"/>
              </w:rPr>
              <w:t>qRT-COS-R (3’ end)</w:t>
            </w:r>
          </w:p>
        </w:tc>
        <w:tc>
          <w:tcPr>
            <w:tcW w:w="4330" w:type="dxa"/>
            <w:noWrap/>
            <w:hideMark/>
          </w:tcPr>
          <w:p w14:paraId="66CC226A" w14:textId="77777777" w:rsidR="00B80509" w:rsidRPr="00B80509" w:rsidRDefault="00B80509" w:rsidP="00B80509">
            <w:pPr>
              <w:keepNext/>
              <w:rPr>
                <w:rFonts w:cs="Times New Roman"/>
                <w:szCs w:val="24"/>
              </w:rPr>
            </w:pPr>
            <w:r w:rsidRPr="00B80509">
              <w:rPr>
                <w:rFonts w:cs="Times New Roman"/>
                <w:szCs w:val="24"/>
              </w:rPr>
              <w:t>TCATTAACCACGTAACCGACACT</w:t>
            </w:r>
          </w:p>
        </w:tc>
        <w:tc>
          <w:tcPr>
            <w:tcW w:w="2690" w:type="dxa"/>
            <w:noWrap/>
            <w:hideMark/>
          </w:tcPr>
          <w:p w14:paraId="40513A9D" w14:textId="77777777" w:rsidR="00B80509" w:rsidRPr="00B80509" w:rsidRDefault="00B80509" w:rsidP="00B80509">
            <w:pPr>
              <w:keepNext/>
              <w:rPr>
                <w:rFonts w:cs="Times New Roman"/>
                <w:szCs w:val="24"/>
              </w:rPr>
            </w:pPr>
            <w:r w:rsidRPr="00B80509">
              <w:rPr>
                <w:rFonts w:cs="Times New Roman"/>
                <w:szCs w:val="24"/>
              </w:rPr>
              <w:t>This study</w:t>
            </w:r>
          </w:p>
        </w:tc>
      </w:tr>
      <w:tr w:rsidR="006141B7" w:rsidRPr="00B80509" w14:paraId="49683CFB" w14:textId="77777777" w:rsidTr="00264AD2">
        <w:trPr>
          <w:trHeight w:val="288"/>
        </w:trPr>
        <w:tc>
          <w:tcPr>
            <w:tcW w:w="2695" w:type="dxa"/>
            <w:noWrap/>
          </w:tcPr>
          <w:p w14:paraId="21BDA5D3" w14:textId="334C5DCF" w:rsidR="006141B7" w:rsidRPr="00B80509" w:rsidRDefault="006141B7" w:rsidP="00B80509">
            <w:pPr>
              <w:keepNext/>
              <w:rPr>
                <w:rFonts w:cs="Times New Roman"/>
                <w:szCs w:val="24"/>
              </w:rPr>
            </w:pPr>
            <w:r>
              <w:rPr>
                <w:rFonts w:cs="Times New Roman"/>
                <w:szCs w:val="24"/>
              </w:rPr>
              <w:t>qRT8-F (AT1G13608)</w:t>
            </w:r>
          </w:p>
        </w:tc>
        <w:tc>
          <w:tcPr>
            <w:tcW w:w="4330" w:type="dxa"/>
            <w:noWrap/>
          </w:tcPr>
          <w:p w14:paraId="038F54D1" w14:textId="0CA254E1" w:rsidR="006141B7" w:rsidRPr="00B80509" w:rsidRDefault="00264AD2" w:rsidP="00B80509">
            <w:pPr>
              <w:keepNext/>
              <w:rPr>
                <w:rFonts w:cs="Times New Roman"/>
                <w:szCs w:val="24"/>
              </w:rPr>
            </w:pPr>
            <w:r w:rsidRPr="00264AD2">
              <w:rPr>
                <w:rFonts w:cs="Times New Roman"/>
                <w:szCs w:val="24"/>
              </w:rPr>
              <w:t>TCTCATCTCTGCTTGATCCTTT</w:t>
            </w:r>
          </w:p>
        </w:tc>
        <w:tc>
          <w:tcPr>
            <w:tcW w:w="2690" w:type="dxa"/>
            <w:noWrap/>
          </w:tcPr>
          <w:p w14:paraId="2CB57C24" w14:textId="0121FDED" w:rsidR="006141B7" w:rsidRPr="00B80509" w:rsidRDefault="006141B7" w:rsidP="00B80509">
            <w:pPr>
              <w:keepNext/>
              <w:rPr>
                <w:rFonts w:cs="Times New Roman"/>
                <w:szCs w:val="24"/>
              </w:rPr>
            </w:pPr>
            <w:r w:rsidRPr="00B80509">
              <w:rPr>
                <w:rFonts w:cs="Times New Roman"/>
                <w:szCs w:val="24"/>
              </w:rPr>
              <w:t>This study</w:t>
            </w:r>
          </w:p>
        </w:tc>
      </w:tr>
      <w:tr w:rsidR="006141B7" w:rsidRPr="00B80509" w14:paraId="1DB933FD" w14:textId="77777777" w:rsidTr="00264AD2">
        <w:trPr>
          <w:trHeight w:val="288"/>
        </w:trPr>
        <w:tc>
          <w:tcPr>
            <w:tcW w:w="2695" w:type="dxa"/>
            <w:noWrap/>
          </w:tcPr>
          <w:p w14:paraId="0EA18AEC" w14:textId="36B1D64B" w:rsidR="006141B7" w:rsidRPr="00B80509" w:rsidRDefault="006141B7" w:rsidP="00B80509">
            <w:pPr>
              <w:keepNext/>
              <w:rPr>
                <w:rFonts w:cs="Times New Roman"/>
                <w:szCs w:val="24"/>
              </w:rPr>
            </w:pPr>
            <w:r>
              <w:rPr>
                <w:rFonts w:cs="Times New Roman"/>
                <w:szCs w:val="24"/>
              </w:rPr>
              <w:t>qRT8-R (AT1G13608)</w:t>
            </w:r>
          </w:p>
        </w:tc>
        <w:tc>
          <w:tcPr>
            <w:tcW w:w="4330" w:type="dxa"/>
            <w:noWrap/>
          </w:tcPr>
          <w:p w14:paraId="665B47F7" w14:textId="580C3000" w:rsidR="006141B7" w:rsidRPr="00B80509" w:rsidRDefault="00264AD2" w:rsidP="00B80509">
            <w:pPr>
              <w:keepNext/>
              <w:rPr>
                <w:rFonts w:cs="Times New Roman"/>
                <w:szCs w:val="24"/>
              </w:rPr>
            </w:pPr>
            <w:r w:rsidRPr="00264AD2">
              <w:rPr>
                <w:rFonts w:cs="Times New Roman"/>
                <w:szCs w:val="24"/>
              </w:rPr>
              <w:t>GGATTTAATCACTAGTGGCAGTTT</w:t>
            </w:r>
          </w:p>
        </w:tc>
        <w:tc>
          <w:tcPr>
            <w:tcW w:w="2690" w:type="dxa"/>
            <w:noWrap/>
          </w:tcPr>
          <w:p w14:paraId="56E4AC77" w14:textId="1017205A" w:rsidR="006141B7" w:rsidRPr="00B80509" w:rsidRDefault="006141B7" w:rsidP="00B80509">
            <w:pPr>
              <w:keepNext/>
              <w:rPr>
                <w:rFonts w:cs="Times New Roman"/>
                <w:szCs w:val="24"/>
              </w:rPr>
            </w:pPr>
            <w:r w:rsidRPr="00B80509">
              <w:rPr>
                <w:rFonts w:cs="Times New Roman"/>
                <w:szCs w:val="24"/>
              </w:rPr>
              <w:t>This study</w:t>
            </w:r>
          </w:p>
        </w:tc>
      </w:tr>
      <w:tr w:rsidR="006141B7" w:rsidRPr="00B80509" w14:paraId="1A417984" w14:textId="77777777" w:rsidTr="00264AD2">
        <w:trPr>
          <w:trHeight w:val="288"/>
        </w:trPr>
        <w:tc>
          <w:tcPr>
            <w:tcW w:w="2695" w:type="dxa"/>
            <w:noWrap/>
          </w:tcPr>
          <w:p w14:paraId="14D8D34E" w14:textId="2A885ABB" w:rsidR="006141B7" w:rsidRPr="00B80509" w:rsidRDefault="006141B7" w:rsidP="006141B7">
            <w:pPr>
              <w:keepNext/>
              <w:rPr>
                <w:rFonts w:cs="Times New Roman"/>
                <w:szCs w:val="24"/>
              </w:rPr>
            </w:pPr>
            <w:r>
              <w:rPr>
                <w:rFonts w:cs="Times New Roman"/>
                <w:szCs w:val="24"/>
              </w:rPr>
              <w:t>qRT9-F (AT1G13609</w:t>
            </w:r>
            <w:r w:rsidR="00264AD2">
              <w:rPr>
                <w:rFonts w:cs="Times New Roman"/>
                <w:szCs w:val="24"/>
              </w:rPr>
              <w:t>.1</w:t>
            </w:r>
            <w:r>
              <w:rPr>
                <w:rFonts w:cs="Times New Roman"/>
                <w:szCs w:val="24"/>
              </w:rPr>
              <w:t>)</w:t>
            </w:r>
          </w:p>
        </w:tc>
        <w:tc>
          <w:tcPr>
            <w:tcW w:w="4330" w:type="dxa"/>
            <w:noWrap/>
          </w:tcPr>
          <w:p w14:paraId="5D2F26AF" w14:textId="44A48071" w:rsidR="006141B7" w:rsidRPr="00B80509" w:rsidRDefault="00510A3E" w:rsidP="006141B7">
            <w:pPr>
              <w:keepNext/>
              <w:rPr>
                <w:rFonts w:cs="Times New Roman"/>
                <w:szCs w:val="24"/>
              </w:rPr>
            </w:pPr>
            <w:r>
              <w:rPr>
                <w:rFonts w:cs="Times New Roman"/>
                <w:szCs w:val="24"/>
              </w:rPr>
              <w:t>TGTCTTCACAGCGACTGTTTCAG</w:t>
            </w:r>
          </w:p>
        </w:tc>
        <w:tc>
          <w:tcPr>
            <w:tcW w:w="2690" w:type="dxa"/>
            <w:noWrap/>
          </w:tcPr>
          <w:p w14:paraId="74EBEF1F" w14:textId="6240D976" w:rsidR="006141B7" w:rsidRPr="00B80509" w:rsidRDefault="006141B7" w:rsidP="006141B7">
            <w:pPr>
              <w:keepNext/>
              <w:rPr>
                <w:rFonts w:cs="Times New Roman"/>
                <w:szCs w:val="24"/>
              </w:rPr>
            </w:pPr>
            <w:r w:rsidRPr="00B80509">
              <w:rPr>
                <w:rFonts w:cs="Times New Roman"/>
                <w:szCs w:val="24"/>
              </w:rPr>
              <w:t>This study</w:t>
            </w:r>
          </w:p>
        </w:tc>
      </w:tr>
      <w:tr w:rsidR="006141B7" w:rsidRPr="00B80509" w14:paraId="39B7A038" w14:textId="77777777" w:rsidTr="00264AD2">
        <w:trPr>
          <w:trHeight w:val="288"/>
        </w:trPr>
        <w:tc>
          <w:tcPr>
            <w:tcW w:w="2695" w:type="dxa"/>
            <w:noWrap/>
          </w:tcPr>
          <w:p w14:paraId="5CDF7D2A" w14:textId="1B63798B" w:rsidR="006141B7" w:rsidRPr="00B80509" w:rsidRDefault="006141B7" w:rsidP="006141B7">
            <w:pPr>
              <w:keepNext/>
              <w:rPr>
                <w:rFonts w:cs="Times New Roman"/>
                <w:szCs w:val="24"/>
              </w:rPr>
            </w:pPr>
            <w:r>
              <w:rPr>
                <w:rFonts w:cs="Times New Roman"/>
                <w:szCs w:val="24"/>
              </w:rPr>
              <w:t>qRT9-R (AT1G13609</w:t>
            </w:r>
            <w:r w:rsidR="00264AD2">
              <w:rPr>
                <w:rFonts w:cs="Times New Roman"/>
                <w:szCs w:val="24"/>
              </w:rPr>
              <w:t>.1</w:t>
            </w:r>
            <w:r>
              <w:rPr>
                <w:rFonts w:cs="Times New Roman"/>
                <w:szCs w:val="24"/>
              </w:rPr>
              <w:t>)</w:t>
            </w:r>
          </w:p>
        </w:tc>
        <w:tc>
          <w:tcPr>
            <w:tcW w:w="4330" w:type="dxa"/>
            <w:noWrap/>
          </w:tcPr>
          <w:p w14:paraId="04D1A7A7" w14:textId="609A1E37" w:rsidR="006141B7" w:rsidRPr="00B80509" w:rsidRDefault="00264AD2" w:rsidP="006141B7">
            <w:pPr>
              <w:keepNext/>
              <w:rPr>
                <w:rFonts w:cs="Times New Roman"/>
                <w:szCs w:val="24"/>
              </w:rPr>
            </w:pPr>
            <w:r w:rsidRPr="00264AD2">
              <w:rPr>
                <w:rFonts w:cs="Times New Roman"/>
                <w:szCs w:val="24"/>
              </w:rPr>
              <w:t>GTGAGATTGTGACCTCACCCTTCC</w:t>
            </w:r>
          </w:p>
        </w:tc>
        <w:tc>
          <w:tcPr>
            <w:tcW w:w="2690" w:type="dxa"/>
            <w:noWrap/>
          </w:tcPr>
          <w:p w14:paraId="7A195AA7" w14:textId="6CE3751E" w:rsidR="006141B7" w:rsidRPr="00B80509" w:rsidRDefault="006141B7" w:rsidP="006141B7">
            <w:pPr>
              <w:keepNext/>
              <w:rPr>
                <w:rFonts w:cs="Times New Roman"/>
                <w:szCs w:val="24"/>
              </w:rPr>
            </w:pPr>
            <w:r w:rsidRPr="00B80509">
              <w:rPr>
                <w:rFonts w:cs="Times New Roman"/>
                <w:szCs w:val="24"/>
              </w:rPr>
              <w:t>This study</w:t>
            </w:r>
          </w:p>
        </w:tc>
      </w:tr>
      <w:tr w:rsidR="006141B7" w:rsidRPr="00B80509" w14:paraId="1FAB801E" w14:textId="77777777" w:rsidTr="00264AD2">
        <w:trPr>
          <w:trHeight w:val="288"/>
        </w:trPr>
        <w:tc>
          <w:tcPr>
            <w:tcW w:w="2695" w:type="dxa"/>
            <w:noWrap/>
            <w:hideMark/>
          </w:tcPr>
          <w:p w14:paraId="198600D6" w14:textId="77777777" w:rsidR="006141B7" w:rsidRPr="00B80509" w:rsidRDefault="006141B7" w:rsidP="006141B7">
            <w:pPr>
              <w:keepNext/>
              <w:rPr>
                <w:rFonts w:cs="Times New Roman"/>
                <w:szCs w:val="24"/>
              </w:rPr>
            </w:pPr>
            <w:r w:rsidRPr="00B80509">
              <w:rPr>
                <w:rFonts w:cs="Times New Roman"/>
                <w:szCs w:val="24"/>
              </w:rPr>
              <w:t>ACT2-forward</w:t>
            </w:r>
          </w:p>
        </w:tc>
        <w:tc>
          <w:tcPr>
            <w:tcW w:w="4330" w:type="dxa"/>
            <w:noWrap/>
            <w:hideMark/>
          </w:tcPr>
          <w:p w14:paraId="44DAD57A" w14:textId="77777777" w:rsidR="006141B7" w:rsidRPr="00B80509" w:rsidRDefault="006141B7" w:rsidP="006141B7">
            <w:pPr>
              <w:keepNext/>
              <w:rPr>
                <w:rFonts w:cs="Times New Roman"/>
                <w:szCs w:val="24"/>
              </w:rPr>
            </w:pPr>
            <w:r w:rsidRPr="00B80509">
              <w:rPr>
                <w:rFonts w:cs="Times New Roman"/>
                <w:szCs w:val="24"/>
              </w:rPr>
              <w:t>GCTGAGAGATTCAGATGCCCA</w:t>
            </w:r>
          </w:p>
        </w:tc>
        <w:tc>
          <w:tcPr>
            <w:tcW w:w="2690" w:type="dxa"/>
            <w:noWrap/>
            <w:hideMark/>
          </w:tcPr>
          <w:p w14:paraId="1A3C8AF4" w14:textId="26E9D257"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101CAC4F" w14:textId="77777777" w:rsidTr="00264AD2">
        <w:trPr>
          <w:trHeight w:val="288"/>
        </w:trPr>
        <w:tc>
          <w:tcPr>
            <w:tcW w:w="2695" w:type="dxa"/>
            <w:noWrap/>
            <w:hideMark/>
          </w:tcPr>
          <w:p w14:paraId="115ED1B3" w14:textId="77777777" w:rsidR="006141B7" w:rsidRPr="00B80509" w:rsidRDefault="006141B7" w:rsidP="006141B7">
            <w:pPr>
              <w:keepNext/>
              <w:rPr>
                <w:rFonts w:cs="Times New Roman"/>
                <w:szCs w:val="24"/>
              </w:rPr>
            </w:pPr>
            <w:r w:rsidRPr="00B80509">
              <w:rPr>
                <w:rFonts w:cs="Times New Roman"/>
                <w:szCs w:val="24"/>
              </w:rPr>
              <w:t>ACT2-reverse</w:t>
            </w:r>
          </w:p>
        </w:tc>
        <w:tc>
          <w:tcPr>
            <w:tcW w:w="4330" w:type="dxa"/>
            <w:noWrap/>
            <w:hideMark/>
          </w:tcPr>
          <w:p w14:paraId="7D9F687C" w14:textId="77777777" w:rsidR="006141B7" w:rsidRPr="00B80509" w:rsidRDefault="006141B7" w:rsidP="006141B7">
            <w:pPr>
              <w:keepNext/>
              <w:rPr>
                <w:rFonts w:cs="Times New Roman"/>
                <w:szCs w:val="24"/>
              </w:rPr>
            </w:pPr>
            <w:r w:rsidRPr="00B80509">
              <w:rPr>
                <w:rFonts w:cs="Times New Roman"/>
                <w:szCs w:val="24"/>
              </w:rPr>
              <w:t>GTGGATTCCAGCAGCTTCCAT</w:t>
            </w:r>
          </w:p>
        </w:tc>
        <w:tc>
          <w:tcPr>
            <w:tcW w:w="2690" w:type="dxa"/>
            <w:noWrap/>
            <w:hideMark/>
          </w:tcPr>
          <w:p w14:paraId="6778608B" w14:textId="5C6D5782"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25F9A082" w14:textId="77777777" w:rsidTr="00264AD2">
        <w:trPr>
          <w:trHeight w:val="288"/>
        </w:trPr>
        <w:tc>
          <w:tcPr>
            <w:tcW w:w="2695" w:type="dxa"/>
            <w:noWrap/>
            <w:hideMark/>
          </w:tcPr>
          <w:p w14:paraId="370B172F" w14:textId="77777777" w:rsidR="006141B7" w:rsidRPr="00B80509" w:rsidRDefault="006141B7" w:rsidP="006141B7">
            <w:pPr>
              <w:keepNext/>
              <w:rPr>
                <w:rFonts w:cs="Times New Roman"/>
                <w:szCs w:val="24"/>
              </w:rPr>
            </w:pPr>
            <w:r w:rsidRPr="00B80509">
              <w:rPr>
                <w:rFonts w:cs="Times New Roman"/>
                <w:szCs w:val="24"/>
              </w:rPr>
              <w:t>IRT1-forward</w:t>
            </w:r>
          </w:p>
        </w:tc>
        <w:tc>
          <w:tcPr>
            <w:tcW w:w="4330" w:type="dxa"/>
            <w:noWrap/>
            <w:hideMark/>
          </w:tcPr>
          <w:p w14:paraId="3F8540AA" w14:textId="77777777" w:rsidR="006141B7" w:rsidRPr="00B80509" w:rsidRDefault="006141B7" w:rsidP="006141B7">
            <w:pPr>
              <w:keepNext/>
              <w:rPr>
                <w:rFonts w:cs="Times New Roman"/>
                <w:szCs w:val="24"/>
              </w:rPr>
            </w:pPr>
            <w:r w:rsidRPr="00B80509">
              <w:rPr>
                <w:rFonts w:cs="Times New Roman"/>
                <w:szCs w:val="24"/>
              </w:rPr>
              <w:t>ACTTCAAACTGCGCCGGAAGAATG</w:t>
            </w:r>
          </w:p>
        </w:tc>
        <w:tc>
          <w:tcPr>
            <w:tcW w:w="2690" w:type="dxa"/>
            <w:noWrap/>
            <w:hideMark/>
          </w:tcPr>
          <w:p w14:paraId="760E8462" w14:textId="6EC5C941"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2277F797" w14:textId="77777777" w:rsidTr="00264AD2">
        <w:trPr>
          <w:trHeight w:val="288"/>
        </w:trPr>
        <w:tc>
          <w:tcPr>
            <w:tcW w:w="2695" w:type="dxa"/>
            <w:noWrap/>
            <w:hideMark/>
          </w:tcPr>
          <w:p w14:paraId="748F6D45" w14:textId="77777777" w:rsidR="006141B7" w:rsidRPr="00B80509" w:rsidRDefault="006141B7" w:rsidP="006141B7">
            <w:pPr>
              <w:keepNext/>
              <w:rPr>
                <w:rFonts w:cs="Times New Roman"/>
                <w:szCs w:val="24"/>
              </w:rPr>
            </w:pPr>
            <w:r w:rsidRPr="00B80509">
              <w:rPr>
                <w:rFonts w:cs="Times New Roman"/>
                <w:szCs w:val="24"/>
              </w:rPr>
              <w:t>IRT1-reverse</w:t>
            </w:r>
          </w:p>
        </w:tc>
        <w:tc>
          <w:tcPr>
            <w:tcW w:w="4330" w:type="dxa"/>
            <w:noWrap/>
            <w:hideMark/>
          </w:tcPr>
          <w:p w14:paraId="3D5FEC4C" w14:textId="77777777" w:rsidR="006141B7" w:rsidRPr="00B80509" w:rsidRDefault="006141B7" w:rsidP="006141B7">
            <w:pPr>
              <w:keepNext/>
              <w:rPr>
                <w:rFonts w:cs="Times New Roman"/>
                <w:szCs w:val="24"/>
              </w:rPr>
            </w:pPr>
            <w:r w:rsidRPr="00B80509">
              <w:rPr>
                <w:rFonts w:cs="Times New Roman"/>
                <w:szCs w:val="24"/>
              </w:rPr>
              <w:t>AGCTTTGTTGACGCACGGTTC</w:t>
            </w:r>
          </w:p>
        </w:tc>
        <w:tc>
          <w:tcPr>
            <w:tcW w:w="2690" w:type="dxa"/>
            <w:noWrap/>
            <w:hideMark/>
          </w:tcPr>
          <w:p w14:paraId="23F8FFBF" w14:textId="0D5E9680"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02C34C9D" w14:textId="77777777" w:rsidTr="00264AD2">
        <w:trPr>
          <w:trHeight w:val="288"/>
        </w:trPr>
        <w:tc>
          <w:tcPr>
            <w:tcW w:w="2695" w:type="dxa"/>
            <w:noWrap/>
            <w:hideMark/>
          </w:tcPr>
          <w:p w14:paraId="6F620DFB" w14:textId="77777777" w:rsidR="006141B7" w:rsidRPr="00B80509" w:rsidRDefault="006141B7" w:rsidP="006141B7">
            <w:pPr>
              <w:keepNext/>
              <w:rPr>
                <w:rFonts w:cs="Times New Roman"/>
                <w:szCs w:val="24"/>
              </w:rPr>
            </w:pPr>
            <w:r w:rsidRPr="00B80509">
              <w:rPr>
                <w:rFonts w:cs="Times New Roman"/>
                <w:szCs w:val="24"/>
              </w:rPr>
              <w:t>FER1-forward</w:t>
            </w:r>
          </w:p>
        </w:tc>
        <w:tc>
          <w:tcPr>
            <w:tcW w:w="4330" w:type="dxa"/>
            <w:noWrap/>
            <w:hideMark/>
          </w:tcPr>
          <w:p w14:paraId="1FBF43E2" w14:textId="77777777" w:rsidR="006141B7" w:rsidRPr="00B80509" w:rsidRDefault="006141B7" w:rsidP="006141B7">
            <w:pPr>
              <w:keepNext/>
              <w:rPr>
                <w:rFonts w:cs="Times New Roman"/>
                <w:szCs w:val="24"/>
              </w:rPr>
            </w:pPr>
            <w:r w:rsidRPr="00B80509">
              <w:rPr>
                <w:rFonts w:cs="Times New Roman"/>
                <w:szCs w:val="24"/>
              </w:rPr>
              <w:t>CAACGTTGCTATGAAGGGACTAGC</w:t>
            </w:r>
          </w:p>
        </w:tc>
        <w:tc>
          <w:tcPr>
            <w:tcW w:w="2690" w:type="dxa"/>
            <w:noWrap/>
            <w:hideMark/>
          </w:tcPr>
          <w:p w14:paraId="079BE595" w14:textId="2D4435A3"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438EFA0F" w14:textId="77777777" w:rsidTr="00264AD2">
        <w:trPr>
          <w:trHeight w:val="288"/>
        </w:trPr>
        <w:tc>
          <w:tcPr>
            <w:tcW w:w="2695" w:type="dxa"/>
            <w:noWrap/>
            <w:hideMark/>
          </w:tcPr>
          <w:p w14:paraId="195EE174" w14:textId="77777777" w:rsidR="006141B7" w:rsidRPr="00B80509" w:rsidRDefault="006141B7" w:rsidP="006141B7">
            <w:pPr>
              <w:keepNext/>
              <w:rPr>
                <w:rFonts w:cs="Times New Roman"/>
                <w:szCs w:val="24"/>
              </w:rPr>
            </w:pPr>
            <w:r w:rsidRPr="00B80509">
              <w:rPr>
                <w:rFonts w:cs="Times New Roman"/>
                <w:szCs w:val="24"/>
              </w:rPr>
              <w:t>FER1-reverse</w:t>
            </w:r>
          </w:p>
        </w:tc>
        <w:tc>
          <w:tcPr>
            <w:tcW w:w="4330" w:type="dxa"/>
            <w:noWrap/>
            <w:hideMark/>
          </w:tcPr>
          <w:p w14:paraId="67FBDE61" w14:textId="77777777" w:rsidR="006141B7" w:rsidRPr="00B80509" w:rsidRDefault="006141B7" w:rsidP="006141B7">
            <w:pPr>
              <w:keepNext/>
              <w:rPr>
                <w:rFonts w:cs="Times New Roman"/>
                <w:szCs w:val="24"/>
              </w:rPr>
            </w:pPr>
            <w:r w:rsidRPr="00B80509">
              <w:rPr>
                <w:rFonts w:cs="Times New Roman"/>
                <w:szCs w:val="24"/>
              </w:rPr>
              <w:t>ACTCTTCCTCCTCTTTGGTTCTGG</w:t>
            </w:r>
          </w:p>
        </w:tc>
        <w:tc>
          <w:tcPr>
            <w:tcW w:w="2690" w:type="dxa"/>
            <w:noWrap/>
            <w:hideMark/>
          </w:tcPr>
          <w:p w14:paraId="448F2BC5" w14:textId="5CF21E90"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{"citationItems":[{"id":"ITEM-1","itemData":{"DOI":"10.1104/pp.17.00821","ISBN":"0000000329","ISSN":"15322548","PMID":"28894019","abstract":"The mechanisms of root iron uptake and the transcriptional networks that control root-level regulation of iron uptake have been well studied, but the mechanisms by which shoots signal iron status to the roots remain opaque. Here, we characterize an Arabidopsis (Arabidopsis thaliana) double mutant, yellow stripe1-like yellow stripe3-like (ysl1ysl3), which has lost the ability to properly regulate iron deficiency-influenced gene expression in both roots and shoots. In spite of markedly low tissue levels of iron, the double mutant does not up-and down-regulate iron deficiency-induced and -repressed genes. We have used grafting experiments to show that wild-type roots grafted to ysl1ysl3 shoots do not initiate iron deficiency-induced gene expression, indicating that the ysl1ysl3 shoots fail to send an appropriate long-distance signal of shoot iron status to the roots. We present a model to explain how impaired iron localization in leaf veins results in incorrect signals of iron sufficiency being sent to roots and affecting gene expression there. Improved understanding of the mechanism of long-distance iron signaling will allow improved strategies for the engineering of staple crops to accumulate additional bioavailable iron in edible parts, thus improving the iron nutrition of the billions of people worldwide whose inadequate diet causes iron deficiency anemia.","author":[{"dropping-particle":"","family":"Kumar","given":"Rakesh K.","non-dropping-particle":"","parse-names":false,"suffix":""},{"dropping-particle":"","family":"Chu","given":"Heng Hsuan","non-dropping-particle":"","parse-names":false,"suffix":""},{"dropping-particle":"","family":"Abundis","given":"Celina","non-dropping-particle":"","parse-names":false,"suffix":""},{"dropping-particle":"","family":"Vasques","given":"Kenneth","non-dropping-particle":"","parse-names":false,"suffix":""},{"dropping-particle":"","family":"Rodriguez","given":"David Chan","non-dropping-particle":"","parse-names":false,"suffix":""},{"dropping-particle":"","family":"Chia","given":"Ju Chen","non-dropping-particle":"","parse-names":false,"suffix":""},{"dropping-particle":"","family":"Huang","given":"Rong","non-dropping-particle":"","parse-names":false,"suffix":""},{"dropping-particle":"","family":"Vatamaniuk","given":"Olena K.","non-dropping-particle":"","parse-names":false,"suffix":""},{"dropping-particle":"","family":"Walker","given":"Elsbeth L.","non-dropping-particle":"","parse-names":false,"suffix":""}],"container-title":"Plant Physiology","id":"ITEM-1","issue":"3","issued":{"date-parts":[["2017","11","1"]]},"page":"1254-1268","publisher":"American Society of Plant Biologists","title":"Iron-nicotianamine transporters are required for proper long distance iron signaling","type":"article-journal","volume":"175"},"uris":["http://www.mendeley.com/documents/?uuid=b0c292fc-df8a-4bb5-943a-1ed61c6212ed"]}],"mendeley":{"formattedCitation":"(Kumar et al., 2017)","plainTextFormattedCitation":"(Kumar et al., 2017)","previouslyFormattedCitation":"(Kumar et al., 2017)"},"properties":{"noteIndex":0},"schema":"https://github.com/citation-style-language/schema/raw/master/csl-citation.json"}</w:instrText>
            </w:r>
            <w:r>
              <w:rPr>
                <w:rFonts w:cs="Times New Roman"/>
                <w:szCs w:val="24"/>
              </w:rPr>
              <w:fldChar w:fldCharType="separate"/>
            </w:r>
            <w:r w:rsidRPr="00C50681">
              <w:rPr>
                <w:rFonts w:cs="Times New Roman"/>
                <w:noProof/>
                <w:szCs w:val="24"/>
              </w:rPr>
              <w:t>(Kumar et al., 2017)</w:t>
            </w:r>
            <w:r>
              <w:rPr>
                <w:rFonts w:cs="Times New Roman"/>
                <w:szCs w:val="24"/>
              </w:rPr>
              <w:fldChar w:fldCharType="end"/>
            </w:r>
          </w:p>
        </w:tc>
      </w:tr>
      <w:tr w:rsidR="006141B7" w:rsidRPr="00B80509" w14:paraId="10FD0E35" w14:textId="77777777" w:rsidTr="00264AD2">
        <w:trPr>
          <w:trHeight w:val="288"/>
        </w:trPr>
        <w:tc>
          <w:tcPr>
            <w:tcW w:w="2695" w:type="dxa"/>
            <w:noWrap/>
            <w:hideMark/>
          </w:tcPr>
          <w:p w14:paraId="5F1BF4F4" w14:textId="77777777" w:rsidR="006141B7" w:rsidRPr="00B80509" w:rsidRDefault="006141B7" w:rsidP="006141B7">
            <w:pPr>
              <w:keepNext/>
              <w:rPr>
                <w:rFonts w:cs="Times New Roman"/>
                <w:szCs w:val="24"/>
              </w:rPr>
            </w:pPr>
            <w:r w:rsidRPr="00B80509">
              <w:rPr>
                <w:rFonts w:cs="Times New Roman"/>
                <w:szCs w:val="24"/>
              </w:rPr>
              <w:t>FIT-forward</w:t>
            </w:r>
          </w:p>
        </w:tc>
        <w:tc>
          <w:tcPr>
            <w:tcW w:w="4330" w:type="dxa"/>
            <w:noWrap/>
            <w:hideMark/>
          </w:tcPr>
          <w:p w14:paraId="4E9116DF" w14:textId="77777777" w:rsidR="006141B7" w:rsidRPr="00B80509" w:rsidRDefault="006141B7" w:rsidP="006141B7">
            <w:pPr>
              <w:keepNext/>
              <w:rPr>
                <w:rFonts w:cs="Times New Roman"/>
                <w:szCs w:val="24"/>
              </w:rPr>
            </w:pPr>
            <w:r w:rsidRPr="00B80509">
              <w:rPr>
                <w:rFonts w:cs="Times New Roman"/>
                <w:szCs w:val="24"/>
              </w:rPr>
              <w:t>TTTTCGCGGTATCAATCCTC</w:t>
            </w:r>
          </w:p>
        </w:tc>
        <w:tc>
          <w:tcPr>
            <w:tcW w:w="2690" w:type="dxa"/>
            <w:noWrap/>
            <w:hideMark/>
          </w:tcPr>
          <w:p w14:paraId="2F2747DF" w14:textId="52525A3B"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{"citationItems":[{"id":"ITEM-1","itemData":{"DOI":"10.1016/j.molp.2015.12.010","ISSN":"17529867","PMID":"26712506","abstract":"Rhizosphere acidification is essential for iron (Fe) uptake into plant roots. Plasma membrane (PM) H+-ATPases play key roles in rhizosphere acidification. However, it is not fully understood how PM H+-ATPase activity is regulated to enhance root Fe uptake under Fe-deficient conditions. Here, we present evidence that cytochrome b5 reductase 1 (CBR1) increases the levels of unsaturated fatty acids, which stimulate PM H+-ATPase activity and thus lead to rhizosphere acidification. CBR1-overexpressing (CBR1-OX) Arabidopsis thaliana plants had higher levels of unsaturated fatty acids (18:2 and 18:3), higher PM H+-ATPase activity, and lower rhizosphere pH than wild-type plants. By contrast, cbr1 loss-of-function mutant plants showed lower levels of unsaturated fatty acids and lower PM H+-ATPase activity but higher rhizosphere pH. Reduced PM H+-ATPase activity in cbr1 could be restored in vitro by addition of unsaturated fatty acids. Transcript levels of CBR1, fatty acids desaturase 2 (FAD2), and fatty acids desaturase 3 (FAD3) were increased under Fe-deficient conditions. We propose that CBR1 has a crucial role in increasing the levels of unsaturated fatty acids, which activate the PM H+-ATPase and thus reduce rhizosphere pH. This reaction cascade ultimately promotes root Fe uptake.","author":[{"dropping-particle":"","family":"Oh","given":"Young Jun","non-dropping-particle":"","parse-names":false,"suffix":""},{"dropping-particle":"","family":"Kim","given":"Hanul","non-dropping-particle":"","parse-names":false,"suffix":""},{"dropping-particle":"","family":"Seo","given":"Sung Hee","non-dropping-particle":"","parse-names":false,"suffix":""},{"dropping-particle":"","family":"Hwang","given":"Bae Geun","non-dropping-particle":"","parse-names":false,"suffix":""},{"dropping-particle":"","family":"Chang","given":"Yoon Seok","non-dropping-particle":"","parse-names":false,"suffix":""},{"dropping-particle":"","family":"Lee","given":"Junho","non-dropping-particle":"","parse-names":false,"suffix":""},{"dropping-particle":"","family":"Lee","given":"Dong Wook","non-dropping-particle":"","parse-names":false,"suffix":""},{"dropping-particle":"","family":"Sohn","given":"Eun Ju","non-dropping-particle":"","parse-names":false,"suffix":""},{"dropping-particle":"","family":"Lee","given":"Sang Joon","non-dropping-particle":"","parse-names":false,"suffix":""},{"dropping-particle":"","family":"Lee","given":"Youngsook","non-dropping-particle":"","parse-names":false,"suffix":""},{"dropping-particle":"","family":"Hwang","given":"Inhwan","non-dropping-particle":"","parse-names":false,"suffix":""}],"container-title":"Molecular Plant","id":"ITEM-1","issue":"4","issued":{"date-parts":[["2016","4","4"]]},"page":"501-513","publisher":"Cell Press","title":"Cytochrome b5 Reductase 1 Triggers Serial Reactions that Lead to Iron Uptake in Plants","type":"article-journal","volume":"9"},"uris":["http://www.mendeley.com/documents/?uuid=2e76f019-271e-3436-9aa0-3c9ae4b3a10c"]}],"mendeley":{"formattedCitation":"(Oh et al., 2016)","plainTextFormattedCitation":"(Oh et al., 2016)","previouslyFormattedCitation":"(Oh et al., 2016)"},"properties":{"noteIndex":0},"schema":"https://github.com/citation-style-language/schema/raw/master/csl-citation.json"}</w:instrText>
            </w:r>
            <w:r>
              <w:rPr>
                <w:rFonts w:cs="Times New Roman"/>
                <w:szCs w:val="24"/>
              </w:rPr>
              <w:fldChar w:fldCharType="separate"/>
            </w:r>
            <w:r w:rsidRPr="00C50681">
              <w:rPr>
                <w:rFonts w:cs="Times New Roman"/>
                <w:noProof/>
                <w:szCs w:val="24"/>
              </w:rPr>
              <w:t>(Oh et al., 2016)</w:t>
            </w:r>
            <w:r>
              <w:rPr>
                <w:rFonts w:cs="Times New Roman"/>
                <w:szCs w:val="24"/>
              </w:rPr>
              <w:fldChar w:fldCharType="end"/>
            </w:r>
          </w:p>
        </w:tc>
      </w:tr>
      <w:tr w:rsidR="006141B7" w:rsidRPr="00B80509" w14:paraId="16BC738F" w14:textId="77777777" w:rsidTr="00264AD2">
        <w:trPr>
          <w:trHeight w:val="288"/>
        </w:trPr>
        <w:tc>
          <w:tcPr>
            <w:tcW w:w="2695" w:type="dxa"/>
            <w:noWrap/>
            <w:hideMark/>
          </w:tcPr>
          <w:p w14:paraId="5716B2B6" w14:textId="77777777" w:rsidR="006141B7" w:rsidRPr="00B80509" w:rsidRDefault="006141B7" w:rsidP="006141B7">
            <w:pPr>
              <w:keepNext/>
              <w:rPr>
                <w:rFonts w:cs="Times New Roman"/>
                <w:szCs w:val="24"/>
              </w:rPr>
            </w:pPr>
            <w:r w:rsidRPr="00B80509">
              <w:rPr>
                <w:rFonts w:cs="Times New Roman"/>
                <w:szCs w:val="24"/>
              </w:rPr>
              <w:lastRenderedPageBreak/>
              <w:t>FIT-reverse</w:t>
            </w:r>
          </w:p>
        </w:tc>
        <w:tc>
          <w:tcPr>
            <w:tcW w:w="4330" w:type="dxa"/>
            <w:noWrap/>
            <w:hideMark/>
          </w:tcPr>
          <w:p w14:paraId="1CD2D772" w14:textId="77777777" w:rsidR="006141B7" w:rsidRPr="00B80509" w:rsidRDefault="006141B7" w:rsidP="006141B7">
            <w:pPr>
              <w:keepNext/>
              <w:rPr>
                <w:rFonts w:cs="Times New Roman"/>
                <w:szCs w:val="24"/>
              </w:rPr>
            </w:pPr>
            <w:r w:rsidRPr="00B80509">
              <w:rPr>
                <w:rFonts w:cs="Times New Roman"/>
                <w:szCs w:val="24"/>
              </w:rPr>
              <w:t xml:space="preserve">GGTATGTGTCCGGAGAAGGA </w:t>
            </w:r>
          </w:p>
        </w:tc>
        <w:tc>
          <w:tcPr>
            <w:tcW w:w="2690" w:type="dxa"/>
            <w:noWrap/>
            <w:hideMark/>
          </w:tcPr>
          <w:p w14:paraId="5F9FF665" w14:textId="45E59B64"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{"citationItems":[{"id":"ITEM-1","itemData":{"DOI":"10.1016/j.molp.2015.12.010","ISSN":"17529867","PMID":"26712506","abstract":"Rhizosphere acidification is essential for iron (Fe) uptake into plant roots. Plasma membrane (PM) H+-ATPases play key roles in rhizosphere acidification. However, it is not fully understood how PM H+-ATPase activity is regulated to enhance root Fe uptake under Fe-deficient conditions. Here, we present evidence that cytochrome b5 reductase 1 (CBR1) increases the levels of unsaturated fatty acids, which stimulate PM H+-ATPase activity and thus lead to rhizosphere acidification. CBR1-overexpressing (CBR1-OX) Arabidopsis thaliana plants had higher levels of unsaturated fatty acids (18:2 and 18:3), higher PM H+-ATPase activity, and lower rhizosphere pH than wild-type plants. By contrast, cbr1 loss-of-function mutant plants showed lower levels of unsaturated fatty acids and lower PM H+-ATPase activity but higher rhizosphere pH. Reduced PM H+-ATPase activity in cbr1 could be restored in vitro by addition of unsaturated fatty acids. Transcript levels of CBR1, fatty acids desaturase 2 (FAD2), and fatty acids desaturase 3 (FAD3) were increased under Fe-deficient conditions. We propose that CBR1 has a crucial role in increasing the levels of unsaturated fatty acids, which activate the PM H+-ATPase and thus reduce rhizosphere pH. This reaction cascade ultimately promotes root Fe uptake.","author":[{"dropping-particle":"","family":"Oh","given":"Young Jun","non-dropping-particle":"","parse-names":false,"suffix":""},{"dropping-particle":"","family":"Kim","given":"Hanul","non-dropping-particle":"","parse-names":false,"suffix":""},{"dropping-particle":"","family":"Seo","given":"Sung Hee","non-dropping-particle":"","parse-names":false,"suffix":""},{"dropping-particle":"","family":"Hwang","given":"Bae Geun","non-dropping-particle":"","parse-names":false,"suffix":""},{"dropping-particle":"","family":"Chang","given":"Yoon Seok","non-dropping-particle":"","parse-names":false,"suffix":""},{"dropping-particle":"","family":"Lee","given":"Junho","non-dropping-particle":"","parse-names":false,"suffix":""},{"dropping-particle":"","family":"Lee","given":"Dong Wook","non-dropping-particle":"","parse-names":false,"suffix":""},{"dropping-particle":"","family":"Sohn","given":"Eun Ju","non-dropping-particle":"","parse-names":false,"suffix":""},{"dropping-particle":"","family":"Lee","given":"Sang Joon","non-dropping-particle":"","parse-names":false,"suffix":""},{"dropping-particle":"","family":"Lee","given":"Youngsook","non-dropping-particle":"","parse-names":false,"suffix":""},{"dropping-particle":"","family":"Hwang","given":"Inhwan","non-dropping-particle":"","parse-names":false,"suffix":""}],"container-title":"Molecular Plant","id":"ITEM-1","issue":"4","issued":{"date-parts":[["2016","4","4"]]},"page":"501-513","publisher":"Cell Press","title":"Cytochrome b5 Reductase 1 Triggers Serial Reactions that Lead to Iron Uptake in Plants","type":"article-journal","volume":"9"},"uris":["http://www.mendeley.com/documents/?uuid=2e76f019-271e-3436-9aa0-3c9ae4b3a10c"]}],"mendeley":{"formattedCitation":"(Oh et al., 2016)","plainTextFormattedCitation":"(Oh et al., 2016)","previouslyFormattedCitation":"(Oh et al., 2016)"},"properties":{"noteIndex":0},"schema":"https://github.com/citation-style-language/schema/raw/master/csl-citation.json"}</w:instrText>
            </w:r>
            <w:r>
              <w:rPr>
                <w:rFonts w:cs="Times New Roman"/>
                <w:szCs w:val="24"/>
              </w:rPr>
              <w:fldChar w:fldCharType="separate"/>
            </w:r>
            <w:r w:rsidRPr="00C50681">
              <w:rPr>
                <w:rFonts w:cs="Times New Roman"/>
                <w:noProof/>
                <w:szCs w:val="24"/>
              </w:rPr>
              <w:t>(Oh et al., 2016)</w:t>
            </w:r>
            <w:r>
              <w:rPr>
                <w:rFonts w:cs="Times New Roman"/>
                <w:szCs w:val="24"/>
              </w:rPr>
              <w:fldChar w:fldCharType="end"/>
            </w:r>
          </w:p>
        </w:tc>
      </w:tr>
      <w:tr w:rsidR="006141B7" w:rsidRPr="00B80509" w14:paraId="735FECF9" w14:textId="77777777" w:rsidTr="00264AD2">
        <w:trPr>
          <w:trHeight w:val="288"/>
        </w:trPr>
        <w:tc>
          <w:tcPr>
            <w:tcW w:w="2695" w:type="dxa"/>
            <w:noWrap/>
            <w:hideMark/>
          </w:tcPr>
          <w:p w14:paraId="56A9F9E2" w14:textId="77777777" w:rsidR="006141B7" w:rsidRPr="00B80509" w:rsidRDefault="006141B7" w:rsidP="006141B7">
            <w:pPr>
              <w:keepNext/>
              <w:rPr>
                <w:rFonts w:cs="Times New Roman"/>
                <w:szCs w:val="24"/>
              </w:rPr>
            </w:pPr>
            <w:r w:rsidRPr="00B80509">
              <w:rPr>
                <w:rFonts w:cs="Times New Roman"/>
                <w:szCs w:val="24"/>
              </w:rPr>
              <w:t>OXI1-forward</w:t>
            </w:r>
          </w:p>
        </w:tc>
        <w:tc>
          <w:tcPr>
            <w:tcW w:w="4330" w:type="dxa"/>
            <w:noWrap/>
            <w:hideMark/>
          </w:tcPr>
          <w:p w14:paraId="51E43123" w14:textId="77777777" w:rsidR="006141B7" w:rsidRPr="00B80509" w:rsidRDefault="006141B7" w:rsidP="006141B7">
            <w:pPr>
              <w:keepNext/>
              <w:rPr>
                <w:rFonts w:cs="Times New Roman"/>
                <w:szCs w:val="24"/>
              </w:rPr>
            </w:pPr>
            <w:r w:rsidRPr="00B80509">
              <w:rPr>
                <w:rFonts w:cs="Times New Roman"/>
                <w:szCs w:val="24"/>
              </w:rPr>
              <w:t>ACGACGCTAAATTGCTTGCT</w:t>
            </w:r>
          </w:p>
        </w:tc>
        <w:tc>
          <w:tcPr>
            <w:tcW w:w="2690" w:type="dxa"/>
            <w:noWrap/>
            <w:hideMark/>
          </w:tcPr>
          <w:p w14:paraId="3A3DE3FB" w14:textId="5D3965CE"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615E4494" w14:textId="77777777" w:rsidTr="00264AD2">
        <w:trPr>
          <w:trHeight w:val="288"/>
        </w:trPr>
        <w:tc>
          <w:tcPr>
            <w:tcW w:w="2695" w:type="dxa"/>
            <w:noWrap/>
            <w:hideMark/>
          </w:tcPr>
          <w:p w14:paraId="4212EFAA" w14:textId="77777777" w:rsidR="006141B7" w:rsidRPr="00B80509" w:rsidRDefault="006141B7" w:rsidP="006141B7">
            <w:pPr>
              <w:keepNext/>
              <w:rPr>
                <w:rFonts w:cs="Times New Roman"/>
                <w:szCs w:val="24"/>
              </w:rPr>
            </w:pPr>
            <w:r w:rsidRPr="00B80509">
              <w:rPr>
                <w:rFonts w:cs="Times New Roman"/>
                <w:szCs w:val="24"/>
              </w:rPr>
              <w:t>OXI1-reverse</w:t>
            </w:r>
          </w:p>
        </w:tc>
        <w:tc>
          <w:tcPr>
            <w:tcW w:w="4330" w:type="dxa"/>
            <w:noWrap/>
            <w:hideMark/>
          </w:tcPr>
          <w:p w14:paraId="6B81131D" w14:textId="77777777" w:rsidR="006141B7" w:rsidRPr="00B80509" w:rsidRDefault="006141B7" w:rsidP="006141B7">
            <w:pPr>
              <w:keepNext/>
              <w:rPr>
                <w:rFonts w:cs="Times New Roman"/>
                <w:szCs w:val="24"/>
              </w:rPr>
            </w:pPr>
            <w:r w:rsidRPr="00B80509">
              <w:rPr>
                <w:rFonts w:cs="Times New Roman"/>
                <w:szCs w:val="24"/>
              </w:rPr>
              <w:t>CCGTGAAGAGACGGAAAGAG</w:t>
            </w:r>
          </w:p>
        </w:tc>
        <w:tc>
          <w:tcPr>
            <w:tcW w:w="2690" w:type="dxa"/>
            <w:noWrap/>
            <w:hideMark/>
          </w:tcPr>
          <w:p w14:paraId="51C72EE1" w14:textId="55203E72"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207A83B7" w14:textId="77777777" w:rsidTr="00264AD2">
        <w:trPr>
          <w:trHeight w:val="288"/>
        </w:trPr>
        <w:tc>
          <w:tcPr>
            <w:tcW w:w="2695" w:type="dxa"/>
            <w:noWrap/>
            <w:hideMark/>
          </w:tcPr>
          <w:p w14:paraId="7879CF9B" w14:textId="77777777" w:rsidR="006141B7" w:rsidRPr="00B80509" w:rsidRDefault="006141B7" w:rsidP="006141B7">
            <w:pPr>
              <w:keepNext/>
              <w:rPr>
                <w:rFonts w:cs="Times New Roman"/>
                <w:szCs w:val="24"/>
              </w:rPr>
            </w:pPr>
            <w:r w:rsidRPr="00B80509">
              <w:rPr>
                <w:rFonts w:cs="Times New Roman"/>
                <w:szCs w:val="24"/>
              </w:rPr>
              <w:t>AT3G03810-forward</w:t>
            </w:r>
          </w:p>
        </w:tc>
        <w:tc>
          <w:tcPr>
            <w:tcW w:w="4330" w:type="dxa"/>
            <w:noWrap/>
            <w:hideMark/>
          </w:tcPr>
          <w:p w14:paraId="741E7873" w14:textId="77777777" w:rsidR="006141B7" w:rsidRPr="00B80509" w:rsidRDefault="006141B7" w:rsidP="006141B7">
            <w:pPr>
              <w:keepNext/>
              <w:rPr>
                <w:rFonts w:cs="Times New Roman"/>
                <w:szCs w:val="24"/>
              </w:rPr>
            </w:pPr>
            <w:r w:rsidRPr="00B80509">
              <w:rPr>
                <w:rFonts w:cs="Times New Roman"/>
                <w:szCs w:val="24"/>
              </w:rPr>
              <w:t>GCTTTGACAAGAGCCACCAA</w:t>
            </w:r>
          </w:p>
        </w:tc>
        <w:tc>
          <w:tcPr>
            <w:tcW w:w="2690" w:type="dxa"/>
            <w:noWrap/>
            <w:hideMark/>
          </w:tcPr>
          <w:p w14:paraId="4FFFB974" w14:textId="128F8C59"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05B1DADE" w14:textId="77777777" w:rsidTr="00264AD2">
        <w:trPr>
          <w:trHeight w:val="288"/>
        </w:trPr>
        <w:tc>
          <w:tcPr>
            <w:tcW w:w="2695" w:type="dxa"/>
            <w:noWrap/>
            <w:hideMark/>
          </w:tcPr>
          <w:p w14:paraId="171BBE87" w14:textId="77777777" w:rsidR="006141B7" w:rsidRPr="00B80509" w:rsidRDefault="006141B7" w:rsidP="006141B7">
            <w:pPr>
              <w:keepNext/>
              <w:rPr>
                <w:rFonts w:cs="Times New Roman"/>
                <w:szCs w:val="24"/>
              </w:rPr>
            </w:pPr>
            <w:r w:rsidRPr="00B80509">
              <w:rPr>
                <w:rFonts w:cs="Times New Roman"/>
                <w:szCs w:val="24"/>
              </w:rPr>
              <w:t>AT3G03810-reverse</w:t>
            </w:r>
          </w:p>
        </w:tc>
        <w:tc>
          <w:tcPr>
            <w:tcW w:w="4330" w:type="dxa"/>
            <w:noWrap/>
            <w:hideMark/>
          </w:tcPr>
          <w:p w14:paraId="1E68F99E" w14:textId="77777777" w:rsidR="006141B7" w:rsidRPr="00B80509" w:rsidRDefault="006141B7" w:rsidP="006141B7">
            <w:pPr>
              <w:keepNext/>
              <w:rPr>
                <w:rFonts w:cs="Times New Roman"/>
                <w:szCs w:val="24"/>
              </w:rPr>
            </w:pPr>
            <w:r w:rsidRPr="00B80509">
              <w:rPr>
                <w:rFonts w:cs="Times New Roman"/>
                <w:szCs w:val="24"/>
              </w:rPr>
              <w:t>CTACTGCACGTTTGCCAGACTT</w:t>
            </w:r>
          </w:p>
        </w:tc>
        <w:tc>
          <w:tcPr>
            <w:tcW w:w="2690" w:type="dxa"/>
            <w:noWrap/>
            <w:hideMark/>
          </w:tcPr>
          <w:p w14:paraId="3C3CDB32" w14:textId="521E5EED"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215B03BD" w14:textId="77777777" w:rsidTr="00264AD2">
        <w:trPr>
          <w:trHeight w:val="288"/>
        </w:trPr>
        <w:tc>
          <w:tcPr>
            <w:tcW w:w="2695" w:type="dxa"/>
            <w:noWrap/>
            <w:hideMark/>
          </w:tcPr>
          <w:p w14:paraId="132637FD" w14:textId="77777777" w:rsidR="006141B7" w:rsidRPr="00B80509" w:rsidRDefault="006141B7" w:rsidP="006141B7">
            <w:pPr>
              <w:keepNext/>
              <w:rPr>
                <w:rFonts w:cs="Times New Roman"/>
                <w:szCs w:val="24"/>
              </w:rPr>
            </w:pPr>
            <w:r w:rsidRPr="00B80509">
              <w:rPr>
                <w:rFonts w:cs="Times New Roman"/>
                <w:szCs w:val="24"/>
              </w:rPr>
              <w:t>PYE-forward</w:t>
            </w:r>
          </w:p>
        </w:tc>
        <w:tc>
          <w:tcPr>
            <w:tcW w:w="4330" w:type="dxa"/>
            <w:noWrap/>
            <w:hideMark/>
          </w:tcPr>
          <w:p w14:paraId="3C3EA75F" w14:textId="77777777" w:rsidR="006141B7" w:rsidRPr="00B80509" w:rsidRDefault="006141B7" w:rsidP="006141B7">
            <w:pPr>
              <w:keepNext/>
              <w:rPr>
                <w:rFonts w:cs="Times New Roman"/>
                <w:szCs w:val="24"/>
              </w:rPr>
            </w:pPr>
            <w:r w:rsidRPr="00B80509">
              <w:rPr>
                <w:rFonts w:cs="Times New Roman"/>
                <w:szCs w:val="24"/>
              </w:rPr>
              <w:t>CAGGACTTCCCATTTTCCAA</w:t>
            </w:r>
          </w:p>
        </w:tc>
        <w:tc>
          <w:tcPr>
            <w:tcW w:w="2690" w:type="dxa"/>
            <w:noWrap/>
            <w:hideMark/>
          </w:tcPr>
          <w:p w14:paraId="4AA7C5C5" w14:textId="2FB20A56"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{"citationItems":[{"id":"ITEM-1","itemData":{"DOI":"https://doi.org/10.1111/nph.15753","ISSN":"0028-646X","abstract":"Summary Iron (Fe) homeostasis is crucial for all living organisms. In mammals, an integrated posttranscriptional mechanism couples the regulation of both Fe deficiency and Fe excess responses. Whether in plants an integrated control mechanism involving common players regulates responses both to deficiency and to excess is still to be determined. In this study, molecular, genetic and biochemical approaches were used to investigate transcriptional responses to both Fe deficiency and excess. A transcriptional activator of responses to Fe shortage in Arabidopsis, called bHLH105/ILR3, was found to also negatively regulate the expression of ferritin genes, which are markers of the plant's response to Fe excess. Further investigations revealed that ILR3 repressed the expression of several structural genes that function in the control of Fe homeostasis. ILR3 interacts directly with the promoter of its target genes, and repressive activity was conferred by its dimerisation with bHLH47/PYE. Last, this study highlighted that important facets of plant growth in response to Fe deficiency or excess rely on ILR3 activity. Altogether, the data presented herein support that ILR3 is at the centre of the transcriptional regulatory network that controls Fe homeostasis in Arabidopsis, in which it acts as both transcriptional activator and repressor.","author":[{"dropping-particle":"","family":"Tissot","given":"Nicolas","non-dropping-particle":"","parse-names":false,"suffix":""},{"dropping-particle":"","family":"Robe","given":"Kevin","non-dropping-particle":"","parse-names":false,"suffix":""},{"dropping-particle":"","family":"Gao","given":"Fei","non-dropping-particle":"","parse-names":false,"suffix":""},{"dropping-particle":"","family":"Grant-Grant","given":"Susana","non-dropping-particle":"","parse-names":false,"suffix":""},{"dropping-particle":"","family":"Boucherez","given":"Jossia","non-dropping-particle":"","parse-names":false,"suffix":""},{"dropping-particle":"","family":"Bellegarde","given":"Fanny","non-dropping-particle":"","parse-names":false,"suffix":""},{"dropping-particle":"","family":"Maghiaoui","given":"Amel","non-dropping-particle":"","parse-names":false,"suffix":""},{"dropping-particle":"","family":"Marcelin","given":"Romain","non-dropping-particle":"","parse-names":false,"suffix":""},{"dropping-particle":"","family":"Izquierdo","given":"Esther","non-dropping-particle":"","parse-names":false,"suffix":""},{"dropping-particle":"","family":"Benhamed","given":"Moussa","non-dropping-particle":"","parse-names":false,"suffix":""},{"dropping-particle":"","family":"Martin","given":"Antoine","non-dropping-particle":"","parse-names":false,"suffix":""},{"dropping-particle":"","family":"Vignols","given":"Florence","non-dropping-particle":"","parse-names":false,"suffix":""},{"dropping-particle":"","family":"Roschzttardtz","given":"Hannetz","non-dropping-particle":"","parse-names":false,"suffix":""},{"dropping-particle":"","family":"Gaymard","given":"Frédéric","non-dropping-particle":"","parse-names":false,"suffix":""},{"dropping-particle":"","family":"Briat","given":"Jean-François","non-dropping-particle":"","parse-names":false,"suffix":""},{"dropping-particle":"","family":"Dubos","given":"Christian","non-dropping-particle":"","parse-names":false,"suffix":""}],"container-title":"New Phytologist","id":"ITEM-1","issue":"3","issued":{"date-parts":[["2019","8","1"]]},"note":"https://doi.org/10.1111/nph.15753","page":"1433-1446","publisher":"John Wiley &amp; Sons, Ltd","title":"Transcriptional integration of the responses to iron availability in Arabidopsis by the bHLH factor ILR3","type":"article-journal","volume":"223"},"uris":["http://www.mendeley.com/documents/?uuid=0568c041-71fb-4233-9b07-8341505e3190"]}],"mendeley":{"formattedCitation":"(Tissot et al., 2019)","plainTextFormattedCitation":"(Tissot et al., 2019)","previouslyFormattedCitation":"(Tissot et al., 2019)"},"properties":{"noteIndex":0},"schema":"https://github.com/citation-style-language/schema/raw/master/csl-citation.json"}</w:instrText>
            </w:r>
            <w:r>
              <w:rPr>
                <w:rFonts w:cs="Times New Roman"/>
                <w:szCs w:val="24"/>
              </w:rPr>
              <w:fldChar w:fldCharType="separate"/>
            </w:r>
            <w:r w:rsidRPr="00C50681">
              <w:rPr>
                <w:rFonts w:cs="Times New Roman"/>
                <w:noProof/>
                <w:szCs w:val="24"/>
              </w:rPr>
              <w:t>(Tissot et al., 2019)</w:t>
            </w:r>
            <w:r>
              <w:rPr>
                <w:rFonts w:cs="Times New Roman"/>
                <w:szCs w:val="24"/>
              </w:rPr>
              <w:fldChar w:fldCharType="end"/>
            </w:r>
          </w:p>
        </w:tc>
      </w:tr>
      <w:tr w:rsidR="006141B7" w:rsidRPr="00B80509" w14:paraId="216578CF" w14:textId="77777777" w:rsidTr="00264AD2">
        <w:trPr>
          <w:trHeight w:val="288"/>
        </w:trPr>
        <w:tc>
          <w:tcPr>
            <w:tcW w:w="2695" w:type="dxa"/>
            <w:noWrap/>
            <w:hideMark/>
          </w:tcPr>
          <w:p w14:paraId="3BAB3616" w14:textId="77777777" w:rsidR="006141B7" w:rsidRPr="00B80509" w:rsidRDefault="006141B7" w:rsidP="006141B7">
            <w:pPr>
              <w:keepNext/>
              <w:rPr>
                <w:rFonts w:cs="Times New Roman"/>
                <w:szCs w:val="24"/>
              </w:rPr>
            </w:pPr>
            <w:r w:rsidRPr="00B80509">
              <w:rPr>
                <w:rFonts w:cs="Times New Roman"/>
                <w:szCs w:val="24"/>
              </w:rPr>
              <w:t>PYE-reverse</w:t>
            </w:r>
          </w:p>
        </w:tc>
        <w:tc>
          <w:tcPr>
            <w:tcW w:w="4330" w:type="dxa"/>
            <w:noWrap/>
            <w:hideMark/>
          </w:tcPr>
          <w:p w14:paraId="3246CE53" w14:textId="77777777" w:rsidR="006141B7" w:rsidRPr="00B80509" w:rsidRDefault="006141B7" w:rsidP="006141B7">
            <w:pPr>
              <w:keepNext/>
              <w:rPr>
                <w:rFonts w:cs="Times New Roman"/>
                <w:szCs w:val="24"/>
              </w:rPr>
            </w:pPr>
            <w:r w:rsidRPr="00B80509">
              <w:rPr>
                <w:rFonts w:cs="Times New Roman"/>
                <w:szCs w:val="24"/>
              </w:rPr>
              <w:t>CTTGTGTCTGGGGATCAGGT</w:t>
            </w:r>
          </w:p>
        </w:tc>
        <w:tc>
          <w:tcPr>
            <w:tcW w:w="2690" w:type="dxa"/>
            <w:noWrap/>
            <w:hideMark/>
          </w:tcPr>
          <w:p w14:paraId="616601F2" w14:textId="37FE42A1"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{"citationItems":[{"id":"ITEM-1","itemData":{"DOI":"https://doi.org/10.1111/nph.15753","ISSN":"0028-646X","abstract":"Summary Iron (Fe) homeostasis is crucial for all living organisms. In mammals, an integrated posttranscriptional mechanism couples the regulation of both Fe deficiency and Fe excess responses. Whether in plants an integrated control mechanism involving common players regulates responses both to deficiency and to excess is still to be determined. In this study, molecular, genetic and biochemical approaches were used to investigate transcriptional responses to both Fe deficiency and excess. A transcriptional activator of responses to Fe shortage in Arabidopsis, called bHLH105/ILR3, was found to also negatively regulate the expression of ferritin genes, which are markers of the plant's response to Fe excess. Further investigations revealed that ILR3 repressed the expression of several structural genes that function in the control of Fe homeostasis. ILR3 interacts directly with the promoter of its target genes, and repressive activity was conferred by its dimerisation with bHLH47/PYE. Last, this study highlighted that important facets of plant growth in response to Fe deficiency or excess rely on ILR3 activity. Altogether, the data presented herein support that ILR3 is at the centre of the transcriptional regulatory network that controls Fe homeostasis in Arabidopsis, in which it acts as both transcriptional activator and repressor.","author":[{"dropping-particle":"","family":"Tissot","given":"Nicolas","non-dropping-particle":"","parse-names":false,"suffix":""},{"dropping-particle":"","family":"Robe","given":"Kevin","non-dropping-particle":"","parse-names":false,"suffix":""},{"dropping-particle":"","family":"Gao","given":"Fei","non-dropping-particle":"","parse-names":false,"suffix":""},{"dropping-particle":"","family":"Grant-Grant","given":"Susana","non-dropping-particle":"","parse-names":false,"suffix":""},{"dropping-particle":"","family":"Boucherez","given":"Jossia","non-dropping-particle":"","parse-names":false,"suffix":""},{"dropping-particle":"","family":"Bellegarde","given":"Fanny","non-dropping-particle":"","parse-names":false,"suffix":""},{"dropping-particle":"","family":"Maghiaoui","given":"Amel","non-dropping-particle":"","parse-names":false,"suffix":""},{"dropping-particle":"","family":"Marcelin","given":"Romain","non-dropping-particle":"","parse-names":false,"suffix":""},{"dropping-particle":"","family":"Izquierdo","given":"Esther","non-dropping-particle":"","parse-names":false,"suffix":""},{"dropping-particle":"","family":"Benhamed","given":"Moussa","non-dropping-particle":"","parse-names":false,"suffix":""},{"dropping-particle":"","family":"Martin","given":"Antoine","non-dropping-particle":"","parse-names":false,"suffix":""},{"dropping-particle":"","family":"Vignols","given":"Florence","non-dropping-particle":"","parse-names":false,"suffix":""},{"dropping-particle":"","family":"Roschzttardtz","given":"Hannetz","non-dropping-particle":"","parse-names":false,"suffix":""},{"dropping-particle":"","family":"Gaymard","given":"Frédéric","non-dropping-particle":"","parse-names":false,"suffix":""},{"dropping-particle":"","family":"Briat","given":"Jean-François","non-dropping-particle":"","parse-names":false,"suffix":""},{"dropping-particle":"","family":"Dubos","given":"Christian","non-dropping-particle":"","parse-names":false,"suffix":""}],"container-title":"New Phytologist","id":"ITEM-1","issue":"3","issued":{"date-parts":[["2019","8","1"]]},"note":"https://doi.org/10.1111/nph.15753","page":"1433-1446","publisher":"John Wiley &amp; Sons, Ltd","title":"Transcriptional integration of the responses to iron availability in Arabidopsis by the bHLH factor ILR3","type":"article-journal","volume":"223"},"uris":["http://www.mendeley.com/documents/?uuid=0568c041-71fb-4233-9b07-8341505e3190"]}],"mendeley":{"formattedCitation":"(Tissot et al., 2019)","plainTextFormattedCitation":"(Tissot et al., 2019)","previouslyFormattedCitation":"(Tissot et al., 2019)"},"properties":{"noteIndex":0},"schema":"https://github.com/citation-style-language/schema/raw/master/csl-citation.json"}</w:instrText>
            </w:r>
            <w:r>
              <w:rPr>
                <w:rFonts w:cs="Times New Roman"/>
                <w:szCs w:val="24"/>
              </w:rPr>
              <w:fldChar w:fldCharType="separate"/>
            </w:r>
            <w:r w:rsidRPr="00C50681">
              <w:rPr>
                <w:rFonts w:cs="Times New Roman"/>
                <w:noProof/>
                <w:szCs w:val="24"/>
              </w:rPr>
              <w:t>(Tissot et al., 2019)</w:t>
            </w:r>
            <w:r>
              <w:rPr>
                <w:rFonts w:cs="Times New Roman"/>
                <w:szCs w:val="24"/>
              </w:rPr>
              <w:fldChar w:fldCharType="end"/>
            </w:r>
          </w:p>
        </w:tc>
      </w:tr>
      <w:tr w:rsidR="006141B7" w:rsidRPr="00B80509" w14:paraId="5CDB4DAB" w14:textId="77777777" w:rsidTr="00264AD2">
        <w:trPr>
          <w:trHeight w:val="288"/>
        </w:trPr>
        <w:tc>
          <w:tcPr>
            <w:tcW w:w="2695" w:type="dxa"/>
            <w:noWrap/>
            <w:hideMark/>
          </w:tcPr>
          <w:p w14:paraId="4CD85326" w14:textId="77777777" w:rsidR="006141B7" w:rsidRPr="00B80509" w:rsidRDefault="006141B7" w:rsidP="006141B7">
            <w:pPr>
              <w:keepNext/>
              <w:rPr>
                <w:rFonts w:cs="Times New Roman"/>
                <w:szCs w:val="24"/>
              </w:rPr>
            </w:pPr>
            <w:r w:rsidRPr="00B80509">
              <w:rPr>
                <w:rFonts w:cs="Times New Roman"/>
                <w:szCs w:val="24"/>
              </w:rPr>
              <w:t>ILR3-forward</w:t>
            </w:r>
          </w:p>
        </w:tc>
        <w:tc>
          <w:tcPr>
            <w:tcW w:w="4330" w:type="dxa"/>
            <w:noWrap/>
            <w:hideMark/>
          </w:tcPr>
          <w:p w14:paraId="21FAAA41" w14:textId="77777777" w:rsidR="006141B7" w:rsidRPr="00B80509" w:rsidRDefault="006141B7" w:rsidP="006141B7">
            <w:pPr>
              <w:keepNext/>
              <w:rPr>
                <w:rFonts w:cs="Times New Roman"/>
                <w:szCs w:val="24"/>
              </w:rPr>
            </w:pPr>
            <w:r w:rsidRPr="00B80509">
              <w:rPr>
                <w:rFonts w:cs="Times New Roman"/>
                <w:szCs w:val="24"/>
              </w:rPr>
              <w:t>GCAACCTATTGGTGTTTCTTCTAACTC</w:t>
            </w:r>
          </w:p>
        </w:tc>
        <w:tc>
          <w:tcPr>
            <w:tcW w:w="2690" w:type="dxa"/>
            <w:noWrap/>
            <w:hideMark/>
          </w:tcPr>
          <w:p w14:paraId="28624419" w14:textId="39D578B3"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{"citationItems":[{"id":"ITEM-1","itemData":{"DOI":"https://doi.org/10.1111/nph.15753","ISSN":"0028-646X","abstract":"Summary Iron (Fe) homeostasis is crucial for all living organisms. In mammals, an integrated posttranscriptional mechanism couples the regulation of both Fe deficiency and Fe excess responses. Whether in plants an integrated control mechanism involving common players regulates responses both to deficiency and to excess is still to be determined. In this study, molecular, genetic and biochemical approaches were used to investigate transcriptional responses to both Fe deficiency and excess. A transcriptional activator of responses to Fe shortage in Arabidopsis, called bHLH105/ILR3, was found to also negatively regulate the expression of ferritin genes, which are markers of the plant's response to Fe excess. Further investigations revealed that ILR3 repressed the expression of several structural genes that function in the control of Fe homeostasis. ILR3 interacts directly with the promoter of its target genes, and repressive activity was conferred by its dimerisation with bHLH47/PYE. Last, this study highlighted that important facets of plant growth in response to Fe deficiency or excess rely on ILR3 activity. Altogether, the data presented herein support that ILR3 is at the centre of the transcriptional regulatory network that controls Fe homeostasis in Arabidopsis, in which it acts as both transcriptional activator and repressor.","author":[{"dropping-particle":"","family":"Tissot","given":"Nicolas","non-dropping-particle":"","parse-names":false,"suffix":""},{"dropping-particle":"","family":"Robe","given":"Kevin","non-dropping-particle":"","parse-names":false,"suffix":""},{"dropping-particle":"","family":"Gao","given":"Fei","non-dropping-particle":"","parse-names":false,"suffix":""},{"dropping-particle":"","family":"Grant-Grant","given":"Susana","non-dropping-particle":"","parse-names":false,"suffix":""},{"dropping-particle":"","family":"Boucherez","given":"Jossia","non-dropping-particle":"","parse-names":false,"suffix":""},{"dropping-particle":"","family":"Bellegarde","given":"Fanny","non-dropping-particle":"","parse-names":false,"suffix":""},{"dropping-particle":"","family":"Maghiaoui","given":"Amel","non-dropping-particle":"","parse-names":false,"suffix":""},{"dropping-particle":"","family":"Marcelin","given":"Romain","non-dropping-particle":"","parse-names":false,"suffix":""},{"dropping-particle":"","family":"Izquierdo","given":"Esther","non-dropping-particle":"","parse-names":false,"suffix":""},{"dropping-particle":"","family":"Benhamed","given":"Moussa","non-dropping-particle":"","parse-names":false,"suffix":""},{"dropping-particle":"","family":"Martin","given":"Antoine","non-dropping-particle":"","parse-names":false,"suffix":""},{"dropping-particle":"","family":"Vignols","given":"Florence","non-dropping-particle":"","parse-names":false,"suffix":""},{"dropping-particle":"","family":"Roschzttardtz","given":"Hannetz","non-dropping-particle":"","parse-names":false,"suffix":""},{"dropping-particle":"","family":"Gaymard","given":"Frédéric","non-dropping-particle":"","parse-names":false,"suffix":""},{"dropping-particle":"","family":"Briat","given":"Jean-François","non-dropping-particle":"","parse-names":false,"suffix":""},{"dropping-particle":"","family":"Dubos","given":"Christian","non-dropping-particle":"","parse-names":false,"suffix":""}],"container-title":"New Phytologist","id":"ITEM-1","issue":"3","issued":{"date-parts":[["2019","8","1"]]},"note":"https://doi.org/10.1111/nph.15753","page":"1433-1446","publisher":"John Wiley &amp; Sons, Ltd","title":"Transcriptional integration of the responses to iron availability in Arabidopsis by the bHLH factor ILR3","type":"article-journal","volume":"223"},"uris":["http://www.mendeley.com/documents/?uuid=0568c041-71fb-4233-9b07-8341505e3190"]}],"mendeley":{"formattedCitation":"(Tissot et al., 2019)","plainTextFormattedCitation":"(Tissot et al., 2019)","previouslyFormattedCitation":"(Tissot et al., 2019)"},"properties":{"noteIndex":0},"schema":"https://github.com/citation-style-language/schema/raw/master/csl-citation.json"}</w:instrText>
            </w:r>
            <w:r>
              <w:rPr>
                <w:rFonts w:cs="Times New Roman"/>
                <w:szCs w:val="24"/>
              </w:rPr>
              <w:fldChar w:fldCharType="separate"/>
            </w:r>
            <w:r w:rsidRPr="00C50681">
              <w:rPr>
                <w:rFonts w:cs="Times New Roman"/>
                <w:noProof/>
                <w:szCs w:val="24"/>
              </w:rPr>
              <w:t>(Tissot et al., 2019)</w:t>
            </w:r>
            <w:r>
              <w:rPr>
                <w:rFonts w:cs="Times New Roman"/>
                <w:szCs w:val="24"/>
              </w:rPr>
              <w:fldChar w:fldCharType="end"/>
            </w:r>
          </w:p>
        </w:tc>
      </w:tr>
      <w:tr w:rsidR="006141B7" w:rsidRPr="00B80509" w14:paraId="21197936" w14:textId="77777777" w:rsidTr="00264AD2">
        <w:trPr>
          <w:trHeight w:val="288"/>
        </w:trPr>
        <w:tc>
          <w:tcPr>
            <w:tcW w:w="2695" w:type="dxa"/>
            <w:noWrap/>
            <w:hideMark/>
          </w:tcPr>
          <w:p w14:paraId="643F8A1C" w14:textId="77777777" w:rsidR="006141B7" w:rsidRPr="00B80509" w:rsidRDefault="006141B7" w:rsidP="006141B7">
            <w:pPr>
              <w:keepNext/>
              <w:rPr>
                <w:rFonts w:cs="Times New Roman"/>
                <w:szCs w:val="24"/>
              </w:rPr>
            </w:pPr>
            <w:r w:rsidRPr="00B80509">
              <w:rPr>
                <w:rFonts w:cs="Times New Roman"/>
                <w:szCs w:val="24"/>
              </w:rPr>
              <w:t>ILR3-reverse</w:t>
            </w:r>
          </w:p>
        </w:tc>
        <w:tc>
          <w:tcPr>
            <w:tcW w:w="4330" w:type="dxa"/>
            <w:noWrap/>
            <w:hideMark/>
          </w:tcPr>
          <w:p w14:paraId="74A25113" w14:textId="77777777" w:rsidR="006141B7" w:rsidRPr="00B80509" w:rsidRDefault="006141B7" w:rsidP="006141B7">
            <w:pPr>
              <w:keepNext/>
              <w:rPr>
                <w:rFonts w:cs="Times New Roman"/>
                <w:szCs w:val="24"/>
              </w:rPr>
            </w:pPr>
            <w:r w:rsidRPr="00B80509">
              <w:rPr>
                <w:rFonts w:cs="Times New Roman"/>
                <w:szCs w:val="24"/>
              </w:rPr>
              <w:t>CCAGGTTCTTTGCTAGCTTCTGA</w:t>
            </w:r>
          </w:p>
        </w:tc>
        <w:tc>
          <w:tcPr>
            <w:tcW w:w="2690" w:type="dxa"/>
            <w:noWrap/>
            <w:hideMark/>
          </w:tcPr>
          <w:p w14:paraId="120D3E3E" w14:textId="050290B5"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{"citationItems":[{"id":"ITEM-1","itemData":{"DOI":"https://doi.org/10.1111/nph.15753","ISSN":"0028-646X","abstract":"Summary Iron (Fe) homeostasis is crucial for all living organisms. In mammals, an integrated posttranscriptional mechanism couples the regulation of both Fe deficiency and Fe excess responses. Whether in plants an integrated control mechanism involving common players regulates responses both to deficiency and to excess is still to be determined. In this study, molecular, genetic and biochemical approaches were used to investigate transcriptional responses to both Fe deficiency and excess. A transcriptional activator of responses to Fe shortage in Arabidopsis, called bHLH105/ILR3, was found to also negatively regulate the expression of ferritin genes, which are markers of the plant's response to Fe excess. Further investigations revealed that ILR3 repressed the expression of several structural genes that function in the control of Fe homeostasis. ILR3 interacts directly with the promoter of its target genes, and repressive activity was conferred by its dimerisation with bHLH47/PYE. Last, this study highlighted that important facets of plant growth in response to Fe deficiency or excess rely on ILR3 activity. Altogether, the data presented herein support that ILR3 is at the centre of the transcriptional regulatory network that controls Fe homeostasis in Arabidopsis, in which it acts as both transcriptional activator and repressor.","author":[{"dropping-particle":"","family":"Tissot","given":"Nicolas","non-dropping-particle":"","parse-names":false,"suffix":""},{"dropping-particle":"","family":"Robe","given":"Kevin","non-dropping-particle":"","parse-names":false,"suffix":""},{"dropping-particle":"","family":"Gao","given":"Fei","non-dropping-particle":"","parse-names":false,"suffix":""},{"dropping-particle":"","family":"Grant-Grant","given":"Susana","non-dropping-particle":"","parse-names":false,"suffix":""},{"dropping-particle":"","family":"Boucherez","given":"Jossia","non-dropping-particle":"","parse-names":false,"suffix":""},{"dropping-particle":"","family":"Bellegarde","given":"Fanny","non-dropping-particle":"","parse-names":false,"suffix":""},{"dropping-particle":"","family":"Maghiaoui","given":"Amel","non-dropping-particle":"","parse-names":false,"suffix":""},{"dropping-particle":"","family":"Marcelin","given":"Romain","non-dropping-particle":"","parse-names":false,"suffix":""},{"dropping-particle":"","family":"Izquierdo","given":"Esther","non-dropping-particle":"","parse-names":false,"suffix":""},{"dropping-particle":"","family":"Benhamed","given":"Moussa","non-dropping-particle":"","parse-names":false,"suffix":""},{"dropping-particle":"","family":"Martin","given":"Antoine","non-dropping-particle":"","parse-names":false,"suffix":""},{"dropping-particle":"","family":"Vignols","given":"Florence","non-dropping-particle":"","parse-names":false,"suffix":""},{"dropping-particle":"","family":"Roschzttardtz","given":"Hannetz","non-dropping-particle":"","parse-names":false,"suffix":""},{"dropping-particle":"","family":"Gaymard","given":"Frédéric","non-dropping-particle":"","parse-names":false,"suffix":""},{"dropping-particle":"","family":"Briat","given":"Jean-François","non-dropping-particle":"","parse-names":false,"suffix":""},{"dropping-particle":"","family":"Dubos","given":"Christian","non-dropping-particle":"","parse-names":false,"suffix":""}],"container-title":"New Phytologist","id":"ITEM-1","issue":"3","issued":{"date-parts":[["2019","8","1"]]},"note":"https://doi.org/10.1111/nph.15753","page":"1433-1446","publisher":"John Wiley &amp; Sons, Ltd","title":"Transcriptional integration of the responses to iron availability in Arabidopsis by the bHLH factor ILR3","type":"article-journal","volume":"223"},"uris":["http://www.mendeley.com/documents/?uuid=0568c041-71fb-4233-9b07-8341505e3190"]}],"mendeley":{"formattedCitation":"(Tissot et al., 2019)","plainTextFormattedCitation":"(Tissot et al., 2019)","previouslyFormattedCitation":"(Tissot et al., 2019)"},"properties":{"noteIndex":0},"schema":"https://github.com/citation-style-language/schema/raw/master/csl-citation.json"}</w:instrText>
            </w:r>
            <w:r>
              <w:rPr>
                <w:rFonts w:cs="Times New Roman"/>
                <w:szCs w:val="24"/>
              </w:rPr>
              <w:fldChar w:fldCharType="separate"/>
            </w:r>
            <w:r w:rsidRPr="00C50681">
              <w:rPr>
                <w:rFonts w:cs="Times New Roman"/>
                <w:noProof/>
                <w:szCs w:val="24"/>
              </w:rPr>
              <w:t>(Tissot et al., 2019)</w:t>
            </w:r>
            <w:r>
              <w:rPr>
                <w:rFonts w:cs="Times New Roman"/>
                <w:szCs w:val="24"/>
              </w:rPr>
              <w:fldChar w:fldCharType="end"/>
            </w:r>
          </w:p>
        </w:tc>
      </w:tr>
      <w:tr w:rsidR="006141B7" w:rsidRPr="00B80509" w14:paraId="2FCBED90" w14:textId="77777777" w:rsidTr="00264AD2">
        <w:trPr>
          <w:trHeight w:val="288"/>
        </w:trPr>
        <w:tc>
          <w:tcPr>
            <w:tcW w:w="2695" w:type="dxa"/>
            <w:noWrap/>
            <w:hideMark/>
          </w:tcPr>
          <w:p w14:paraId="694BD84B" w14:textId="77777777" w:rsidR="006141B7" w:rsidRPr="00B80509" w:rsidRDefault="006141B7" w:rsidP="006141B7">
            <w:pPr>
              <w:keepNext/>
              <w:rPr>
                <w:rFonts w:cs="Times New Roman"/>
                <w:szCs w:val="24"/>
              </w:rPr>
            </w:pPr>
            <w:r w:rsidRPr="00B80509">
              <w:rPr>
                <w:rFonts w:cs="Times New Roman"/>
                <w:szCs w:val="24"/>
              </w:rPr>
              <w:t>bHLH38-forward</w:t>
            </w:r>
          </w:p>
        </w:tc>
        <w:tc>
          <w:tcPr>
            <w:tcW w:w="4330" w:type="dxa"/>
            <w:noWrap/>
            <w:hideMark/>
          </w:tcPr>
          <w:p w14:paraId="1DB5A09F" w14:textId="77777777" w:rsidR="006141B7" w:rsidRPr="00B80509" w:rsidRDefault="006141B7" w:rsidP="006141B7">
            <w:pPr>
              <w:keepNext/>
              <w:rPr>
                <w:rFonts w:cs="Times New Roman"/>
                <w:szCs w:val="24"/>
              </w:rPr>
            </w:pPr>
            <w:r w:rsidRPr="00B80509">
              <w:rPr>
                <w:rFonts w:cs="Times New Roman"/>
                <w:szCs w:val="24"/>
              </w:rPr>
              <w:t>AGCAGCAACCAAAGGCG</w:t>
            </w:r>
          </w:p>
        </w:tc>
        <w:tc>
          <w:tcPr>
            <w:tcW w:w="2690" w:type="dxa"/>
            <w:noWrap/>
            <w:hideMark/>
          </w:tcPr>
          <w:p w14:paraId="5BDFB267" w14:textId="5E9E8770"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{"citationItems":[{"id":"ITEM-1","itemData":{"DOI":"10.1007/s00425-007-0535-x","ISSN":"00320935","PMID":"17516080","abstract":"Networks of transcription factors control physiological, developmental and environmental responses. Root iron acquisition responses are controlled by the essential bHLH protein FIT. Recently, two group Ib BHLH genes were reported to be iron deficiency-regulated. Here, we studied expression patterns of these two group Ib BHLH genes and of their two closest homologs to analyze whether their regulation would support a function in iron deficiency responses. We found that BHLH038, BHLH039, BHLH100 and BHLH101 (comprising a subgroup of BHLH Ib genes) were up regulated by iron deficiency in roots and leaves. Single insertion mutants had no visible phenotype and were capable of inducing root iron acquisition responses, presumably due to functional redundancy. Specific metal treatments like nickel, high zinc or high copper resulted in induction of the four BHLH Ib genes whereas high iron, low copper and low zinc repressed gene expression. Induction of the four BHLH Ib genes was also found in multiple iron acquisition mutants including fit. Ectopic activation of FIT did not suppress the four BHLH Ib genes. Split-root analyses using promoter-GUS lines showed that FIT and BHLH100 promoters were controlled by different local and systemic signals involved in their regulation by iron. These results indicated that the four BHLH Ib genes were induced independently from FIT by conditions causing iron deficiency. Taken together, BHLH038, BHLH039, BHLH100 and BHLH101 function differently from FIT and may be involved in mediating a signal related to iron deficiency-induced stress and/or internal iron homeostasis. © 2007 Springer-Verlag.","author":[{"dropping-particle":"","family":"Wang","given":"Hong Yu","non-dropping-particle":"","parse-names":false,"suffix":""},{"dropping-particle":"","family":"Klatte","given":"Marco","non-dropping-particle":"","parse-names":false,"suffix":""},{"dropping-particle":"","family":"Jakoby","given":"Marc","non-dropping-particle":"","parse-names":false,"suffix":""},{"dropping-particle":"","family":"Bäumlein","given":"Helmut","non-dropping-particle":"","parse-names":false,"suffix":""},{"dropping-particle":"","family":"Weisshaar","given":"Bernd","non-dropping-particle":"","parse-names":false,"suffix":""},{"dropping-particle":"","family":"Bauer","given":"Petra","non-dropping-particle":"","parse-names":false,"suffix":""}],"container-title":"Planta","id":"ITEM-1","issue":"4","issued":{"date-parts":[["2007"]]},"page":"897-908","title":"Iron deficiency-mediated stress regulation of four subgroup Ib BHLH genes in Arabidopsis thaliana","type":"article-journal","volume":"226"},"uris":["http://www.mendeley.com/documents/?uuid=6773baab-b73d-34c1-97da-7032cfc0ae94"]}],"mendeley":{"formattedCitation":"(Wang et al., 2007)","plainTextFormattedCitation":"(Wang et al., 2007)","previouslyFormattedCitation":"(Wang et al., 2007)"},"properties":{"noteIndex":0},"schema":"https://github.com/citation-style-language/schema/raw/master/csl-citation.json"}</w:instrText>
            </w:r>
            <w:r>
              <w:rPr>
                <w:rFonts w:cs="Times New Roman"/>
                <w:szCs w:val="24"/>
              </w:rPr>
              <w:fldChar w:fldCharType="separate"/>
            </w:r>
            <w:r w:rsidRPr="00C50681">
              <w:rPr>
                <w:rFonts w:cs="Times New Roman"/>
                <w:noProof/>
                <w:szCs w:val="24"/>
              </w:rPr>
              <w:t>(Wang et al., 2007)</w:t>
            </w:r>
            <w:r>
              <w:rPr>
                <w:rFonts w:cs="Times New Roman"/>
                <w:szCs w:val="24"/>
              </w:rPr>
              <w:fldChar w:fldCharType="end"/>
            </w:r>
          </w:p>
        </w:tc>
      </w:tr>
      <w:tr w:rsidR="006141B7" w:rsidRPr="00B80509" w14:paraId="76358589" w14:textId="77777777" w:rsidTr="00264AD2">
        <w:trPr>
          <w:trHeight w:val="288"/>
        </w:trPr>
        <w:tc>
          <w:tcPr>
            <w:tcW w:w="2695" w:type="dxa"/>
            <w:noWrap/>
            <w:hideMark/>
          </w:tcPr>
          <w:p w14:paraId="3D65867A" w14:textId="77777777" w:rsidR="006141B7" w:rsidRPr="00B80509" w:rsidRDefault="006141B7" w:rsidP="006141B7">
            <w:pPr>
              <w:keepNext/>
              <w:rPr>
                <w:rFonts w:cs="Times New Roman"/>
                <w:szCs w:val="24"/>
              </w:rPr>
            </w:pPr>
            <w:r w:rsidRPr="00B80509">
              <w:rPr>
                <w:rFonts w:cs="Times New Roman"/>
                <w:szCs w:val="24"/>
              </w:rPr>
              <w:t>bHLH38-reverse</w:t>
            </w:r>
          </w:p>
        </w:tc>
        <w:tc>
          <w:tcPr>
            <w:tcW w:w="4330" w:type="dxa"/>
            <w:noWrap/>
            <w:hideMark/>
          </w:tcPr>
          <w:p w14:paraId="7AE4D600" w14:textId="77777777" w:rsidR="006141B7" w:rsidRPr="00B80509" w:rsidRDefault="006141B7" w:rsidP="006141B7">
            <w:pPr>
              <w:keepNext/>
              <w:rPr>
                <w:rFonts w:cs="Times New Roman"/>
                <w:szCs w:val="24"/>
              </w:rPr>
            </w:pPr>
            <w:r w:rsidRPr="00B80509">
              <w:rPr>
                <w:rFonts w:cs="Times New Roman"/>
                <w:szCs w:val="24"/>
              </w:rPr>
              <w:t>CCACTTGAAGATGCAAAGTGTAG</w:t>
            </w:r>
          </w:p>
        </w:tc>
        <w:tc>
          <w:tcPr>
            <w:tcW w:w="2690" w:type="dxa"/>
            <w:noWrap/>
            <w:hideMark/>
          </w:tcPr>
          <w:p w14:paraId="37F2BC7B" w14:textId="4D581002"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{"citationItems":[{"id":"ITEM-1","itemData":{"DOI":"10.1007/s00425-007-0535-x","ISSN":"00320935","PMID":"17516080","abstract":"Networks of transcription factors control physiological, developmental and environmental responses. Root iron acquisition responses are controlled by the essential bHLH protein FIT. Recently, two group Ib BHLH genes were reported to be iron deficiency-regulated. Here, we studied expression patterns of these two group Ib BHLH genes and of their two closest homologs to analyze whether their regulation would support a function in iron deficiency responses. We found that BHLH038, BHLH039, BHLH100 and BHLH101 (comprising a subgroup of BHLH Ib genes) were up regulated by iron deficiency in roots and leaves. Single insertion mutants had no visible phenotype and were capable of inducing root iron acquisition responses, presumably due to functional redundancy. Specific metal treatments like nickel, high zinc or high copper resulted in induction of the four BHLH Ib genes whereas high iron, low copper and low zinc repressed gene expression. Induction of the four BHLH Ib genes was also found in multiple iron acquisition mutants including fit. Ectopic activation of FIT did not suppress the four BHLH Ib genes. Split-root analyses using promoter-GUS lines showed that FIT and BHLH100 promoters were controlled by different local and systemic signals involved in their regulation by iron. These results indicated that the four BHLH Ib genes were induced independently from FIT by conditions causing iron deficiency. Taken together, BHLH038, BHLH039, BHLH100 and BHLH101 function differently from FIT and may be involved in mediating a signal related to iron deficiency-induced stress and/or internal iron homeostasis. © 2007 Springer-Verlag.","author":[{"dropping-particle":"","family":"Wang","given":"Hong Yu","non-dropping-particle":"","parse-names":false,"suffix":""},{"dropping-particle":"","family":"Klatte","given":"Marco","non-dropping-particle":"","parse-names":false,"suffix":""},{"dropping-particle":"","family":"Jakoby","given":"Marc","non-dropping-particle":"","parse-names":false,"suffix":""},{"dropping-particle":"","family":"Bäumlein","given":"Helmut","non-dropping-particle":"","parse-names":false,"suffix":""},{"dropping-particle":"","family":"Weisshaar","given":"Bernd","non-dropping-particle":"","parse-names":false,"suffix":""},{"dropping-particle":"","family":"Bauer","given":"Petra","non-dropping-particle":"","parse-names":false,"suffix":""}],"container-title":"Planta","id":"ITEM-1","issue":"4","issued":{"date-parts":[["2007"]]},"page":"897-908","title":"Iron deficiency-mediated stress regulation of four subgroup Ib BHLH genes in Arabidopsis thaliana","type":"article-journal","volume":"226"},"uris":["http://www.mendeley.com/documents/?uuid=6773baab-b73d-34c1-97da-7032cfc0ae94"]}],"mendeley":{"formattedCitation":"(Wang et al., 2007)","plainTextFormattedCitation":"(Wang et al., 2007)","previouslyFormattedCitation":"(Wang et al., 2007)"},"properties":{"noteIndex":0},"schema":"https://github.com/citation-style-language/schema/raw/master/csl-citation.json"}</w:instrText>
            </w:r>
            <w:r>
              <w:rPr>
                <w:rFonts w:cs="Times New Roman"/>
                <w:szCs w:val="24"/>
              </w:rPr>
              <w:fldChar w:fldCharType="separate"/>
            </w:r>
            <w:r w:rsidRPr="00C50681">
              <w:rPr>
                <w:rFonts w:cs="Times New Roman"/>
                <w:noProof/>
                <w:szCs w:val="24"/>
              </w:rPr>
              <w:t>(Wang et al., 2007)</w:t>
            </w:r>
            <w:r>
              <w:rPr>
                <w:rFonts w:cs="Times New Roman"/>
                <w:szCs w:val="24"/>
              </w:rPr>
              <w:fldChar w:fldCharType="end"/>
            </w:r>
          </w:p>
        </w:tc>
      </w:tr>
      <w:tr w:rsidR="006141B7" w:rsidRPr="00B80509" w14:paraId="437BEC06" w14:textId="77777777" w:rsidTr="00264AD2">
        <w:trPr>
          <w:trHeight w:val="288"/>
        </w:trPr>
        <w:tc>
          <w:tcPr>
            <w:tcW w:w="2695" w:type="dxa"/>
            <w:noWrap/>
            <w:hideMark/>
          </w:tcPr>
          <w:p w14:paraId="7E50C437" w14:textId="77777777" w:rsidR="006141B7" w:rsidRPr="00B80509" w:rsidRDefault="006141B7" w:rsidP="006141B7">
            <w:pPr>
              <w:keepNext/>
              <w:rPr>
                <w:rFonts w:cs="Times New Roman"/>
                <w:szCs w:val="24"/>
              </w:rPr>
            </w:pPr>
            <w:r w:rsidRPr="00B80509">
              <w:rPr>
                <w:rFonts w:cs="Times New Roman"/>
                <w:szCs w:val="24"/>
              </w:rPr>
              <w:t>bHLH101-forward</w:t>
            </w:r>
          </w:p>
        </w:tc>
        <w:tc>
          <w:tcPr>
            <w:tcW w:w="4330" w:type="dxa"/>
            <w:noWrap/>
            <w:hideMark/>
          </w:tcPr>
          <w:p w14:paraId="7B845E19" w14:textId="77777777" w:rsidR="006141B7" w:rsidRPr="00B80509" w:rsidRDefault="006141B7" w:rsidP="006141B7">
            <w:pPr>
              <w:keepNext/>
              <w:rPr>
                <w:rFonts w:cs="Times New Roman"/>
                <w:szCs w:val="24"/>
              </w:rPr>
            </w:pPr>
            <w:r w:rsidRPr="00B80509">
              <w:rPr>
                <w:rFonts w:cs="Times New Roman"/>
                <w:szCs w:val="24"/>
              </w:rPr>
              <w:t>CAGCTGAGAAACAAAGCAATG</w:t>
            </w:r>
          </w:p>
        </w:tc>
        <w:tc>
          <w:tcPr>
            <w:tcW w:w="2690" w:type="dxa"/>
            <w:noWrap/>
            <w:hideMark/>
          </w:tcPr>
          <w:p w14:paraId="201AE97C" w14:textId="6247D22C"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14414FB8" w14:textId="77777777" w:rsidTr="00264AD2">
        <w:trPr>
          <w:trHeight w:val="288"/>
        </w:trPr>
        <w:tc>
          <w:tcPr>
            <w:tcW w:w="2695" w:type="dxa"/>
            <w:noWrap/>
            <w:hideMark/>
          </w:tcPr>
          <w:p w14:paraId="041A81F1" w14:textId="77777777" w:rsidR="006141B7" w:rsidRPr="00B80509" w:rsidRDefault="006141B7" w:rsidP="006141B7">
            <w:pPr>
              <w:keepNext/>
              <w:rPr>
                <w:rFonts w:cs="Times New Roman"/>
                <w:szCs w:val="24"/>
              </w:rPr>
            </w:pPr>
            <w:r w:rsidRPr="00B80509">
              <w:rPr>
                <w:rFonts w:cs="Times New Roman"/>
                <w:szCs w:val="24"/>
              </w:rPr>
              <w:t>bHLH101-reverse</w:t>
            </w:r>
          </w:p>
        </w:tc>
        <w:tc>
          <w:tcPr>
            <w:tcW w:w="4330" w:type="dxa"/>
            <w:noWrap/>
            <w:hideMark/>
          </w:tcPr>
          <w:p w14:paraId="07F7B346" w14:textId="77777777" w:rsidR="006141B7" w:rsidRPr="00B80509" w:rsidRDefault="006141B7" w:rsidP="006141B7">
            <w:pPr>
              <w:keepNext/>
              <w:rPr>
                <w:rFonts w:cs="Times New Roman"/>
                <w:szCs w:val="24"/>
              </w:rPr>
            </w:pPr>
            <w:r w:rsidRPr="00B80509">
              <w:rPr>
                <w:rFonts w:cs="Times New Roman"/>
                <w:szCs w:val="24"/>
              </w:rPr>
              <w:t>CAGTCTCACTTTGCAATCTCC</w:t>
            </w:r>
          </w:p>
        </w:tc>
        <w:tc>
          <w:tcPr>
            <w:tcW w:w="2690" w:type="dxa"/>
            <w:noWrap/>
            <w:hideMark/>
          </w:tcPr>
          <w:p w14:paraId="44A54B29" w14:textId="36CE8D04"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{"citationItems":[{"id":"ITEM-1","itemData":{"DOI":"10.1073/pnas.2024918118","ISSN":"10916490","PMID":"34580211","abstract":"Iron (Fe) is an essential micronutrient whose availability is limiting in many soils. During Fe deficiency, plants alter the expression of many genes to increase Fe uptake, distribution, and utilization. In a genetic screen for suppressors of Fe sensitivity in the E3 ligase mutant bts-3, we isolated an allele of the bHLH transcription factor (TF) ILR3, ilr3-4. We identified a striking leaf bleaching phenotype in ilr3 mutants that was suppressed by limiting light intensity, indicating that ILR3 is required for phototolerance during Fe deficiency. Among its paralogs that are thought to be partially redundant, only ILR3 was required for phototolerance as well as repression of genes under Fe deficiency. A mutation in the gene-encoding PYE, a known transcriptional repressor under Fe deficiency, also caused leaf bleaching. We identified singlet oxygen as the accumulating reactive oxygen species (ROS) in ilr3-4 and pye, suggesting photosensitivity is due to a PSII defect resulting in ROS production. During Fe deficiency, ilr3-4 and pye chloroplasts retain normal ultrastructure and, unlike wild type (WT), contain stacked grana similar to Fe-sufficient plants. Additionally, we found that the D1 subunit of PSII is destabilized in WT during Fe deficiency but not in ilr3-4 and pye, suggesting that PSII repair is accelerated during Fe deficiency in an ILR3- and PYE-dependent manner. Collectively, our results indicate that ILR3 and PYE confer photoprotection during Fe deficiency to prevent the accumulation of singlet oxygen, potentially by promoting reduction of grana stacking to limit excitation and facilitate repair of the photosynthetic machinery.","author":[{"dropping-particle":"","family":"Akmakjian","given":"Garo Z.","non-dropping-particle":"","parse-names":false,"suffix":""},{"dropping-particle":"","family":"Riaz","given":"Nabila","non-dropping-particle":"","parse-names":false,"suffix":""},{"dropping-particle":"Lou","family":"Guerinot","given":"Mary","non-dropping-particle":"","parse-names":false,"suffix":""}],"container-title":"Proceedings of the National Academy of Sciences of the United States of America","id":"ITEM-1","issue":"40","issued":{"date-parts":[["2021","10","5"]]},"page":"e2024918118","publisher":"National Academy of Sciences","title":"Photoprotection during iron deficiency is mediated by the bHLH transcription factors PYE and ILR3","type":"article-journal","volume":"118"},"uris":["http://www.mendeley.com/documents/?uuid=d918481f-adf4-470e-87e2-1c05ae3ba69c"]}],"mendeley":{"formattedCitation":"(Akmakjian et al., 2021)","plainTextFormattedCitation":"(Akmakjian et al., 2021)","previouslyFormattedCitation":"(Akmakjian et al., 2021)"},"properties":{"noteIndex":0},"schema":"https://github.com/citation-style-language/schema/raw/master/csl-citation.json"}</w:instrText>
            </w:r>
            <w:r>
              <w:rPr>
                <w:rFonts w:cs="Times New Roman"/>
                <w:szCs w:val="24"/>
              </w:rPr>
              <w:fldChar w:fldCharType="separate"/>
            </w:r>
            <w:r w:rsidRPr="00C50681">
              <w:rPr>
                <w:rFonts w:cs="Times New Roman"/>
                <w:noProof/>
                <w:szCs w:val="24"/>
              </w:rPr>
              <w:t>(Akmakjian et al., 2021)</w:t>
            </w:r>
            <w:r>
              <w:rPr>
                <w:rFonts w:cs="Times New Roman"/>
                <w:szCs w:val="24"/>
              </w:rPr>
              <w:fldChar w:fldCharType="end"/>
            </w:r>
          </w:p>
        </w:tc>
      </w:tr>
      <w:tr w:rsidR="006141B7" w:rsidRPr="00B80509" w14:paraId="55B841BD" w14:textId="77777777" w:rsidTr="00264AD2">
        <w:trPr>
          <w:trHeight w:val="288"/>
        </w:trPr>
        <w:tc>
          <w:tcPr>
            <w:tcW w:w="2695" w:type="dxa"/>
            <w:noWrap/>
            <w:hideMark/>
          </w:tcPr>
          <w:p w14:paraId="289C07EF" w14:textId="77777777" w:rsidR="006141B7" w:rsidRPr="00B80509" w:rsidRDefault="006141B7" w:rsidP="006141B7">
            <w:pPr>
              <w:keepNext/>
              <w:rPr>
                <w:rFonts w:cs="Times New Roman"/>
                <w:szCs w:val="24"/>
              </w:rPr>
            </w:pPr>
            <w:r w:rsidRPr="00B80509">
              <w:rPr>
                <w:rFonts w:cs="Times New Roman"/>
                <w:szCs w:val="24"/>
              </w:rPr>
              <w:t>IMA1-forward</w:t>
            </w:r>
          </w:p>
        </w:tc>
        <w:tc>
          <w:tcPr>
            <w:tcW w:w="4330" w:type="dxa"/>
            <w:noWrap/>
            <w:hideMark/>
          </w:tcPr>
          <w:p w14:paraId="04E9173F" w14:textId="77777777" w:rsidR="006141B7" w:rsidRPr="00B80509" w:rsidRDefault="006141B7" w:rsidP="006141B7">
            <w:pPr>
              <w:keepNext/>
              <w:rPr>
                <w:rFonts w:cs="Times New Roman"/>
                <w:szCs w:val="24"/>
              </w:rPr>
            </w:pPr>
            <w:r w:rsidRPr="00B80509">
              <w:rPr>
                <w:rFonts w:cs="Times New Roman"/>
                <w:szCs w:val="24"/>
              </w:rPr>
              <w:t>ATGTCTTTTGTCGCAAACTT</w:t>
            </w:r>
          </w:p>
        </w:tc>
        <w:tc>
          <w:tcPr>
            <w:tcW w:w="2690" w:type="dxa"/>
            <w:noWrap/>
            <w:hideMark/>
          </w:tcPr>
          <w:p w14:paraId="7D2D80EF" w14:textId="479F4A56"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{"citationItems":[{"id":"ITEM-1","itemData":{"DOI":"10.1101/2022.04.26.489524","abstract":"Iron (Fe) is an essential micronutrient for both plants and animals. Fe limitation significantly reduces crop yield and therefore has adverse impacts on human nutrition. Owing to limited bioavailability of Fe, plants have adapted different strategies that regulate Fe uptake and homeostasis. Particularly, modifications of root growth traits are a key for the survival of plants on Fe-deficient soils. Understanding the molecular basis for these root growth responses will have critical implications for plant breeding. Fe uptake is regulated by a cascade of basic helix-loop-helix (bHLH) transcription factors. In our study, we show that HY5 (Elongated Hypocotyl 5), a member of the basic leucine zipper (bZIP) family of transcription factors plays an important role in the Fe deficiency signalling pathway in Arabidopsis thaliana. The hy5 mutant plants failed to mount an optimum Fe deficiency response and showed severe root growth defects under Fe limitation that could be partially reverted by complementation of hy5 mutant. qRT-PCR analysis revealed that the induction of the genes involved in Fe uptake pathway [FER-like iron deficiency-induced transcription factor (FIT), Ferric Reduction Oxidase 2 (FRO2) and Iron-Regulated Transporter1 (IRT1)] is significantly reduced in the hy5 mutants as compared to the wild-type plants under Fe deficiency. Moreover, we also found that HY5 function is critical for activating the expression of coumarin biosynthesis genes (F6’H1, S8H, PDR9 and BGLU42) under Fe deficiency. Interestingly, our results showed that HY5 acts as a negative regulator of BRUTUS (BTS) which is known to negatively regulate Fe deficiency response. Chromatin Immunoprecipitation followed by qPCR revealed direct binding of HY5 to the promoter of BTS. Altogether, our results showed that HY5 plays an important role in regulation of Fe deficiency responses in Arabidopsis.Competing Interest StatementThe authors have declared no competing interest.","author":[{"dropping-particle":"","family":"Mankotia","given":"Samriti","non-dropping-particle":"","parse-names":false,"suffix":""},{"dropping-particle":"","family":"Singh","given":"Dhriti","non-dropping-particle":"","parse-names":false,"suffix":""},{"dropping-particle":"","family":"Monika","given":"Kumari","non-dropping-particle":"","parse-names":false,"suffix":""},{"dropping-particle":"","family":"Meena","given":"Himani","non-dropping-particle":"","parse-names":false,"suffix":""},{"dropping-particle":"","family":"Meena","given":"Varsha","non-dropping-particle":"","parse-names":false,"suffix":""},{"dropping-particle":"","family":"Yadav","given":"Ram Kishor","non-dropping-particle":"","parse-names":false,"suffix":""},{"dropping-particle":"","family":"Pandey","given":"Ajay Kumar","non-dropping-particle":"","parse-names":false,"suffix":""},{"dropping-particle":"","family":"Satbhai","given":"Santosh B","non-dropping-particle":"","parse-names":false,"suffix":""}],"container-title":"bioRxiv","id":"ITEM-1","issued":{"date-parts":[["2022","1","1"]]},"page":"2022.04.26.489524","title":"Elongated Hypocotyl 5 (HY5) regulates &amp;lt;em&amp;gt;BRUTUS&amp;lt;/em&amp;gt; (&amp;lt;em&amp;gt;BTS&amp;lt;/em&amp;gt;) to maintain Iron homeostasis in &amp;lt;em&amp;gt;Arabidopsis thaliana&amp;lt;/em&amp;gt;","type":"article-journal"},"uris":["http://www.mendeley.com/documents/?uuid=299c215f-b70b-4c72-96af-19407169c686"]}],"mendeley":{"formattedCitation":"(Mankotia et al., 2022)","plainTextFormattedCitation":"(Mankotia et al., 2022)"},"properties":{"noteIndex":0},"schema":"https://github.com/citation-style-language/schema/raw/master/csl-citation.json"}</w:instrText>
            </w:r>
            <w:r>
              <w:rPr>
                <w:rFonts w:cs="Times New Roman"/>
                <w:szCs w:val="24"/>
              </w:rPr>
              <w:fldChar w:fldCharType="separate"/>
            </w:r>
            <w:r w:rsidRPr="003D2204">
              <w:rPr>
                <w:rFonts w:cs="Times New Roman"/>
                <w:noProof/>
                <w:szCs w:val="24"/>
              </w:rPr>
              <w:t>(Mankotia et al., 2022)</w:t>
            </w:r>
            <w:r>
              <w:rPr>
                <w:rFonts w:cs="Times New Roman"/>
                <w:szCs w:val="24"/>
              </w:rPr>
              <w:fldChar w:fldCharType="end"/>
            </w:r>
          </w:p>
        </w:tc>
      </w:tr>
      <w:tr w:rsidR="006141B7" w:rsidRPr="00B80509" w14:paraId="4BE8F76A" w14:textId="77777777" w:rsidTr="00264AD2">
        <w:trPr>
          <w:trHeight w:val="288"/>
        </w:trPr>
        <w:tc>
          <w:tcPr>
            <w:tcW w:w="2695" w:type="dxa"/>
            <w:noWrap/>
            <w:hideMark/>
          </w:tcPr>
          <w:p w14:paraId="18BEE5AD" w14:textId="77777777" w:rsidR="006141B7" w:rsidRPr="00B80509" w:rsidRDefault="006141B7" w:rsidP="006141B7">
            <w:pPr>
              <w:keepNext/>
              <w:rPr>
                <w:rFonts w:cs="Times New Roman"/>
                <w:szCs w:val="24"/>
              </w:rPr>
            </w:pPr>
            <w:r w:rsidRPr="00B80509">
              <w:rPr>
                <w:rFonts w:cs="Times New Roman"/>
                <w:szCs w:val="24"/>
              </w:rPr>
              <w:t>IMA1-reverse</w:t>
            </w:r>
          </w:p>
        </w:tc>
        <w:tc>
          <w:tcPr>
            <w:tcW w:w="4330" w:type="dxa"/>
            <w:noWrap/>
            <w:hideMark/>
          </w:tcPr>
          <w:p w14:paraId="6E7DD48B" w14:textId="77777777" w:rsidR="006141B7" w:rsidRPr="00B80509" w:rsidRDefault="006141B7" w:rsidP="006141B7">
            <w:pPr>
              <w:keepNext/>
              <w:rPr>
                <w:rFonts w:cs="Times New Roman"/>
                <w:szCs w:val="24"/>
              </w:rPr>
            </w:pPr>
            <w:r w:rsidRPr="00B80509">
              <w:rPr>
                <w:rFonts w:cs="Times New Roman"/>
                <w:szCs w:val="24"/>
              </w:rPr>
              <w:t>CACCACCATTCTCACTATATG</w:t>
            </w:r>
          </w:p>
        </w:tc>
        <w:tc>
          <w:tcPr>
            <w:tcW w:w="2690" w:type="dxa"/>
            <w:noWrap/>
            <w:hideMark/>
          </w:tcPr>
          <w:p w14:paraId="6C4FC943" w14:textId="6F780F40"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{"citationItems":[{"id":"ITEM-1","itemData":{"DOI":"10.1101/2022.04.26.489524","abstract":"Iron (Fe) is an essential micronutrient for both plants and animals. Fe limitation significantly reduces crop yield and therefore has adverse impacts on human nutrition. Owing to limited bioavailability of Fe, plants have adapted different strategies that regulate Fe uptake and homeostasis. Particularly, modifications of root growth traits are a key for the survival of plants on Fe-deficient soils. Understanding the molecular basis for these root growth responses will have critical implications for plant breeding. Fe uptake is regulated by a cascade of basic helix-loop-helix (bHLH) transcription factors. In our study, we show that HY5 (Elongated Hypocotyl 5), a member of the basic leucine zipper (bZIP) family of transcription factors plays an important role in the Fe deficiency signalling pathway in Arabidopsis thaliana. The hy5 mutant plants failed to mount an optimum Fe deficiency response and showed severe root growth defects under Fe limitation that could be partially reverted by complementation of hy5 mutant. qRT-PCR analysis revealed that the induction of the genes involved in Fe uptake pathway [FER-like iron deficiency-induced transcription factor (FIT), Ferric Reduction Oxidase 2 (FRO2) and Iron-Regulated Transporter1 (IRT1)] is significantly reduced in the hy5 mutants as compared to the wild-type plants under Fe deficiency. Moreover, we also found that HY5 function is critical for activating the expression of coumarin biosynthesis genes (F6’H1, S8H, PDR9 and BGLU42) under Fe deficiency. Interestingly, our results showed that HY5 acts as a negative regulator of BRUTUS (BTS) which is known to negatively regulate Fe deficiency response. Chromatin Immunoprecipitation followed by qPCR revealed direct binding of HY5 to the promoter of BTS. Altogether, our results showed that HY5 plays an important role in regulation of Fe deficiency responses in Arabidopsis.Competing Interest StatementThe authors have declared no competing interest.","author":[{"dropping-particle":"","family":"Mankotia","given":"Samriti","non-dropping-particle":"","parse-names":false,"suffix":""},{"dropping-particle":"","family":"Singh","given":"Dhriti","non-dropping-particle":"","parse-names":false,"suffix":""},{"dropping-particle":"","family":"Monika","given":"Kumari","non-dropping-particle":"","parse-names":false,"suffix":""},{"dropping-particle":"","family":"Meena","given":"Himani","non-dropping-particle":"","parse-names":false,"suffix":""},{"dropping-particle":"","family":"Meena","given":"Varsha","non-dropping-particle":"","parse-names":false,"suffix":""},{"dropping-particle":"","family":"Yadav","given":"Ram Kishor","non-dropping-particle":"","parse-names":false,"suffix":""},{"dropping-particle":"","family":"Pandey","given":"Ajay Kumar","non-dropping-particle":"","parse-names":false,"suffix":""},{"dropping-particle":"","family":"Satbhai","given":"Santosh B","non-dropping-particle":"","parse-names":false,"suffix":""}],"container-title":"bioRxiv","id":"ITEM-1","issued":{"date-parts":[["2022","1","1"]]},"page":"2022.04.26.489524","title":"Elongated Hypocotyl 5 (HY5) regulates &amp;lt;em&amp;gt;BRUTUS&amp;lt;/em&amp;gt; (&amp;lt;em&amp;gt;BTS&amp;lt;/em&amp;gt;) to maintain Iron homeostasis in &amp;lt;em&amp;gt;Arabidopsis thaliana&amp;lt;/em&amp;gt;","type":"article-journal"},"uris":["http://www.mendeley.com/documents/?uuid=299c215f-b70b-4c72-96af-19407169c686"]}],"mendeley":{"formattedCitation":"(Mankotia et al., 2022)","plainTextFormattedCitation":"(Mankotia et al., 2022)"},"properties":{"noteIndex":0},"schema":"https://github.com/citation-style-language/schema/raw/master/csl-citation.json"}</w:instrText>
            </w:r>
            <w:r>
              <w:rPr>
                <w:rFonts w:cs="Times New Roman"/>
                <w:szCs w:val="24"/>
              </w:rPr>
              <w:fldChar w:fldCharType="separate"/>
            </w:r>
            <w:r w:rsidRPr="003D2204">
              <w:rPr>
                <w:rFonts w:cs="Times New Roman"/>
                <w:noProof/>
                <w:szCs w:val="24"/>
              </w:rPr>
              <w:t>(Mankotia et al., 2022)</w:t>
            </w:r>
            <w:r>
              <w:rPr>
                <w:rFonts w:cs="Times New Roman"/>
                <w:szCs w:val="24"/>
              </w:rPr>
              <w:fldChar w:fldCharType="end"/>
            </w:r>
          </w:p>
        </w:tc>
      </w:tr>
      <w:tr w:rsidR="006141B7" w:rsidRPr="00B80509" w14:paraId="4AB85790" w14:textId="77777777" w:rsidTr="00264AD2">
        <w:trPr>
          <w:trHeight w:val="288"/>
        </w:trPr>
        <w:tc>
          <w:tcPr>
            <w:tcW w:w="2695" w:type="dxa"/>
            <w:noWrap/>
            <w:hideMark/>
          </w:tcPr>
          <w:p w14:paraId="436882E3" w14:textId="77777777" w:rsidR="006141B7" w:rsidRPr="00B80509" w:rsidRDefault="006141B7" w:rsidP="006141B7">
            <w:pPr>
              <w:keepNext/>
              <w:rPr>
                <w:rFonts w:cs="Times New Roman"/>
                <w:szCs w:val="24"/>
              </w:rPr>
            </w:pPr>
            <w:r w:rsidRPr="00B80509">
              <w:rPr>
                <w:rFonts w:cs="Times New Roman"/>
                <w:szCs w:val="24"/>
              </w:rPr>
              <w:t>BTSL1-forward</w:t>
            </w:r>
          </w:p>
        </w:tc>
        <w:tc>
          <w:tcPr>
            <w:tcW w:w="4330" w:type="dxa"/>
            <w:noWrap/>
            <w:hideMark/>
          </w:tcPr>
          <w:p w14:paraId="1B720F17" w14:textId="77777777" w:rsidR="006141B7" w:rsidRPr="00B80509" w:rsidRDefault="006141B7" w:rsidP="006141B7">
            <w:pPr>
              <w:keepNext/>
              <w:rPr>
                <w:rFonts w:cs="Times New Roman"/>
                <w:szCs w:val="24"/>
              </w:rPr>
            </w:pPr>
            <w:r w:rsidRPr="00B80509">
              <w:rPr>
                <w:rFonts w:cs="Times New Roman"/>
                <w:szCs w:val="24"/>
              </w:rPr>
              <w:t>GGCAATGAAGATGGATTTGG</w:t>
            </w:r>
          </w:p>
        </w:tc>
        <w:tc>
          <w:tcPr>
            <w:tcW w:w="2690" w:type="dxa"/>
            <w:noWrap/>
            <w:hideMark/>
          </w:tcPr>
          <w:p w14:paraId="01B9A9EB" w14:textId="25C91940"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{"citationItems":[{"id":"ITEM-1","itemData":{"DOI":"10.1101/2022.04.26.489524","abstract":"Iron (Fe) is an essential micronutrient for both plants and animals. Fe limitation significantly reduces crop yield and therefore has adverse impacts on human nutrition. Owing to limited bioavailability of Fe, plants have adapted different strategies that regulate Fe uptake and homeostasis. Particularly, modifications of root growth traits are a key for the survival of plants on Fe-deficient soils. Understanding the molecular basis for these root growth responses will have critical implications for plant breeding. Fe uptake is regulated by a cascade of basic helix-loop-helix (bHLH) transcription factors. In our study, we show that HY5 (Elongated Hypocotyl 5), a member of the basic leucine zipper (bZIP) family of transcription factors plays an important role in the Fe deficiency signalling pathway in Arabidopsis thaliana. The hy5 mutant plants failed to mount an optimum Fe deficiency response and showed severe root growth defects under Fe limitation that could be partially reverted by complementation of hy5 mutant. qRT-PCR analysis revealed that the induction of the genes involved in Fe uptake pathway [FER-like iron deficiency-induced transcription factor (FIT), Ferric Reduction Oxidase 2 (FRO2) and Iron-Regulated Transporter1 (IRT1)] is significantly reduced in the hy5 mutants as compared to the wild-type plants under Fe deficiency. Moreover, we also found that HY5 function is critical for activating the expression of coumarin biosynthesis genes (F6’H1, S8H, PDR9 and BGLU42) under Fe deficiency. Interestingly, our results showed that HY5 acts as a negative regulator of BRUTUS (BTS) which is known to negatively regulate Fe deficiency response. Chromatin Immunoprecipitation followed by qPCR revealed direct binding of HY5 to the promoter of BTS. Altogether, our results showed that HY5 plays an important role in regulation of Fe deficiency responses in Arabidopsis.Competing Interest StatementThe authors have declared no competing interest.","author":[{"dropping-particle":"","family":"Mankotia","given":"Samriti","non-dropping-particle":"","parse-names":false,"suffix":""},{"dropping-particle":"","family":"Singh","given":"Dhriti","non-dropping-particle":"","parse-names":false,"suffix":""},{"dropping-particle":"","family":"Monika","given":"Kumari","non-dropping-particle":"","parse-names":false,"suffix":""},{"dropping-particle":"","family":"Meena","given":"Himani","non-dropping-particle":"","parse-names":false,"suffix":""},{"dropping-particle":"","family":"Meena","given":"Varsha","non-dropping-particle":"","parse-names":false,"suffix":""},{"dropping-particle":"","family":"Yadav","given":"Ram Kishor","non-dropping-particle":"","parse-names":false,"suffix":""},{"dropping-particle":"","family":"Pandey","given":"Ajay Kumar","non-dropping-particle":"","parse-names":false,"suffix":""},{"dropping-particle":"","family":"Satbhai","given":"Santosh B","non-dropping-particle":"","parse-names":false,"suffix":""}],"container-title":"bioRxiv","id":"ITEM-1","issued":{"date-parts":[["2022","1","1"]]},"page":"2022.04.26.489524","title":"Elongated Hypocotyl 5 (HY5) regulates &amp;lt;em&amp;gt;BRUTUS&amp;lt;/em&amp;gt; (&amp;lt;em&amp;gt;BTS&amp;lt;/em&amp;gt;) to maintain Iron homeostasis in &amp;lt;em&amp;gt;Arabidopsis thaliana&amp;lt;/em&amp;gt;","type":"article-journal"},"uris":["http://www.mendeley.com/documents/?uuid=299c215f-b70b-4c72-96af-19407169c686"]}],"mendeley":{"formattedCitation":"(Mankotia et al., 2022)","plainTextFormattedCitation":"(Mankotia et al., 2022)"},"properties":{"noteIndex":0},"schema":"https://github.com/citation-style-language/schema/raw/master/csl-citation.json"}</w:instrText>
            </w:r>
            <w:r>
              <w:rPr>
                <w:rFonts w:cs="Times New Roman"/>
                <w:szCs w:val="24"/>
              </w:rPr>
              <w:fldChar w:fldCharType="separate"/>
            </w:r>
            <w:r w:rsidRPr="003D2204">
              <w:rPr>
                <w:rFonts w:cs="Times New Roman"/>
                <w:noProof/>
                <w:szCs w:val="24"/>
              </w:rPr>
              <w:t>(Mankotia et al., 2022)</w:t>
            </w:r>
            <w:r>
              <w:rPr>
                <w:rFonts w:cs="Times New Roman"/>
                <w:szCs w:val="24"/>
              </w:rPr>
              <w:fldChar w:fldCharType="end"/>
            </w:r>
          </w:p>
        </w:tc>
      </w:tr>
      <w:tr w:rsidR="006141B7" w:rsidRPr="00B80509" w14:paraId="71B5714C" w14:textId="77777777" w:rsidTr="00264AD2">
        <w:trPr>
          <w:trHeight w:val="288"/>
        </w:trPr>
        <w:tc>
          <w:tcPr>
            <w:tcW w:w="2695" w:type="dxa"/>
            <w:noWrap/>
            <w:hideMark/>
          </w:tcPr>
          <w:p w14:paraId="1D041C30" w14:textId="77777777" w:rsidR="006141B7" w:rsidRPr="00B80509" w:rsidRDefault="006141B7" w:rsidP="006141B7">
            <w:pPr>
              <w:keepNext/>
              <w:rPr>
                <w:rFonts w:cs="Times New Roman"/>
                <w:szCs w:val="24"/>
              </w:rPr>
            </w:pPr>
            <w:r w:rsidRPr="00B80509">
              <w:rPr>
                <w:rFonts w:cs="Times New Roman"/>
                <w:szCs w:val="24"/>
              </w:rPr>
              <w:t>BTSL1-reverse</w:t>
            </w:r>
          </w:p>
        </w:tc>
        <w:tc>
          <w:tcPr>
            <w:tcW w:w="4330" w:type="dxa"/>
            <w:noWrap/>
            <w:hideMark/>
          </w:tcPr>
          <w:p w14:paraId="41BA24FF" w14:textId="77777777" w:rsidR="006141B7" w:rsidRPr="00B80509" w:rsidRDefault="006141B7" w:rsidP="006141B7">
            <w:pPr>
              <w:keepNext/>
              <w:rPr>
                <w:rFonts w:cs="Times New Roman"/>
                <w:szCs w:val="24"/>
              </w:rPr>
            </w:pPr>
            <w:r w:rsidRPr="00B80509">
              <w:rPr>
                <w:rFonts w:cs="Times New Roman"/>
                <w:szCs w:val="24"/>
              </w:rPr>
              <w:t>TCATATGGAACCGTTGCTGA</w:t>
            </w:r>
          </w:p>
        </w:tc>
        <w:tc>
          <w:tcPr>
            <w:tcW w:w="2690" w:type="dxa"/>
            <w:noWrap/>
            <w:hideMark/>
          </w:tcPr>
          <w:p w14:paraId="1D2A1006" w14:textId="1023345C" w:rsidR="006141B7" w:rsidRPr="00B80509" w:rsidRDefault="006141B7" w:rsidP="006141B7">
            <w:pPr>
              <w:keepNext/>
              <w:rPr>
                <w:rFonts w:cs="Times New Roman"/>
                <w:szCs w:val="24"/>
              </w:rPr>
            </w:pPr>
            <w:r>
              <w:rPr>
                <w:rFonts w:cs="Times New Roman"/>
                <w:szCs w:val="24"/>
              </w:rPr>
              <w:fldChar w:fldCharType="begin" w:fldLock="1"/>
            </w:r>
            <w:r>
              <w:rPr>
                <w:rFonts w:cs="Times New Roman"/>
                <w:szCs w:val="24"/>
              </w:rPr>
              <w:instrText>ADDIN CSL_CITATION {"citationItems":[{"id":"ITEM-1","itemData":{"DOI":"10.1101/2022.04.26.489524","abstract":"Iron (Fe) is an essential micronutrient for both plants and animals. Fe limitation significantly reduces crop yield and therefore has adverse impacts on human nutrition. Owing to limited bioavailability of Fe, plants have adapted different strategies that regulate Fe uptake and homeostasis. Particularly, modifications of root growth traits are a key for the survival of plants on Fe-deficient soils. Understanding the molecular basis for these root growth responses will have critical implications for plant breeding. Fe uptake is regulated by a cascade of basic helix-loop-helix (bHLH) transcription factors. In our study, we show that HY5 (Elongated Hypocotyl 5), a member of the basic leucine zipper (bZIP) family of transcription factors plays an important role in the Fe deficiency signalling pathway in Arabidopsis thaliana. The hy5 mutant plants failed to mount an optimum Fe deficiency response and showed severe root growth defects under Fe limitation that could be partially reverted by complementation of hy5 mutant. qRT-PCR analysis revealed that the induction of the genes involved in Fe uptake pathway [FER-like iron deficiency-induced transcription factor (FIT), Ferric Reduction Oxidase 2 (FRO2) and Iron-Regulated Transporter1 (IRT1)] is significantly reduced in the hy5 mutants as compared to the wild-type plants under Fe deficiency. Moreover, we also found that HY5 function is critical for activating the expression of coumarin biosynthesis genes (F6’H1, S8H, PDR9 and BGLU42) under Fe deficiency. Interestingly, our results showed that HY5 acts as a negative regulator of BRUTUS (BTS) which is known to negatively regulate Fe deficiency response. Chromatin Immunoprecipitation followed by qPCR revealed direct binding of HY5 to the promoter of BTS. Altogether, our results showed that HY5 plays an important role in regulation of Fe deficiency responses in Arabidopsis.Competing Interest StatementThe authors have declared no competing interest.","author":[{"dropping-particle":"","family":"Mankotia","given":"Samriti","non-dropping-particle":"","parse-names":false,"suffix":""},{"dropping-particle":"","family":"Singh","given":"Dhriti","non-dropping-particle":"","parse-names":false,"suffix":""},{"dropping-particle":"","family":"Monika","given":"Kumari","non-dropping-particle":"","parse-names":false,"suffix":""},{"dropping-particle":"","family":"Meena","given":"Himani","non-dropping-particle":"","parse-names":false,"suffix":""},{"dropping-particle":"","family":"Meena","given":"Varsha","non-dropping-particle":"","parse-names":false,"suffix":""},{"dropping-particle":"","family":"Yadav","given":"Ram Kishor","non-dropping-particle":"","parse-names":false,"suffix":""},{"dropping-particle":"","family":"Pandey","given":"Ajay Kumar","non-dropping-particle":"","parse-names":false,"suffix":""},{"dropping-particle":"","family":"Satbhai","given":"Santosh B","non-dropping-particle":"","parse-names":false,"suffix":""}],"container-title":"bioRxiv","id":"ITEM-1","issued":{"date-parts":[["2022","1","1"]]},"page":"2022.04.26.489524","title":"Elongated Hypocotyl 5 (HY5) regulates &amp;lt;em&amp;gt;BRUTUS&amp;lt;/em&amp;gt; (&amp;lt;em&amp;gt;BTS&amp;lt;/em&amp;gt;) to maintain Iron homeostasis in &amp;lt;em&amp;gt;Arabidopsis thaliana&amp;lt;/em&amp;gt;","type":"article-journal"},"uris":["http://www.mendeley.com/documents/?uuid=299c215f-b70b-4c72-96af-19407169c686"]}],"mendeley":{"formattedCitation":"(Mankotia et al., 2022)","plainTextFormattedCitation":"(Mankotia et al., 2022)"},"properties":{"noteIndex":0},"schema":"https://github.com/citation-style-language/schema/raw/master/csl-citation.json"}</w:instrText>
            </w:r>
            <w:r>
              <w:rPr>
                <w:rFonts w:cs="Times New Roman"/>
                <w:szCs w:val="24"/>
              </w:rPr>
              <w:fldChar w:fldCharType="separate"/>
            </w:r>
            <w:r w:rsidRPr="003D2204">
              <w:rPr>
                <w:rFonts w:cs="Times New Roman"/>
                <w:noProof/>
                <w:szCs w:val="24"/>
              </w:rPr>
              <w:t>(Mankotia et al., 2022)</w:t>
            </w:r>
            <w:r>
              <w:rPr>
                <w:rFonts w:cs="Times New Roman"/>
                <w:szCs w:val="24"/>
              </w:rPr>
              <w:fldChar w:fldCharType="end"/>
            </w:r>
          </w:p>
        </w:tc>
      </w:tr>
    </w:tbl>
    <w:p w14:paraId="52B2081B" w14:textId="50854FA2" w:rsidR="00C513DE" w:rsidRDefault="00C513DE" w:rsidP="00004B47">
      <w:pPr>
        <w:keepNext/>
        <w:rPr>
          <w:rFonts w:cs="Times New Roman"/>
          <w:szCs w:val="24"/>
        </w:rPr>
      </w:pPr>
    </w:p>
    <w:p w14:paraId="254CE2E7" w14:textId="77777777" w:rsidR="00C513DE" w:rsidRDefault="00C513DE">
      <w:pPr>
        <w:spacing w:before="0" w:after="200" w:line="276" w:lineRule="auto"/>
        <w:rPr>
          <w:rFonts w:cs="Times New Roman"/>
          <w:szCs w:val="24"/>
        </w:rPr>
      </w:pPr>
      <w:r>
        <w:rPr>
          <w:rFonts w:cs="Times New Roman"/>
          <w:szCs w:val="24"/>
        </w:rPr>
        <w:br w:type="page"/>
      </w:r>
    </w:p>
    <w:p w14:paraId="5D819D88" w14:textId="7AA6C156" w:rsidR="00C513DE" w:rsidRDefault="00C513DE" w:rsidP="00004B47">
      <w:pPr>
        <w:keepNext/>
        <w:rPr>
          <w:rFonts w:cs="Times New Roman"/>
          <w:szCs w:val="24"/>
        </w:rPr>
      </w:pPr>
      <w:r>
        <w:rPr>
          <w:rFonts w:cs="Times New Roman"/>
          <w:b/>
          <w:bCs/>
          <w:szCs w:val="24"/>
        </w:rPr>
        <w:lastRenderedPageBreak/>
        <w:t xml:space="preserve">Supplementary Table 2. </w:t>
      </w:r>
      <w:r w:rsidR="00E222E5">
        <w:rPr>
          <w:rFonts w:cs="Times New Roman"/>
          <w:szCs w:val="24"/>
        </w:rPr>
        <w:t xml:space="preserve">List of GO terms for Fe upregulated genes that </w:t>
      </w:r>
      <w:r w:rsidR="00060E06">
        <w:rPr>
          <w:rFonts w:cs="Times New Roman"/>
          <w:szCs w:val="24"/>
        </w:rPr>
        <w:t>have rapid response</w:t>
      </w:r>
      <w:r w:rsidR="00E222E5">
        <w:rPr>
          <w:rFonts w:cs="Times New Roman"/>
          <w:szCs w:val="24"/>
        </w:rPr>
        <w:t xml:space="preserve"> to Fe resupply</w:t>
      </w:r>
    </w:p>
    <w:tbl>
      <w:tblPr>
        <w:tblStyle w:val="PlainTable1"/>
        <w:tblW w:w="0" w:type="auto"/>
        <w:tblLook w:val="04A0" w:firstRow="1" w:lastRow="0" w:firstColumn="1" w:lastColumn="0" w:noHBand="0" w:noVBand="1"/>
      </w:tblPr>
      <w:tblGrid>
        <w:gridCol w:w="4881"/>
        <w:gridCol w:w="701"/>
        <w:gridCol w:w="500"/>
        <w:gridCol w:w="1083"/>
        <w:gridCol w:w="1485"/>
        <w:gridCol w:w="1117"/>
      </w:tblGrid>
      <w:tr w:rsidR="00195017" w:rsidRPr="00406E33" w14:paraId="57B7E3B7" w14:textId="77777777" w:rsidTr="00195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hideMark/>
          </w:tcPr>
          <w:p w14:paraId="04598CDC" w14:textId="779E8884" w:rsidR="006A42D6" w:rsidRPr="00406E33" w:rsidRDefault="006A42D6" w:rsidP="00406E33">
            <w:pPr>
              <w:keepNext/>
              <w:rPr>
                <w:rFonts w:cs="Times New Roman"/>
                <w:szCs w:val="24"/>
              </w:rPr>
            </w:pPr>
            <w:r w:rsidRPr="00406E33">
              <w:rPr>
                <w:rFonts w:cs="Times New Roman"/>
                <w:szCs w:val="24"/>
              </w:rPr>
              <w:t>GO biological process complete</w:t>
            </w:r>
          </w:p>
        </w:tc>
        <w:tc>
          <w:tcPr>
            <w:tcW w:w="716" w:type="dxa"/>
            <w:noWrap/>
            <w:hideMark/>
          </w:tcPr>
          <w:p w14:paraId="7A7D90FC" w14:textId="6D78122F" w:rsidR="006A42D6" w:rsidRPr="00406E33" w:rsidRDefault="006A42D6" w:rsidP="00406E33">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406E33">
              <w:rPr>
                <w:rFonts w:cs="Times New Roman"/>
                <w:szCs w:val="24"/>
              </w:rPr>
              <w:t>#</w:t>
            </w:r>
          </w:p>
        </w:tc>
        <w:tc>
          <w:tcPr>
            <w:tcW w:w="509" w:type="dxa"/>
            <w:noWrap/>
            <w:hideMark/>
          </w:tcPr>
          <w:p w14:paraId="3E30152C" w14:textId="48FAC429" w:rsidR="006A42D6" w:rsidRPr="00406E33" w:rsidRDefault="006A42D6" w:rsidP="00406E33">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406E33">
              <w:rPr>
                <w:rFonts w:cs="Times New Roman"/>
                <w:szCs w:val="24"/>
              </w:rPr>
              <w:t>#</w:t>
            </w:r>
          </w:p>
        </w:tc>
        <w:tc>
          <w:tcPr>
            <w:tcW w:w="0" w:type="auto"/>
            <w:noWrap/>
            <w:hideMark/>
          </w:tcPr>
          <w:p w14:paraId="55A91C1D" w14:textId="029CC7D1" w:rsidR="006A42D6" w:rsidRPr="00406E33" w:rsidRDefault="006A42D6" w:rsidP="00406E33">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406E33">
              <w:rPr>
                <w:rFonts w:cs="Times New Roman"/>
                <w:szCs w:val="24"/>
              </w:rPr>
              <w:t>expected</w:t>
            </w:r>
          </w:p>
        </w:tc>
        <w:tc>
          <w:tcPr>
            <w:tcW w:w="1523" w:type="dxa"/>
            <w:noWrap/>
            <w:hideMark/>
          </w:tcPr>
          <w:p w14:paraId="53A86A49" w14:textId="18830437" w:rsidR="006A42D6" w:rsidRPr="00406E33" w:rsidRDefault="006A42D6" w:rsidP="00406E33">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406E33">
              <w:rPr>
                <w:rFonts w:cs="Times New Roman"/>
                <w:szCs w:val="24"/>
              </w:rPr>
              <w:t>Fold Enrichment</w:t>
            </w:r>
          </w:p>
        </w:tc>
        <w:tc>
          <w:tcPr>
            <w:tcW w:w="1144" w:type="dxa"/>
            <w:noWrap/>
            <w:hideMark/>
          </w:tcPr>
          <w:p w14:paraId="1A0F4ADE" w14:textId="6E8C5967" w:rsidR="006A42D6" w:rsidRPr="00406E33" w:rsidRDefault="006A42D6" w:rsidP="00406E33">
            <w:pPr>
              <w:keepNext/>
              <w:cnfStyle w:val="100000000000" w:firstRow="1" w:lastRow="0" w:firstColumn="0" w:lastColumn="0" w:oddVBand="0" w:evenVBand="0" w:oddHBand="0" w:evenHBand="0" w:firstRowFirstColumn="0" w:firstRowLastColumn="0" w:lastRowFirstColumn="0" w:lastRowLastColumn="0"/>
              <w:rPr>
                <w:rFonts w:cs="Times New Roman"/>
                <w:szCs w:val="24"/>
              </w:rPr>
            </w:pPr>
            <w:r w:rsidRPr="00406E33">
              <w:rPr>
                <w:rFonts w:cs="Times New Roman"/>
                <w:szCs w:val="24"/>
              </w:rPr>
              <w:t>P value</w:t>
            </w:r>
          </w:p>
        </w:tc>
      </w:tr>
      <w:tr w:rsidR="00195017" w:rsidRPr="00406E33" w14:paraId="1C48D8AD"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noWrap/>
            <w:hideMark/>
          </w:tcPr>
          <w:p w14:paraId="44A7BEBE" w14:textId="595AABC9" w:rsidR="006A42D6" w:rsidRPr="00406E33" w:rsidRDefault="006A42D6" w:rsidP="00406E33">
            <w:pPr>
              <w:keepNext/>
              <w:rPr>
                <w:rFonts w:cs="Times New Roman"/>
                <w:szCs w:val="24"/>
              </w:rPr>
            </w:pPr>
            <w:r w:rsidRPr="00406E33">
              <w:rPr>
                <w:rFonts w:cs="Times New Roman"/>
                <w:szCs w:val="24"/>
              </w:rPr>
              <w:t>cellular response to iron ion starvation</w:t>
            </w:r>
          </w:p>
        </w:tc>
        <w:tc>
          <w:tcPr>
            <w:tcW w:w="716" w:type="dxa"/>
            <w:noWrap/>
            <w:hideMark/>
          </w:tcPr>
          <w:p w14:paraId="724D6200" w14:textId="79872B5F" w:rsidR="006A42D6" w:rsidRPr="00406E33" w:rsidRDefault="006A42D6" w:rsidP="006A42D6">
            <w:pPr>
              <w:keepNext/>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06E33">
              <w:rPr>
                <w:rFonts w:cs="Times New Roman"/>
                <w:szCs w:val="24"/>
              </w:rPr>
              <w:t>8</w:t>
            </w:r>
          </w:p>
        </w:tc>
        <w:tc>
          <w:tcPr>
            <w:tcW w:w="509" w:type="dxa"/>
            <w:noWrap/>
            <w:hideMark/>
          </w:tcPr>
          <w:p w14:paraId="1DB5982F" w14:textId="48288092" w:rsidR="006A42D6" w:rsidRPr="00406E33" w:rsidRDefault="006A42D6" w:rsidP="006A42D6">
            <w:pPr>
              <w:keepNext/>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06E33">
              <w:rPr>
                <w:rFonts w:cs="Times New Roman"/>
                <w:szCs w:val="24"/>
              </w:rPr>
              <w:t>5</w:t>
            </w:r>
          </w:p>
        </w:tc>
        <w:tc>
          <w:tcPr>
            <w:tcW w:w="0" w:type="auto"/>
            <w:noWrap/>
            <w:hideMark/>
          </w:tcPr>
          <w:p w14:paraId="5A9BF20E" w14:textId="4AD424BB" w:rsidR="006A42D6" w:rsidRPr="00406E33" w:rsidRDefault="006A42D6" w:rsidP="006A42D6">
            <w:pPr>
              <w:keepNext/>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06E33">
              <w:rPr>
                <w:rFonts w:cs="Times New Roman"/>
                <w:szCs w:val="24"/>
              </w:rPr>
              <w:t>.0</w:t>
            </w:r>
            <w:r w:rsidR="00B04B89">
              <w:rPr>
                <w:rFonts w:cs="Times New Roman"/>
                <w:szCs w:val="24"/>
              </w:rPr>
              <w:t>3</w:t>
            </w:r>
          </w:p>
        </w:tc>
        <w:tc>
          <w:tcPr>
            <w:tcW w:w="1523" w:type="dxa"/>
            <w:noWrap/>
            <w:hideMark/>
          </w:tcPr>
          <w:p w14:paraId="2BA1D8A8" w14:textId="77777777" w:rsidR="006A42D6" w:rsidRPr="00406E33" w:rsidRDefault="006A42D6" w:rsidP="006A42D6">
            <w:pPr>
              <w:keepNext/>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06E33">
              <w:rPr>
                <w:rFonts w:cs="Times New Roman"/>
                <w:szCs w:val="24"/>
              </w:rPr>
              <w:t>&gt; 100</w:t>
            </w:r>
          </w:p>
        </w:tc>
        <w:tc>
          <w:tcPr>
            <w:tcW w:w="1144" w:type="dxa"/>
            <w:noWrap/>
            <w:hideMark/>
          </w:tcPr>
          <w:p w14:paraId="002B6831" w14:textId="436FE846" w:rsidR="006A42D6" w:rsidRPr="00406E33" w:rsidRDefault="006A42D6" w:rsidP="00406E33">
            <w:pPr>
              <w:keepNext/>
              <w:cnfStyle w:val="000000100000" w:firstRow="0" w:lastRow="0" w:firstColumn="0" w:lastColumn="0" w:oddVBand="0" w:evenVBand="0" w:oddHBand="1" w:evenHBand="0" w:firstRowFirstColumn="0" w:firstRowLastColumn="0" w:lastRowFirstColumn="0" w:lastRowLastColumn="0"/>
              <w:rPr>
                <w:rFonts w:cs="Times New Roman"/>
                <w:szCs w:val="24"/>
              </w:rPr>
            </w:pPr>
            <w:r w:rsidRPr="00406E33">
              <w:rPr>
                <w:rFonts w:cs="Times New Roman"/>
                <w:szCs w:val="24"/>
              </w:rPr>
              <w:t>3.</w:t>
            </w:r>
            <w:r w:rsidR="00B04B89">
              <w:rPr>
                <w:rFonts w:cs="Times New Roman"/>
                <w:szCs w:val="24"/>
              </w:rPr>
              <w:t>09</w:t>
            </w:r>
            <w:r w:rsidRPr="00406E33">
              <w:rPr>
                <w:rFonts w:cs="Times New Roman"/>
                <w:szCs w:val="24"/>
              </w:rPr>
              <w:t>E-0</w:t>
            </w:r>
            <w:r w:rsidR="00B04B89">
              <w:rPr>
                <w:rFonts w:cs="Times New Roman"/>
                <w:szCs w:val="24"/>
              </w:rPr>
              <w:t>6</w:t>
            </w:r>
          </w:p>
        </w:tc>
      </w:tr>
      <w:tr w:rsidR="00195017" w14:paraId="4646F358" w14:textId="77777777" w:rsidTr="00195017">
        <w:tc>
          <w:tcPr>
            <w:cnfStyle w:val="001000000000" w:firstRow="0" w:lastRow="0" w:firstColumn="1" w:lastColumn="0" w:oddVBand="0" w:evenVBand="0" w:oddHBand="0" w:evenHBand="0" w:firstRowFirstColumn="0" w:firstRowLastColumn="0" w:lastRowFirstColumn="0" w:lastRowLastColumn="0"/>
            <w:tcW w:w="4767" w:type="dxa"/>
            <w:noWrap/>
            <w:hideMark/>
          </w:tcPr>
          <w:p w14:paraId="3566CB8D" w14:textId="0DFE3BED" w:rsidR="006A42D6" w:rsidRPr="008C1920" w:rsidRDefault="006A42D6">
            <w:pPr>
              <w:spacing w:before="0" w:after="0"/>
              <w:rPr>
                <w:rFonts w:cs="Times New Roman"/>
                <w:szCs w:val="24"/>
              </w:rPr>
            </w:pPr>
            <w:r w:rsidRPr="008C1920">
              <w:rPr>
                <w:rFonts w:cs="Times New Roman"/>
                <w:szCs w:val="24"/>
              </w:rPr>
              <w:t>regulation of iron ion transport</w:t>
            </w:r>
          </w:p>
        </w:tc>
        <w:tc>
          <w:tcPr>
            <w:tcW w:w="716" w:type="dxa"/>
            <w:noWrap/>
            <w:hideMark/>
          </w:tcPr>
          <w:p w14:paraId="439BB9D6" w14:textId="5572209B"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06CB">
              <w:rPr>
                <w:rFonts w:cs="Times New Roman"/>
                <w:szCs w:val="24"/>
              </w:rPr>
              <w:t>7</w:t>
            </w:r>
          </w:p>
        </w:tc>
        <w:tc>
          <w:tcPr>
            <w:tcW w:w="509" w:type="dxa"/>
            <w:noWrap/>
            <w:hideMark/>
          </w:tcPr>
          <w:p w14:paraId="483529DF" w14:textId="0ADF61CA"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06CB">
              <w:rPr>
                <w:rFonts w:cs="Times New Roman"/>
                <w:szCs w:val="24"/>
              </w:rPr>
              <w:t>3</w:t>
            </w:r>
          </w:p>
        </w:tc>
        <w:tc>
          <w:tcPr>
            <w:tcW w:w="0" w:type="auto"/>
            <w:noWrap/>
            <w:hideMark/>
          </w:tcPr>
          <w:p w14:paraId="3A9435C4" w14:textId="3924352D"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C1920">
              <w:rPr>
                <w:rFonts w:cs="Times New Roman"/>
                <w:szCs w:val="24"/>
              </w:rPr>
              <w:t>.0</w:t>
            </w:r>
            <w:r w:rsidR="00B04B89">
              <w:rPr>
                <w:rFonts w:cs="Times New Roman"/>
                <w:szCs w:val="24"/>
              </w:rPr>
              <w:t>3</w:t>
            </w:r>
          </w:p>
        </w:tc>
        <w:tc>
          <w:tcPr>
            <w:tcW w:w="1523" w:type="dxa"/>
            <w:noWrap/>
            <w:hideMark/>
          </w:tcPr>
          <w:p w14:paraId="62DF6D4D" w14:textId="77777777"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C1920">
              <w:rPr>
                <w:rFonts w:cs="Times New Roman"/>
                <w:szCs w:val="24"/>
              </w:rPr>
              <w:t>&gt; 100</w:t>
            </w:r>
          </w:p>
        </w:tc>
        <w:tc>
          <w:tcPr>
            <w:tcW w:w="1144" w:type="dxa"/>
            <w:noWrap/>
            <w:hideMark/>
          </w:tcPr>
          <w:p w14:paraId="7ED82D18" w14:textId="5F3BD1DF" w:rsidR="006A42D6" w:rsidRPr="008C1920" w:rsidRDefault="00B04B8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2.05</w:t>
            </w:r>
            <w:r w:rsidR="006A42D6" w:rsidRPr="008C1920">
              <w:rPr>
                <w:rFonts w:cs="Times New Roman"/>
                <w:szCs w:val="24"/>
              </w:rPr>
              <w:t>E-0</w:t>
            </w:r>
            <w:r>
              <w:rPr>
                <w:rFonts w:cs="Times New Roman"/>
                <w:szCs w:val="24"/>
              </w:rPr>
              <w:t>2</w:t>
            </w:r>
          </w:p>
        </w:tc>
      </w:tr>
      <w:tr w:rsidR="00195017" w14:paraId="29EDF591"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noWrap/>
            <w:hideMark/>
          </w:tcPr>
          <w:p w14:paraId="450DAB4B" w14:textId="7B3B6B1F" w:rsidR="006A42D6" w:rsidRPr="008C1920" w:rsidRDefault="006A42D6">
            <w:pPr>
              <w:spacing w:before="0" w:after="0"/>
              <w:rPr>
                <w:rFonts w:cs="Times New Roman"/>
                <w:szCs w:val="24"/>
              </w:rPr>
            </w:pPr>
            <w:r w:rsidRPr="006A42D6">
              <w:rPr>
                <w:rFonts w:cs="Times New Roman"/>
                <w:szCs w:val="24"/>
              </w:rPr>
              <w:t>response to iron ion starvation</w:t>
            </w:r>
          </w:p>
        </w:tc>
        <w:tc>
          <w:tcPr>
            <w:tcW w:w="716" w:type="dxa"/>
            <w:noWrap/>
            <w:hideMark/>
          </w:tcPr>
          <w:p w14:paraId="3871388F" w14:textId="690C2E4B" w:rsidR="006A42D6" w:rsidRPr="008C1920" w:rsidRDefault="006A42D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06CB">
              <w:rPr>
                <w:rFonts w:cs="Times New Roman"/>
                <w:szCs w:val="24"/>
              </w:rPr>
              <w:t>16</w:t>
            </w:r>
          </w:p>
        </w:tc>
        <w:tc>
          <w:tcPr>
            <w:tcW w:w="509" w:type="dxa"/>
            <w:noWrap/>
            <w:hideMark/>
          </w:tcPr>
          <w:p w14:paraId="6A939765" w14:textId="7C2BA54C" w:rsidR="006A42D6" w:rsidRPr="008C192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w:t>
            </w:r>
          </w:p>
        </w:tc>
        <w:tc>
          <w:tcPr>
            <w:tcW w:w="0" w:type="auto"/>
            <w:noWrap/>
            <w:hideMark/>
          </w:tcPr>
          <w:p w14:paraId="3B23E88A" w14:textId="637F04EE" w:rsidR="006A42D6" w:rsidRPr="008C1920" w:rsidRDefault="006A42D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C1920">
              <w:rPr>
                <w:rFonts w:cs="Times New Roman"/>
                <w:szCs w:val="24"/>
              </w:rPr>
              <w:t>.0</w:t>
            </w:r>
            <w:r w:rsidR="00B04B89">
              <w:rPr>
                <w:rFonts w:cs="Times New Roman"/>
                <w:szCs w:val="24"/>
              </w:rPr>
              <w:t>6</w:t>
            </w:r>
          </w:p>
        </w:tc>
        <w:tc>
          <w:tcPr>
            <w:tcW w:w="1523" w:type="dxa"/>
            <w:noWrap/>
            <w:hideMark/>
          </w:tcPr>
          <w:p w14:paraId="6B9CD0B8" w14:textId="5EC628ED" w:rsidR="006A42D6" w:rsidRPr="008C192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64.09</w:t>
            </w:r>
          </w:p>
        </w:tc>
        <w:tc>
          <w:tcPr>
            <w:tcW w:w="1144" w:type="dxa"/>
            <w:noWrap/>
            <w:hideMark/>
          </w:tcPr>
          <w:p w14:paraId="7005CF48" w14:textId="5462AC4C" w:rsidR="006A42D6" w:rsidRPr="008C192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3.04</w:t>
            </w:r>
            <w:r w:rsidR="006A42D6" w:rsidRPr="008C1920">
              <w:rPr>
                <w:rFonts w:cs="Times New Roman"/>
                <w:szCs w:val="24"/>
              </w:rPr>
              <w:t>E-0</w:t>
            </w:r>
            <w:r>
              <w:rPr>
                <w:rFonts w:cs="Times New Roman"/>
                <w:szCs w:val="24"/>
              </w:rPr>
              <w:t>3</w:t>
            </w:r>
          </w:p>
        </w:tc>
      </w:tr>
      <w:tr w:rsidR="00195017" w14:paraId="3F6BE49A" w14:textId="77777777" w:rsidTr="00195017">
        <w:tc>
          <w:tcPr>
            <w:cnfStyle w:val="001000000000" w:firstRow="0" w:lastRow="0" w:firstColumn="1" w:lastColumn="0" w:oddVBand="0" w:evenVBand="0" w:oddHBand="0" w:evenHBand="0" w:firstRowFirstColumn="0" w:firstRowLastColumn="0" w:lastRowFirstColumn="0" w:lastRowLastColumn="0"/>
            <w:tcW w:w="4767" w:type="dxa"/>
            <w:noWrap/>
            <w:hideMark/>
          </w:tcPr>
          <w:p w14:paraId="28F2919F" w14:textId="02192D16" w:rsidR="006A42D6" w:rsidRPr="008C1920" w:rsidRDefault="006A42D6">
            <w:pPr>
              <w:rPr>
                <w:rFonts w:cs="Times New Roman"/>
                <w:szCs w:val="24"/>
              </w:rPr>
            </w:pPr>
            <w:r w:rsidRPr="006A42D6">
              <w:rPr>
                <w:rFonts w:cs="Times New Roman"/>
                <w:szCs w:val="24"/>
              </w:rPr>
              <w:t>cellular response to hypoxia</w:t>
            </w:r>
          </w:p>
        </w:tc>
        <w:tc>
          <w:tcPr>
            <w:tcW w:w="716" w:type="dxa"/>
            <w:noWrap/>
            <w:hideMark/>
          </w:tcPr>
          <w:p w14:paraId="7CC94159" w14:textId="781B2411"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06CB">
              <w:rPr>
                <w:rFonts w:cs="Times New Roman"/>
                <w:szCs w:val="24"/>
              </w:rPr>
              <w:t>239</w:t>
            </w:r>
          </w:p>
        </w:tc>
        <w:tc>
          <w:tcPr>
            <w:tcW w:w="509" w:type="dxa"/>
            <w:noWrap/>
            <w:hideMark/>
          </w:tcPr>
          <w:p w14:paraId="4FDCE333" w14:textId="46C72422" w:rsidR="006A42D6" w:rsidRPr="008C1920" w:rsidRDefault="00B04B8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23</w:t>
            </w:r>
          </w:p>
        </w:tc>
        <w:tc>
          <w:tcPr>
            <w:tcW w:w="0" w:type="auto"/>
            <w:noWrap/>
            <w:hideMark/>
          </w:tcPr>
          <w:p w14:paraId="6804FCB5" w14:textId="09B05804"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C1920">
              <w:rPr>
                <w:rFonts w:cs="Times New Roman"/>
                <w:szCs w:val="24"/>
              </w:rPr>
              <w:t>.</w:t>
            </w:r>
            <w:r w:rsidR="00B04B89">
              <w:rPr>
                <w:rFonts w:cs="Times New Roman"/>
                <w:szCs w:val="24"/>
              </w:rPr>
              <w:t>93</w:t>
            </w:r>
          </w:p>
        </w:tc>
        <w:tc>
          <w:tcPr>
            <w:tcW w:w="1523" w:type="dxa"/>
            <w:noWrap/>
            <w:hideMark/>
          </w:tcPr>
          <w:p w14:paraId="225F9C26" w14:textId="29BDE9E2" w:rsidR="006A42D6" w:rsidRPr="008C1920" w:rsidRDefault="00B04B8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24.67</w:t>
            </w:r>
          </w:p>
        </w:tc>
        <w:tc>
          <w:tcPr>
            <w:tcW w:w="1144" w:type="dxa"/>
            <w:noWrap/>
            <w:hideMark/>
          </w:tcPr>
          <w:p w14:paraId="25A82A4F" w14:textId="4FD42879" w:rsidR="006A42D6" w:rsidRPr="008C1920" w:rsidRDefault="00B04B8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04B89">
              <w:rPr>
                <w:rFonts w:cs="Times New Roman"/>
                <w:szCs w:val="24"/>
              </w:rPr>
              <w:t>2.58E-21</w:t>
            </w:r>
          </w:p>
        </w:tc>
      </w:tr>
      <w:tr w:rsidR="00195017" w14:paraId="0F2380C9"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noWrap/>
            <w:hideMark/>
          </w:tcPr>
          <w:p w14:paraId="7A0D94A6" w14:textId="6475D75B" w:rsidR="00B04B89" w:rsidRPr="00B04B89" w:rsidRDefault="00B04B89">
            <w:pPr>
              <w:spacing w:before="0" w:after="0"/>
              <w:rPr>
                <w:rFonts w:cs="Times New Roman"/>
                <w:sz w:val="20"/>
                <w:szCs w:val="20"/>
              </w:rPr>
            </w:pPr>
            <w:r w:rsidRPr="00B04B89">
              <w:rPr>
                <w:rFonts w:cs="Times New Roman"/>
                <w:szCs w:val="24"/>
              </w:rPr>
              <w:t>cellular response to ethylene stimulus</w:t>
            </w:r>
          </w:p>
        </w:tc>
        <w:tc>
          <w:tcPr>
            <w:tcW w:w="716" w:type="dxa"/>
            <w:noWrap/>
            <w:hideMark/>
          </w:tcPr>
          <w:p w14:paraId="760CAB53" w14:textId="3275B23B" w:rsidR="00B04B89" w:rsidRPr="006B5D5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5D50">
              <w:rPr>
                <w:rFonts w:cs="Times New Roman"/>
                <w:szCs w:val="24"/>
              </w:rPr>
              <w:t>96</w:t>
            </w:r>
          </w:p>
        </w:tc>
        <w:tc>
          <w:tcPr>
            <w:tcW w:w="0" w:type="auto"/>
            <w:noWrap/>
            <w:hideMark/>
          </w:tcPr>
          <w:p w14:paraId="5F157547" w14:textId="7BA9B73E" w:rsidR="00B04B89" w:rsidRPr="006B5D5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5D50">
              <w:rPr>
                <w:rFonts w:cs="Times New Roman"/>
                <w:szCs w:val="24"/>
              </w:rPr>
              <w:t>6</w:t>
            </w:r>
          </w:p>
        </w:tc>
        <w:tc>
          <w:tcPr>
            <w:tcW w:w="0" w:type="auto"/>
            <w:noWrap/>
            <w:hideMark/>
          </w:tcPr>
          <w:p w14:paraId="554114CF" w14:textId="77777777" w:rsidR="00B04B89" w:rsidRPr="006B5D5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5D50">
              <w:rPr>
                <w:rFonts w:cs="Times New Roman"/>
                <w:szCs w:val="24"/>
              </w:rPr>
              <w:t>.37</w:t>
            </w:r>
          </w:p>
        </w:tc>
        <w:tc>
          <w:tcPr>
            <w:tcW w:w="1523" w:type="dxa"/>
            <w:noWrap/>
            <w:hideMark/>
          </w:tcPr>
          <w:p w14:paraId="3CC8383E" w14:textId="77777777" w:rsidR="00B04B89" w:rsidRPr="006B5D50" w:rsidRDefault="00B04B8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B5D50">
              <w:rPr>
                <w:rFonts w:cs="Times New Roman"/>
                <w:szCs w:val="24"/>
              </w:rPr>
              <w:t>16.02</w:t>
            </w:r>
          </w:p>
        </w:tc>
        <w:tc>
          <w:tcPr>
            <w:tcW w:w="1144" w:type="dxa"/>
            <w:noWrap/>
            <w:hideMark/>
          </w:tcPr>
          <w:p w14:paraId="682283B4" w14:textId="7F37F3B7" w:rsidR="00B04B89" w:rsidRDefault="00B04B8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04B89">
              <w:rPr>
                <w:rFonts w:ascii="Arial" w:hAnsi="Arial" w:cs="Arial"/>
                <w:sz w:val="20"/>
                <w:szCs w:val="20"/>
              </w:rPr>
              <w:t>9.09E-03</w:t>
            </w:r>
          </w:p>
        </w:tc>
      </w:tr>
      <w:tr w:rsidR="006879DB" w14:paraId="0DF6CD7D" w14:textId="77777777" w:rsidTr="006B5D50">
        <w:tc>
          <w:tcPr>
            <w:cnfStyle w:val="001000000000" w:firstRow="0" w:lastRow="0" w:firstColumn="1" w:lastColumn="0" w:oddVBand="0" w:evenVBand="0" w:oddHBand="0" w:evenHBand="0" w:firstRowFirstColumn="0" w:firstRowLastColumn="0" w:lastRowFirstColumn="0" w:lastRowLastColumn="0"/>
            <w:tcW w:w="0" w:type="auto"/>
            <w:noWrap/>
            <w:hideMark/>
          </w:tcPr>
          <w:p w14:paraId="1567C11C" w14:textId="7BC12803" w:rsidR="006B5D50" w:rsidRPr="006B5D50" w:rsidRDefault="006B5D50">
            <w:pPr>
              <w:spacing w:before="0" w:after="0"/>
              <w:rPr>
                <w:rFonts w:cs="Times New Roman"/>
                <w:szCs w:val="24"/>
              </w:rPr>
            </w:pPr>
            <w:r w:rsidRPr="006B5D50">
              <w:rPr>
                <w:rFonts w:cs="Times New Roman"/>
                <w:szCs w:val="24"/>
              </w:rPr>
              <w:t>systemic acquired resistance</w:t>
            </w:r>
          </w:p>
        </w:tc>
        <w:tc>
          <w:tcPr>
            <w:tcW w:w="0" w:type="auto"/>
            <w:noWrap/>
            <w:hideMark/>
          </w:tcPr>
          <w:p w14:paraId="48680AD1" w14:textId="0A03F78F" w:rsidR="006B5D50" w:rsidRPr="006B5D50" w:rsidRDefault="006B5D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5D50">
              <w:rPr>
                <w:rFonts w:cs="Times New Roman"/>
                <w:szCs w:val="24"/>
              </w:rPr>
              <w:t>116</w:t>
            </w:r>
          </w:p>
        </w:tc>
        <w:tc>
          <w:tcPr>
            <w:tcW w:w="0" w:type="auto"/>
            <w:noWrap/>
            <w:hideMark/>
          </w:tcPr>
          <w:p w14:paraId="5A73BDE1" w14:textId="18FB4921" w:rsidR="006B5D50" w:rsidRPr="006B5D50" w:rsidRDefault="006B5D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5D50">
              <w:rPr>
                <w:rFonts w:cs="Times New Roman"/>
                <w:szCs w:val="24"/>
              </w:rPr>
              <w:t>6</w:t>
            </w:r>
          </w:p>
        </w:tc>
        <w:tc>
          <w:tcPr>
            <w:tcW w:w="0" w:type="auto"/>
            <w:noWrap/>
            <w:hideMark/>
          </w:tcPr>
          <w:p w14:paraId="2548454B" w14:textId="77777777" w:rsidR="006B5D50" w:rsidRPr="006B5D50" w:rsidRDefault="006B5D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5D50">
              <w:rPr>
                <w:rFonts w:cs="Times New Roman"/>
                <w:szCs w:val="24"/>
              </w:rPr>
              <w:t>.45</w:t>
            </w:r>
          </w:p>
        </w:tc>
        <w:tc>
          <w:tcPr>
            <w:tcW w:w="0" w:type="auto"/>
            <w:noWrap/>
            <w:hideMark/>
          </w:tcPr>
          <w:p w14:paraId="60971EF1" w14:textId="77777777" w:rsidR="006B5D50" w:rsidRPr="006B5D50" w:rsidRDefault="006B5D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5D50">
              <w:rPr>
                <w:rFonts w:cs="Times New Roman"/>
                <w:szCs w:val="24"/>
              </w:rPr>
              <w:t>13.26</w:t>
            </w:r>
          </w:p>
        </w:tc>
        <w:tc>
          <w:tcPr>
            <w:tcW w:w="0" w:type="auto"/>
            <w:noWrap/>
            <w:hideMark/>
          </w:tcPr>
          <w:p w14:paraId="208AF572" w14:textId="7FC7511F" w:rsidR="006B5D50" w:rsidRPr="006B5D50" w:rsidRDefault="006B5D5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B5D50">
              <w:rPr>
                <w:rFonts w:cs="Times New Roman"/>
                <w:szCs w:val="24"/>
              </w:rPr>
              <w:t>2.56E-02</w:t>
            </w:r>
          </w:p>
        </w:tc>
      </w:tr>
      <w:tr w:rsidR="00195017" w14:paraId="214B3B6E"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7" w:type="dxa"/>
            <w:noWrap/>
            <w:hideMark/>
          </w:tcPr>
          <w:p w14:paraId="432631DC" w14:textId="2635CCCA" w:rsidR="006A42D6" w:rsidRPr="008C1920" w:rsidRDefault="006A42D6">
            <w:pPr>
              <w:spacing w:before="0" w:after="0"/>
              <w:rPr>
                <w:rFonts w:cs="Times New Roman"/>
                <w:szCs w:val="24"/>
              </w:rPr>
            </w:pPr>
            <w:r w:rsidRPr="006A42D6">
              <w:rPr>
                <w:rFonts w:cs="Times New Roman"/>
                <w:szCs w:val="24"/>
              </w:rPr>
              <w:t>response to molecule of bacterial origin</w:t>
            </w:r>
          </w:p>
        </w:tc>
        <w:tc>
          <w:tcPr>
            <w:tcW w:w="716" w:type="dxa"/>
            <w:noWrap/>
            <w:hideMark/>
          </w:tcPr>
          <w:p w14:paraId="2B53AA87" w14:textId="43116A0A" w:rsidR="006A42D6" w:rsidRPr="008C1920" w:rsidRDefault="006A42D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CF06CB">
              <w:rPr>
                <w:rFonts w:cs="Times New Roman"/>
                <w:szCs w:val="24"/>
              </w:rPr>
              <w:t>117</w:t>
            </w:r>
          </w:p>
        </w:tc>
        <w:tc>
          <w:tcPr>
            <w:tcW w:w="0" w:type="auto"/>
            <w:noWrap/>
            <w:hideMark/>
          </w:tcPr>
          <w:p w14:paraId="43C1BC35" w14:textId="7506F6F1" w:rsidR="006A42D6" w:rsidRPr="008C1920" w:rsidRDefault="006B5D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w:t>
            </w:r>
          </w:p>
        </w:tc>
        <w:tc>
          <w:tcPr>
            <w:tcW w:w="0" w:type="auto"/>
            <w:noWrap/>
            <w:hideMark/>
          </w:tcPr>
          <w:p w14:paraId="7A5E1BCF" w14:textId="0F3923E2" w:rsidR="006A42D6" w:rsidRPr="008C1920" w:rsidRDefault="006A42D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8C1920">
              <w:rPr>
                <w:rFonts w:cs="Times New Roman"/>
                <w:szCs w:val="24"/>
              </w:rPr>
              <w:t>.</w:t>
            </w:r>
            <w:r w:rsidR="006B5D50">
              <w:rPr>
                <w:rFonts w:cs="Times New Roman"/>
                <w:szCs w:val="24"/>
              </w:rPr>
              <w:t>46</w:t>
            </w:r>
          </w:p>
        </w:tc>
        <w:tc>
          <w:tcPr>
            <w:tcW w:w="1523" w:type="dxa"/>
            <w:noWrap/>
            <w:hideMark/>
          </w:tcPr>
          <w:p w14:paraId="075DDD3F" w14:textId="266BE6A6" w:rsidR="006A42D6" w:rsidRPr="008C1920" w:rsidRDefault="006B5D5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13.15</w:t>
            </w:r>
          </w:p>
        </w:tc>
        <w:tc>
          <w:tcPr>
            <w:tcW w:w="1144" w:type="dxa"/>
            <w:noWrap/>
            <w:hideMark/>
          </w:tcPr>
          <w:p w14:paraId="34A10BB7" w14:textId="223D0705" w:rsidR="006A42D6" w:rsidRPr="008C1920"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2.69</w:t>
            </w:r>
            <w:r w:rsidR="006A42D6" w:rsidRPr="008C1920">
              <w:rPr>
                <w:rFonts w:cs="Times New Roman"/>
                <w:szCs w:val="24"/>
              </w:rPr>
              <w:t>E-02</w:t>
            </w:r>
          </w:p>
        </w:tc>
      </w:tr>
      <w:tr w:rsidR="00195017" w14:paraId="6F08106C" w14:textId="77777777" w:rsidTr="00195017">
        <w:tc>
          <w:tcPr>
            <w:cnfStyle w:val="001000000000" w:firstRow="0" w:lastRow="0" w:firstColumn="1" w:lastColumn="0" w:oddVBand="0" w:evenVBand="0" w:oddHBand="0" w:evenHBand="0" w:firstRowFirstColumn="0" w:firstRowLastColumn="0" w:lastRowFirstColumn="0" w:lastRowLastColumn="0"/>
            <w:tcW w:w="4767" w:type="dxa"/>
            <w:noWrap/>
            <w:hideMark/>
          </w:tcPr>
          <w:p w14:paraId="7EACF39A" w14:textId="49334DE9" w:rsidR="006A42D6" w:rsidRPr="008C1920" w:rsidRDefault="006A42D6">
            <w:pPr>
              <w:spacing w:before="0" w:after="0"/>
              <w:rPr>
                <w:rFonts w:cs="Times New Roman"/>
                <w:szCs w:val="24"/>
              </w:rPr>
            </w:pPr>
            <w:r w:rsidRPr="006A42D6">
              <w:rPr>
                <w:rFonts w:cs="Times New Roman"/>
                <w:szCs w:val="24"/>
              </w:rPr>
              <w:t>response to chitin</w:t>
            </w:r>
          </w:p>
        </w:tc>
        <w:tc>
          <w:tcPr>
            <w:tcW w:w="716" w:type="dxa"/>
            <w:noWrap/>
            <w:hideMark/>
          </w:tcPr>
          <w:p w14:paraId="4C0A63C4" w14:textId="2AB0202C"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CF06CB">
              <w:rPr>
                <w:rFonts w:cs="Times New Roman"/>
                <w:szCs w:val="24"/>
              </w:rPr>
              <w:t>308</w:t>
            </w:r>
          </w:p>
        </w:tc>
        <w:tc>
          <w:tcPr>
            <w:tcW w:w="0" w:type="auto"/>
            <w:noWrap/>
            <w:hideMark/>
          </w:tcPr>
          <w:p w14:paraId="45A223C1" w14:textId="0A933414" w:rsidR="006A42D6" w:rsidRPr="008C1920"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w:t>
            </w:r>
          </w:p>
        </w:tc>
        <w:tc>
          <w:tcPr>
            <w:tcW w:w="0" w:type="auto"/>
            <w:noWrap/>
            <w:hideMark/>
          </w:tcPr>
          <w:p w14:paraId="78427CE0" w14:textId="098D9CBA" w:rsidR="006A42D6" w:rsidRPr="008C1920"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1.20</w:t>
            </w:r>
          </w:p>
        </w:tc>
        <w:tc>
          <w:tcPr>
            <w:tcW w:w="1523" w:type="dxa"/>
            <w:noWrap/>
            <w:hideMark/>
          </w:tcPr>
          <w:p w14:paraId="29BD8E72" w14:textId="6FE8164B" w:rsidR="006A42D6" w:rsidRPr="008C1920" w:rsidRDefault="006A42D6">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C1920">
              <w:rPr>
                <w:rFonts w:cs="Times New Roman"/>
                <w:szCs w:val="24"/>
              </w:rPr>
              <w:t>1</w:t>
            </w:r>
            <w:r w:rsidR="006879DB">
              <w:rPr>
                <w:rFonts w:cs="Times New Roman"/>
                <w:szCs w:val="24"/>
              </w:rPr>
              <w:t>2</w:t>
            </w:r>
            <w:r w:rsidRPr="008C1920">
              <w:rPr>
                <w:rFonts w:cs="Times New Roman"/>
                <w:szCs w:val="24"/>
              </w:rPr>
              <w:t>.48</w:t>
            </w:r>
          </w:p>
        </w:tc>
        <w:tc>
          <w:tcPr>
            <w:tcW w:w="1144" w:type="dxa"/>
            <w:noWrap/>
            <w:hideMark/>
          </w:tcPr>
          <w:p w14:paraId="0AEADC0A" w14:textId="1EED6645" w:rsidR="006A42D6" w:rsidRPr="008C1920"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6879DB">
              <w:rPr>
                <w:rFonts w:cs="Times New Roman"/>
                <w:szCs w:val="24"/>
              </w:rPr>
              <w:t>6.91E-09</w:t>
            </w:r>
          </w:p>
        </w:tc>
      </w:tr>
      <w:tr w:rsidR="006879DB" w14:paraId="7BE060CC" w14:textId="77777777" w:rsidTr="00687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D89758" w14:textId="125656AB" w:rsidR="006879DB" w:rsidRPr="00195017" w:rsidRDefault="006879DB">
            <w:pPr>
              <w:spacing w:before="0" w:after="0"/>
              <w:rPr>
                <w:rFonts w:cs="Times New Roman"/>
                <w:szCs w:val="24"/>
              </w:rPr>
            </w:pPr>
            <w:r w:rsidRPr="00195017">
              <w:rPr>
                <w:rFonts w:cs="Times New Roman"/>
                <w:szCs w:val="24"/>
              </w:rPr>
              <w:t>indole-containing compound metabolic process</w:t>
            </w:r>
          </w:p>
        </w:tc>
        <w:tc>
          <w:tcPr>
            <w:tcW w:w="0" w:type="auto"/>
            <w:noWrap/>
            <w:hideMark/>
          </w:tcPr>
          <w:p w14:paraId="5D32CFFA" w14:textId="7975008A"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182</w:t>
            </w:r>
          </w:p>
        </w:tc>
        <w:tc>
          <w:tcPr>
            <w:tcW w:w="0" w:type="auto"/>
            <w:noWrap/>
            <w:hideMark/>
          </w:tcPr>
          <w:p w14:paraId="01618ED4" w14:textId="2C0F4C53"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8</w:t>
            </w:r>
          </w:p>
        </w:tc>
        <w:tc>
          <w:tcPr>
            <w:tcW w:w="0" w:type="auto"/>
            <w:noWrap/>
            <w:hideMark/>
          </w:tcPr>
          <w:p w14:paraId="16B108CD" w14:textId="77777777"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.71</w:t>
            </w:r>
          </w:p>
        </w:tc>
        <w:tc>
          <w:tcPr>
            <w:tcW w:w="0" w:type="auto"/>
            <w:noWrap/>
            <w:hideMark/>
          </w:tcPr>
          <w:p w14:paraId="20AB5347" w14:textId="77777777"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11.27</w:t>
            </w:r>
          </w:p>
        </w:tc>
        <w:tc>
          <w:tcPr>
            <w:tcW w:w="0" w:type="auto"/>
            <w:noWrap/>
            <w:hideMark/>
          </w:tcPr>
          <w:p w14:paraId="67A68F9D" w14:textId="6896175A"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2.47E-03</w:t>
            </w:r>
          </w:p>
        </w:tc>
      </w:tr>
      <w:tr w:rsidR="00195017" w14:paraId="0CC234BB" w14:textId="77777777" w:rsidTr="006879DB">
        <w:tc>
          <w:tcPr>
            <w:cnfStyle w:val="001000000000" w:firstRow="0" w:lastRow="0" w:firstColumn="1" w:lastColumn="0" w:oddVBand="0" w:evenVBand="0" w:oddHBand="0" w:evenHBand="0" w:firstRowFirstColumn="0" w:firstRowLastColumn="0" w:lastRowFirstColumn="0" w:lastRowLastColumn="0"/>
            <w:tcW w:w="0" w:type="auto"/>
            <w:noWrap/>
            <w:hideMark/>
          </w:tcPr>
          <w:p w14:paraId="44FE931D" w14:textId="3B9A052C" w:rsidR="006879DB" w:rsidRPr="00195017" w:rsidRDefault="006879DB">
            <w:pPr>
              <w:spacing w:before="0" w:after="0"/>
              <w:rPr>
                <w:rFonts w:cs="Times New Roman"/>
                <w:szCs w:val="24"/>
              </w:rPr>
            </w:pPr>
            <w:r w:rsidRPr="00195017">
              <w:rPr>
                <w:rFonts w:cs="Times New Roman"/>
                <w:szCs w:val="24"/>
              </w:rPr>
              <w:t>response to salicylic acid</w:t>
            </w:r>
          </w:p>
        </w:tc>
        <w:tc>
          <w:tcPr>
            <w:tcW w:w="0" w:type="auto"/>
            <w:noWrap/>
            <w:hideMark/>
          </w:tcPr>
          <w:p w14:paraId="755E940D" w14:textId="322F8033" w:rsidR="006879DB" w:rsidRPr="00195017"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440</w:t>
            </w:r>
          </w:p>
        </w:tc>
        <w:tc>
          <w:tcPr>
            <w:tcW w:w="0" w:type="auto"/>
            <w:noWrap/>
            <w:hideMark/>
          </w:tcPr>
          <w:p w14:paraId="4862B2BB" w14:textId="79454942" w:rsidR="006879DB" w:rsidRPr="00195017"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14</w:t>
            </w:r>
          </w:p>
        </w:tc>
        <w:tc>
          <w:tcPr>
            <w:tcW w:w="0" w:type="auto"/>
            <w:noWrap/>
            <w:hideMark/>
          </w:tcPr>
          <w:p w14:paraId="0D6F7B17" w14:textId="77777777" w:rsidR="006879DB" w:rsidRPr="00195017"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1.72</w:t>
            </w:r>
          </w:p>
        </w:tc>
        <w:tc>
          <w:tcPr>
            <w:tcW w:w="0" w:type="auto"/>
            <w:noWrap/>
            <w:hideMark/>
          </w:tcPr>
          <w:p w14:paraId="08D1DBF4" w14:textId="77777777" w:rsidR="006879DB" w:rsidRPr="00195017"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8.16</w:t>
            </w:r>
          </w:p>
        </w:tc>
        <w:tc>
          <w:tcPr>
            <w:tcW w:w="0" w:type="auto"/>
            <w:noWrap/>
            <w:hideMark/>
          </w:tcPr>
          <w:p w14:paraId="75EFD4C3" w14:textId="037BDA64" w:rsidR="006879DB" w:rsidRPr="00195017" w:rsidRDefault="006879D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8.28E-06</w:t>
            </w:r>
          </w:p>
        </w:tc>
      </w:tr>
      <w:tr w:rsidR="006879DB" w14:paraId="784CEC87" w14:textId="77777777" w:rsidTr="006879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5278E37" w14:textId="305690B7" w:rsidR="006879DB" w:rsidRPr="00195017" w:rsidRDefault="006879DB">
            <w:pPr>
              <w:spacing w:before="0" w:after="0"/>
              <w:rPr>
                <w:rFonts w:cs="Times New Roman"/>
                <w:szCs w:val="24"/>
              </w:rPr>
            </w:pPr>
            <w:r w:rsidRPr="00195017">
              <w:rPr>
                <w:rFonts w:cs="Times New Roman"/>
                <w:szCs w:val="24"/>
              </w:rPr>
              <w:t>defense response to fungus</w:t>
            </w:r>
          </w:p>
        </w:tc>
        <w:tc>
          <w:tcPr>
            <w:tcW w:w="0" w:type="auto"/>
            <w:noWrap/>
            <w:hideMark/>
          </w:tcPr>
          <w:p w14:paraId="1987B4F1" w14:textId="73D2DBEA"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702</w:t>
            </w:r>
          </w:p>
        </w:tc>
        <w:tc>
          <w:tcPr>
            <w:tcW w:w="0" w:type="auto"/>
            <w:noWrap/>
            <w:hideMark/>
          </w:tcPr>
          <w:p w14:paraId="063536AE" w14:textId="630BA34A"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19</w:t>
            </w:r>
          </w:p>
        </w:tc>
        <w:tc>
          <w:tcPr>
            <w:tcW w:w="0" w:type="auto"/>
            <w:noWrap/>
            <w:hideMark/>
          </w:tcPr>
          <w:p w14:paraId="427F5C5F" w14:textId="77777777"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2.74</w:t>
            </w:r>
          </w:p>
        </w:tc>
        <w:tc>
          <w:tcPr>
            <w:tcW w:w="0" w:type="auto"/>
            <w:noWrap/>
            <w:hideMark/>
          </w:tcPr>
          <w:p w14:paraId="2B0773F7" w14:textId="77777777" w:rsidR="006879DB" w:rsidRPr="00195017" w:rsidRDefault="006879D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6.94</w:t>
            </w:r>
          </w:p>
        </w:tc>
        <w:tc>
          <w:tcPr>
            <w:tcW w:w="0" w:type="auto"/>
            <w:noWrap/>
            <w:hideMark/>
          </w:tcPr>
          <w:p w14:paraId="57F8A132" w14:textId="36368A71" w:rsidR="006879DB"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1.34E-07</w:t>
            </w:r>
          </w:p>
        </w:tc>
      </w:tr>
      <w:tr w:rsidR="00195017" w14:paraId="36CBB9A8" w14:textId="77777777" w:rsidTr="00195017">
        <w:tc>
          <w:tcPr>
            <w:cnfStyle w:val="001000000000" w:firstRow="0" w:lastRow="0" w:firstColumn="1" w:lastColumn="0" w:oddVBand="0" w:evenVBand="0" w:oddHBand="0" w:evenHBand="0" w:firstRowFirstColumn="0" w:firstRowLastColumn="0" w:lastRowFirstColumn="0" w:lastRowLastColumn="0"/>
            <w:tcW w:w="0" w:type="auto"/>
            <w:noWrap/>
            <w:hideMark/>
          </w:tcPr>
          <w:p w14:paraId="23672F18" w14:textId="38A9E51A" w:rsidR="00195017" w:rsidRPr="00195017" w:rsidRDefault="00195017">
            <w:pPr>
              <w:spacing w:before="0" w:after="0"/>
              <w:rPr>
                <w:rFonts w:cs="Times New Roman"/>
                <w:szCs w:val="24"/>
              </w:rPr>
            </w:pPr>
            <w:r w:rsidRPr="00195017">
              <w:rPr>
                <w:rFonts w:cs="Times New Roman"/>
                <w:szCs w:val="24"/>
              </w:rPr>
              <w:t>response to wounding</w:t>
            </w:r>
          </w:p>
        </w:tc>
        <w:tc>
          <w:tcPr>
            <w:tcW w:w="0" w:type="auto"/>
            <w:noWrap/>
            <w:hideMark/>
          </w:tcPr>
          <w:p w14:paraId="488666E9" w14:textId="1D907D56"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815</w:t>
            </w:r>
          </w:p>
        </w:tc>
        <w:tc>
          <w:tcPr>
            <w:tcW w:w="0" w:type="auto"/>
            <w:noWrap/>
            <w:hideMark/>
          </w:tcPr>
          <w:p w14:paraId="6726E583" w14:textId="23A16FA0"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22</w:t>
            </w:r>
          </w:p>
        </w:tc>
        <w:tc>
          <w:tcPr>
            <w:tcW w:w="0" w:type="auto"/>
            <w:noWrap/>
            <w:hideMark/>
          </w:tcPr>
          <w:p w14:paraId="5A3FCFDE"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3.18</w:t>
            </w:r>
          </w:p>
        </w:tc>
        <w:tc>
          <w:tcPr>
            <w:tcW w:w="0" w:type="auto"/>
            <w:noWrap/>
            <w:hideMark/>
          </w:tcPr>
          <w:p w14:paraId="5D166C76"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6.92</w:t>
            </w:r>
          </w:p>
        </w:tc>
        <w:tc>
          <w:tcPr>
            <w:tcW w:w="0" w:type="auto"/>
            <w:noWrap/>
            <w:hideMark/>
          </w:tcPr>
          <w:p w14:paraId="404BCB86" w14:textId="2A66FFA9"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3.30E-09</w:t>
            </w:r>
          </w:p>
        </w:tc>
      </w:tr>
      <w:tr w:rsidR="00195017" w14:paraId="404DDA64"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EEA31B2" w14:textId="202CDB8B" w:rsidR="00195017" w:rsidRPr="00195017" w:rsidRDefault="00195017">
            <w:pPr>
              <w:spacing w:before="0" w:after="0"/>
              <w:rPr>
                <w:rFonts w:cs="Times New Roman"/>
                <w:szCs w:val="24"/>
              </w:rPr>
            </w:pPr>
            <w:r w:rsidRPr="00195017">
              <w:rPr>
                <w:rFonts w:cs="Times New Roman"/>
                <w:szCs w:val="24"/>
              </w:rPr>
              <w:t>regulation of defense response</w:t>
            </w:r>
          </w:p>
        </w:tc>
        <w:tc>
          <w:tcPr>
            <w:tcW w:w="0" w:type="auto"/>
            <w:noWrap/>
            <w:hideMark/>
          </w:tcPr>
          <w:p w14:paraId="198135E9" w14:textId="6921DD18"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744</w:t>
            </w:r>
          </w:p>
        </w:tc>
        <w:tc>
          <w:tcPr>
            <w:tcW w:w="0" w:type="auto"/>
            <w:noWrap/>
            <w:hideMark/>
          </w:tcPr>
          <w:p w14:paraId="0CFDE09F" w14:textId="228BD92E"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19</w:t>
            </w:r>
          </w:p>
        </w:tc>
        <w:tc>
          <w:tcPr>
            <w:tcW w:w="0" w:type="auto"/>
            <w:noWrap/>
            <w:hideMark/>
          </w:tcPr>
          <w:p w14:paraId="029EF75A"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2.90</w:t>
            </w:r>
          </w:p>
        </w:tc>
        <w:tc>
          <w:tcPr>
            <w:tcW w:w="0" w:type="auto"/>
            <w:noWrap/>
            <w:hideMark/>
          </w:tcPr>
          <w:p w14:paraId="2783E507"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6.55</w:t>
            </w:r>
          </w:p>
        </w:tc>
        <w:tc>
          <w:tcPr>
            <w:tcW w:w="0" w:type="auto"/>
            <w:noWrap/>
            <w:hideMark/>
          </w:tcPr>
          <w:p w14:paraId="09F61344" w14:textId="0F7046A2"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3.48E-07</w:t>
            </w:r>
          </w:p>
        </w:tc>
      </w:tr>
      <w:tr w:rsidR="00195017" w14:paraId="084253CC" w14:textId="77777777" w:rsidTr="00195017">
        <w:tc>
          <w:tcPr>
            <w:cnfStyle w:val="001000000000" w:firstRow="0" w:lastRow="0" w:firstColumn="1" w:lastColumn="0" w:oddVBand="0" w:evenVBand="0" w:oddHBand="0" w:evenHBand="0" w:firstRowFirstColumn="0" w:firstRowLastColumn="0" w:lastRowFirstColumn="0" w:lastRowLastColumn="0"/>
            <w:tcW w:w="0" w:type="auto"/>
            <w:noWrap/>
            <w:hideMark/>
          </w:tcPr>
          <w:p w14:paraId="57B23C44" w14:textId="5D130A77" w:rsidR="00195017" w:rsidRPr="00195017" w:rsidRDefault="00195017">
            <w:pPr>
              <w:spacing w:before="0" w:after="0"/>
              <w:rPr>
                <w:rFonts w:cs="Times New Roman"/>
                <w:szCs w:val="24"/>
              </w:rPr>
            </w:pPr>
            <w:r w:rsidRPr="00195017">
              <w:rPr>
                <w:rFonts w:cs="Times New Roman"/>
                <w:szCs w:val="24"/>
              </w:rPr>
              <w:t>response to oxidative stress</w:t>
            </w:r>
          </w:p>
        </w:tc>
        <w:tc>
          <w:tcPr>
            <w:tcW w:w="0" w:type="auto"/>
            <w:noWrap/>
            <w:hideMark/>
          </w:tcPr>
          <w:p w14:paraId="6BBED6D7" w14:textId="541CBCB3"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613</w:t>
            </w:r>
          </w:p>
        </w:tc>
        <w:tc>
          <w:tcPr>
            <w:tcW w:w="0" w:type="auto"/>
            <w:noWrap/>
            <w:hideMark/>
          </w:tcPr>
          <w:p w14:paraId="1344E3A7" w14:textId="61D8C9DC"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15</w:t>
            </w:r>
          </w:p>
        </w:tc>
        <w:tc>
          <w:tcPr>
            <w:tcW w:w="0" w:type="auto"/>
            <w:noWrap/>
            <w:hideMark/>
          </w:tcPr>
          <w:p w14:paraId="54DE46B9"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2.39</w:t>
            </w:r>
          </w:p>
        </w:tc>
        <w:tc>
          <w:tcPr>
            <w:tcW w:w="0" w:type="auto"/>
            <w:noWrap/>
            <w:hideMark/>
          </w:tcPr>
          <w:p w14:paraId="6E4C04DD"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6.27</w:t>
            </w:r>
          </w:p>
        </w:tc>
        <w:tc>
          <w:tcPr>
            <w:tcW w:w="0" w:type="auto"/>
            <w:noWrap/>
            <w:hideMark/>
          </w:tcPr>
          <w:p w14:paraId="7563946F" w14:textId="794314A8"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6.62E-05</w:t>
            </w:r>
          </w:p>
        </w:tc>
      </w:tr>
      <w:tr w:rsidR="00195017" w14:paraId="11C3BC15"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D8BBED" w14:textId="784F89A1" w:rsidR="00195017" w:rsidRPr="00195017" w:rsidRDefault="00195017">
            <w:pPr>
              <w:spacing w:before="0" w:after="0"/>
              <w:rPr>
                <w:rFonts w:cs="Times New Roman"/>
                <w:szCs w:val="24"/>
              </w:rPr>
            </w:pPr>
            <w:r w:rsidRPr="00195017">
              <w:rPr>
                <w:rFonts w:cs="Times New Roman"/>
                <w:szCs w:val="24"/>
              </w:rPr>
              <w:t>defense response to bacterium</w:t>
            </w:r>
          </w:p>
        </w:tc>
        <w:tc>
          <w:tcPr>
            <w:tcW w:w="0" w:type="auto"/>
            <w:noWrap/>
            <w:hideMark/>
          </w:tcPr>
          <w:p w14:paraId="6BAE5866" w14:textId="647D8BA9"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1029</w:t>
            </w:r>
          </w:p>
        </w:tc>
        <w:tc>
          <w:tcPr>
            <w:tcW w:w="0" w:type="auto"/>
            <w:noWrap/>
            <w:hideMark/>
          </w:tcPr>
          <w:p w14:paraId="1A823113" w14:textId="4E6C08BD"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21</w:t>
            </w:r>
          </w:p>
        </w:tc>
        <w:tc>
          <w:tcPr>
            <w:tcW w:w="0" w:type="auto"/>
            <w:noWrap/>
            <w:hideMark/>
          </w:tcPr>
          <w:p w14:paraId="0FA16EA9"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4.01</w:t>
            </w:r>
          </w:p>
        </w:tc>
        <w:tc>
          <w:tcPr>
            <w:tcW w:w="0" w:type="auto"/>
            <w:noWrap/>
            <w:hideMark/>
          </w:tcPr>
          <w:p w14:paraId="3F1F0B2F"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5.23</w:t>
            </w:r>
          </w:p>
        </w:tc>
        <w:tc>
          <w:tcPr>
            <w:tcW w:w="0" w:type="auto"/>
            <w:noWrap/>
            <w:hideMark/>
          </w:tcPr>
          <w:p w14:paraId="24FCCFFC" w14:textId="59D9A49B"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1.78E-06</w:t>
            </w:r>
          </w:p>
        </w:tc>
      </w:tr>
      <w:tr w:rsidR="00195017" w14:paraId="4EEDE84B" w14:textId="77777777" w:rsidTr="00195017">
        <w:tc>
          <w:tcPr>
            <w:cnfStyle w:val="001000000000" w:firstRow="0" w:lastRow="0" w:firstColumn="1" w:lastColumn="0" w:oddVBand="0" w:evenVBand="0" w:oddHBand="0" w:evenHBand="0" w:firstRowFirstColumn="0" w:firstRowLastColumn="0" w:lastRowFirstColumn="0" w:lastRowLastColumn="0"/>
            <w:tcW w:w="0" w:type="auto"/>
            <w:noWrap/>
            <w:hideMark/>
          </w:tcPr>
          <w:p w14:paraId="0F004940" w14:textId="3E66D7A9" w:rsidR="00195017" w:rsidRPr="00195017" w:rsidRDefault="00195017">
            <w:pPr>
              <w:spacing w:before="0" w:after="0"/>
              <w:rPr>
                <w:rFonts w:cs="Times New Roman"/>
                <w:szCs w:val="24"/>
              </w:rPr>
            </w:pPr>
            <w:r w:rsidRPr="00195017">
              <w:rPr>
                <w:rFonts w:cs="Times New Roman"/>
                <w:szCs w:val="24"/>
              </w:rPr>
              <w:t>hormone-mediated signaling pathway</w:t>
            </w:r>
          </w:p>
        </w:tc>
        <w:tc>
          <w:tcPr>
            <w:tcW w:w="0" w:type="auto"/>
            <w:noWrap/>
            <w:hideMark/>
          </w:tcPr>
          <w:p w14:paraId="1906C2D7" w14:textId="6EFE3E04"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930</w:t>
            </w:r>
          </w:p>
        </w:tc>
        <w:tc>
          <w:tcPr>
            <w:tcW w:w="0" w:type="auto"/>
            <w:noWrap/>
            <w:hideMark/>
          </w:tcPr>
          <w:p w14:paraId="336D7A7D" w14:textId="18659DBA"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15</w:t>
            </w:r>
          </w:p>
        </w:tc>
        <w:tc>
          <w:tcPr>
            <w:tcW w:w="0" w:type="auto"/>
            <w:noWrap/>
            <w:hideMark/>
          </w:tcPr>
          <w:p w14:paraId="0A00D2B9"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3.63</w:t>
            </w:r>
          </w:p>
        </w:tc>
        <w:tc>
          <w:tcPr>
            <w:tcW w:w="0" w:type="auto"/>
            <w:noWrap/>
            <w:hideMark/>
          </w:tcPr>
          <w:p w14:paraId="5CA0B75B"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4.13</w:t>
            </w:r>
          </w:p>
        </w:tc>
        <w:tc>
          <w:tcPr>
            <w:tcW w:w="0" w:type="auto"/>
            <w:noWrap/>
            <w:hideMark/>
          </w:tcPr>
          <w:p w14:paraId="1CA70816" w14:textId="263A6C9D"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1.17E-02</w:t>
            </w:r>
          </w:p>
        </w:tc>
      </w:tr>
      <w:tr w:rsidR="00195017" w14:paraId="435F2EB3" w14:textId="77777777" w:rsidTr="0019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DE6CF2" w14:textId="74397B13" w:rsidR="00195017" w:rsidRPr="00195017" w:rsidRDefault="00195017">
            <w:pPr>
              <w:spacing w:before="0" w:after="0"/>
              <w:rPr>
                <w:rFonts w:cs="Times New Roman"/>
                <w:szCs w:val="24"/>
              </w:rPr>
            </w:pPr>
            <w:r w:rsidRPr="00195017">
              <w:rPr>
                <w:rFonts w:cs="Times New Roman"/>
                <w:szCs w:val="24"/>
              </w:rPr>
              <w:t>response to water deprivation</w:t>
            </w:r>
          </w:p>
        </w:tc>
        <w:tc>
          <w:tcPr>
            <w:tcW w:w="0" w:type="auto"/>
            <w:noWrap/>
            <w:hideMark/>
          </w:tcPr>
          <w:p w14:paraId="52065422" w14:textId="0E230DF0"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1000</w:t>
            </w:r>
          </w:p>
        </w:tc>
        <w:tc>
          <w:tcPr>
            <w:tcW w:w="0" w:type="auto"/>
            <w:noWrap/>
            <w:hideMark/>
          </w:tcPr>
          <w:p w14:paraId="57D67C7C" w14:textId="4F4D2FC6"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16</w:t>
            </w:r>
          </w:p>
        </w:tc>
        <w:tc>
          <w:tcPr>
            <w:tcW w:w="0" w:type="auto"/>
            <w:noWrap/>
            <w:hideMark/>
          </w:tcPr>
          <w:p w14:paraId="5A727C9C"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3.90</w:t>
            </w:r>
          </w:p>
        </w:tc>
        <w:tc>
          <w:tcPr>
            <w:tcW w:w="0" w:type="auto"/>
            <w:noWrap/>
            <w:hideMark/>
          </w:tcPr>
          <w:p w14:paraId="75234529" w14:textId="77777777"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4.10</w:t>
            </w:r>
          </w:p>
        </w:tc>
        <w:tc>
          <w:tcPr>
            <w:tcW w:w="0" w:type="auto"/>
            <w:noWrap/>
            <w:hideMark/>
          </w:tcPr>
          <w:p w14:paraId="65212396" w14:textId="05D910A6" w:rsidR="00195017" w:rsidRPr="00195017" w:rsidRDefault="0019501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5017">
              <w:rPr>
                <w:rFonts w:cs="Times New Roman"/>
                <w:szCs w:val="24"/>
              </w:rPr>
              <w:t>5.97E-03</w:t>
            </w:r>
          </w:p>
        </w:tc>
      </w:tr>
      <w:tr w:rsidR="00195017" w14:paraId="1C98A847" w14:textId="77777777" w:rsidTr="00195017">
        <w:tc>
          <w:tcPr>
            <w:cnfStyle w:val="001000000000" w:firstRow="0" w:lastRow="0" w:firstColumn="1" w:lastColumn="0" w:oddVBand="0" w:evenVBand="0" w:oddHBand="0" w:evenHBand="0" w:firstRowFirstColumn="0" w:firstRowLastColumn="0" w:lastRowFirstColumn="0" w:lastRowLastColumn="0"/>
            <w:tcW w:w="0" w:type="auto"/>
            <w:noWrap/>
            <w:hideMark/>
          </w:tcPr>
          <w:p w14:paraId="27425AF3" w14:textId="5C06430B" w:rsidR="00195017" w:rsidRPr="00195017" w:rsidRDefault="00195017">
            <w:pPr>
              <w:spacing w:before="0" w:after="0"/>
              <w:rPr>
                <w:rFonts w:cs="Times New Roman"/>
                <w:szCs w:val="24"/>
              </w:rPr>
            </w:pPr>
            <w:r w:rsidRPr="00195017">
              <w:rPr>
                <w:rFonts w:cs="Times New Roman"/>
                <w:szCs w:val="24"/>
              </w:rPr>
              <w:t>regulation of DNA-templated transcription</w:t>
            </w:r>
          </w:p>
        </w:tc>
        <w:tc>
          <w:tcPr>
            <w:tcW w:w="0" w:type="auto"/>
            <w:noWrap/>
            <w:hideMark/>
          </w:tcPr>
          <w:p w14:paraId="37A7F4EB" w14:textId="63B810B6"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2184</w:t>
            </w:r>
          </w:p>
        </w:tc>
        <w:tc>
          <w:tcPr>
            <w:tcW w:w="0" w:type="auto"/>
            <w:noWrap/>
            <w:hideMark/>
          </w:tcPr>
          <w:p w14:paraId="416BB0A4" w14:textId="0E45C993"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23</w:t>
            </w:r>
          </w:p>
        </w:tc>
        <w:tc>
          <w:tcPr>
            <w:tcW w:w="0" w:type="auto"/>
            <w:noWrap/>
            <w:hideMark/>
          </w:tcPr>
          <w:p w14:paraId="5B64522D"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8.52</w:t>
            </w:r>
          </w:p>
        </w:tc>
        <w:tc>
          <w:tcPr>
            <w:tcW w:w="0" w:type="auto"/>
            <w:noWrap/>
            <w:hideMark/>
          </w:tcPr>
          <w:p w14:paraId="32B176F1" w14:textId="77777777"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2.70</w:t>
            </w:r>
          </w:p>
        </w:tc>
        <w:tc>
          <w:tcPr>
            <w:tcW w:w="0" w:type="auto"/>
            <w:noWrap/>
            <w:hideMark/>
          </w:tcPr>
          <w:p w14:paraId="5D2CD949" w14:textId="7AF7879B" w:rsidR="00195017" w:rsidRPr="00195017" w:rsidRDefault="00195017">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95017">
              <w:rPr>
                <w:rFonts w:cs="Times New Roman"/>
                <w:szCs w:val="24"/>
              </w:rPr>
              <w:t>3.28E-02</w:t>
            </w:r>
          </w:p>
        </w:tc>
      </w:tr>
    </w:tbl>
    <w:p w14:paraId="0B150FDA" w14:textId="35387397" w:rsidR="001863CC" w:rsidRPr="00457EF1" w:rsidRDefault="00C513DE" w:rsidP="00457EF1">
      <w:pPr>
        <w:spacing w:before="0" w:after="200" w:line="276" w:lineRule="auto"/>
        <w:rPr>
          <w:rFonts w:cs="Times New Roman"/>
          <w:b/>
          <w:bCs/>
          <w:szCs w:val="24"/>
        </w:rPr>
      </w:pPr>
      <w:r>
        <w:rPr>
          <w:rFonts w:cs="Times New Roman"/>
          <w:b/>
          <w:bCs/>
          <w:szCs w:val="24"/>
        </w:rPr>
        <w:br w:type="page"/>
      </w:r>
      <w:r>
        <w:rPr>
          <w:rFonts w:cs="Times New Roman"/>
          <w:b/>
          <w:bCs/>
          <w:szCs w:val="24"/>
        </w:rPr>
        <w:lastRenderedPageBreak/>
        <w:t xml:space="preserve">Supplementary Table 3. </w:t>
      </w:r>
      <w:r>
        <w:rPr>
          <w:rFonts w:cs="Times New Roman"/>
          <w:szCs w:val="24"/>
        </w:rPr>
        <w:t xml:space="preserve">List of GO terms for Fe upregulated genes that </w:t>
      </w:r>
      <w:r w:rsidR="00060E06">
        <w:rPr>
          <w:rFonts w:cs="Times New Roman"/>
          <w:szCs w:val="24"/>
        </w:rPr>
        <w:t>don’t have rapid response</w:t>
      </w:r>
      <w:r>
        <w:rPr>
          <w:rFonts w:cs="Times New Roman"/>
          <w:szCs w:val="24"/>
        </w:rPr>
        <w:t xml:space="preserve"> to Fe resupply</w:t>
      </w:r>
    </w:p>
    <w:tbl>
      <w:tblPr>
        <w:tblStyle w:val="PlainTable1"/>
        <w:tblW w:w="0" w:type="auto"/>
        <w:tblLayout w:type="fixed"/>
        <w:tblLook w:val="04A0" w:firstRow="1" w:lastRow="0" w:firstColumn="1" w:lastColumn="0" w:noHBand="0" w:noVBand="1"/>
      </w:tblPr>
      <w:tblGrid>
        <w:gridCol w:w="4675"/>
        <w:gridCol w:w="769"/>
        <w:gridCol w:w="542"/>
        <w:gridCol w:w="1119"/>
        <w:gridCol w:w="1530"/>
        <w:gridCol w:w="1132"/>
      </w:tblGrid>
      <w:tr w:rsidR="00060E06" w:rsidRPr="00623F85" w14:paraId="53803EB5" w14:textId="77777777" w:rsidTr="00060E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hideMark/>
          </w:tcPr>
          <w:p w14:paraId="46F77B78" w14:textId="243959D9" w:rsidR="00060E06" w:rsidRPr="00623F85" w:rsidRDefault="00060E06" w:rsidP="00623F85">
            <w:pPr>
              <w:spacing w:before="0" w:after="200" w:line="276" w:lineRule="auto"/>
              <w:rPr>
                <w:rFonts w:cs="Times New Roman"/>
                <w:szCs w:val="24"/>
              </w:rPr>
            </w:pPr>
            <w:r w:rsidRPr="00623F85">
              <w:rPr>
                <w:rFonts w:cs="Times New Roman"/>
                <w:szCs w:val="24"/>
              </w:rPr>
              <w:t>GO biological process complete</w:t>
            </w:r>
          </w:p>
        </w:tc>
        <w:tc>
          <w:tcPr>
            <w:tcW w:w="769" w:type="dxa"/>
            <w:noWrap/>
            <w:hideMark/>
          </w:tcPr>
          <w:p w14:paraId="1F4884BC" w14:textId="64F8832A" w:rsidR="00060E06" w:rsidRPr="00623F85" w:rsidRDefault="00060E06" w:rsidP="00623F85">
            <w:pPr>
              <w:spacing w:before="0" w:after="20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623F85">
              <w:rPr>
                <w:rFonts w:cs="Times New Roman"/>
                <w:szCs w:val="24"/>
              </w:rPr>
              <w:t>#</w:t>
            </w:r>
          </w:p>
        </w:tc>
        <w:tc>
          <w:tcPr>
            <w:tcW w:w="542" w:type="dxa"/>
            <w:noWrap/>
            <w:hideMark/>
          </w:tcPr>
          <w:p w14:paraId="3C18E77B" w14:textId="2B1CF2F7" w:rsidR="00060E06" w:rsidRPr="00623F85" w:rsidRDefault="00060E06" w:rsidP="00623F85">
            <w:pPr>
              <w:spacing w:before="0" w:after="20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623F85">
              <w:rPr>
                <w:rFonts w:cs="Times New Roman"/>
                <w:szCs w:val="24"/>
              </w:rPr>
              <w:t>#</w:t>
            </w:r>
          </w:p>
        </w:tc>
        <w:tc>
          <w:tcPr>
            <w:tcW w:w="1119" w:type="dxa"/>
            <w:noWrap/>
            <w:hideMark/>
          </w:tcPr>
          <w:p w14:paraId="22752297" w14:textId="402E47DB" w:rsidR="00060E06" w:rsidRPr="00623F85" w:rsidRDefault="00060E06" w:rsidP="00623F85">
            <w:pPr>
              <w:spacing w:before="0" w:after="20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623F85">
              <w:rPr>
                <w:rFonts w:cs="Times New Roman"/>
                <w:szCs w:val="24"/>
              </w:rPr>
              <w:t>expected</w:t>
            </w:r>
          </w:p>
        </w:tc>
        <w:tc>
          <w:tcPr>
            <w:tcW w:w="1530" w:type="dxa"/>
            <w:noWrap/>
            <w:hideMark/>
          </w:tcPr>
          <w:p w14:paraId="02BCCA95" w14:textId="12382825" w:rsidR="00060E06" w:rsidRPr="00623F85" w:rsidRDefault="00060E06" w:rsidP="00623F85">
            <w:pPr>
              <w:spacing w:before="0" w:after="20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623F85">
              <w:rPr>
                <w:rFonts w:cs="Times New Roman"/>
                <w:szCs w:val="24"/>
              </w:rPr>
              <w:t>Fold Enrichment</w:t>
            </w:r>
          </w:p>
        </w:tc>
        <w:tc>
          <w:tcPr>
            <w:tcW w:w="1132" w:type="dxa"/>
            <w:noWrap/>
            <w:hideMark/>
          </w:tcPr>
          <w:p w14:paraId="68CB1F64" w14:textId="60D7E3AF" w:rsidR="00060E06" w:rsidRPr="00623F85" w:rsidRDefault="00060E06" w:rsidP="00623F85">
            <w:pPr>
              <w:spacing w:before="0" w:after="200" w:line="276" w:lineRule="auto"/>
              <w:cnfStyle w:val="100000000000" w:firstRow="1" w:lastRow="0" w:firstColumn="0" w:lastColumn="0" w:oddVBand="0" w:evenVBand="0" w:oddHBand="0" w:evenHBand="0" w:firstRowFirstColumn="0" w:firstRowLastColumn="0" w:lastRowFirstColumn="0" w:lastRowLastColumn="0"/>
              <w:rPr>
                <w:rFonts w:cs="Times New Roman"/>
                <w:szCs w:val="24"/>
              </w:rPr>
            </w:pPr>
            <w:r w:rsidRPr="00623F85">
              <w:rPr>
                <w:rFonts w:cs="Times New Roman"/>
                <w:szCs w:val="24"/>
              </w:rPr>
              <w:t>P value</w:t>
            </w:r>
          </w:p>
        </w:tc>
      </w:tr>
      <w:tr w:rsidR="007714E0" w:rsidRPr="00623F85" w14:paraId="3A641EFE" w14:textId="77777777" w:rsidTr="00060E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9F2777F" w14:textId="77528123" w:rsidR="007714E0" w:rsidRPr="00623F85" w:rsidRDefault="007714E0" w:rsidP="007714E0">
            <w:pPr>
              <w:spacing w:before="0" w:after="200" w:line="276" w:lineRule="auto"/>
              <w:rPr>
                <w:rFonts w:cs="Times New Roman"/>
                <w:szCs w:val="24"/>
              </w:rPr>
            </w:pPr>
            <w:r w:rsidRPr="00623F85">
              <w:rPr>
                <w:rFonts w:cs="Times New Roman"/>
                <w:szCs w:val="24"/>
              </w:rPr>
              <w:t>removal of superoxide radicals</w:t>
            </w:r>
          </w:p>
        </w:tc>
        <w:tc>
          <w:tcPr>
            <w:tcW w:w="769" w:type="dxa"/>
            <w:noWrap/>
            <w:hideMark/>
          </w:tcPr>
          <w:p w14:paraId="65DF49DB" w14:textId="472D67AC" w:rsidR="007714E0" w:rsidRPr="00623F85" w:rsidRDefault="007714E0" w:rsidP="007714E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23F85">
              <w:rPr>
                <w:rFonts w:cs="Times New Roman"/>
                <w:szCs w:val="24"/>
              </w:rPr>
              <w:t>11</w:t>
            </w:r>
          </w:p>
        </w:tc>
        <w:tc>
          <w:tcPr>
            <w:tcW w:w="542" w:type="dxa"/>
            <w:noWrap/>
            <w:hideMark/>
          </w:tcPr>
          <w:p w14:paraId="4221472D" w14:textId="4BFFCF00" w:rsidR="007714E0" w:rsidRPr="00623F85" w:rsidRDefault="007714E0" w:rsidP="007714E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623F85">
              <w:rPr>
                <w:rFonts w:cs="Times New Roman"/>
                <w:szCs w:val="24"/>
              </w:rPr>
              <w:t>3</w:t>
            </w:r>
          </w:p>
        </w:tc>
        <w:tc>
          <w:tcPr>
            <w:tcW w:w="1119" w:type="dxa"/>
            <w:noWrap/>
            <w:hideMark/>
          </w:tcPr>
          <w:p w14:paraId="11B4636A" w14:textId="3833769D" w:rsidR="007714E0" w:rsidRPr="00623F85" w:rsidRDefault="007714E0" w:rsidP="007714E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52101">
              <w:t>.02</w:t>
            </w:r>
          </w:p>
        </w:tc>
        <w:tc>
          <w:tcPr>
            <w:tcW w:w="1530" w:type="dxa"/>
            <w:noWrap/>
            <w:hideMark/>
          </w:tcPr>
          <w:p w14:paraId="505699B8" w14:textId="034DEA07" w:rsidR="007714E0" w:rsidRPr="00623F85" w:rsidRDefault="007714E0" w:rsidP="007714E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252101">
              <w:t>&gt; 100</w:t>
            </w:r>
          </w:p>
        </w:tc>
        <w:tc>
          <w:tcPr>
            <w:tcW w:w="1132" w:type="dxa"/>
            <w:noWrap/>
            <w:hideMark/>
          </w:tcPr>
          <w:p w14:paraId="26A59C26" w14:textId="50478230" w:rsidR="007714E0" w:rsidRPr="00623F85" w:rsidRDefault="007714E0" w:rsidP="007714E0">
            <w:pPr>
              <w:spacing w:before="0" w:after="200"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714E0">
              <w:rPr>
                <w:rFonts w:cs="Times New Roman"/>
                <w:szCs w:val="24"/>
              </w:rPr>
              <w:t>2.69E-03</w:t>
            </w:r>
          </w:p>
        </w:tc>
      </w:tr>
      <w:tr w:rsidR="007714E0" w14:paraId="642B86A2" w14:textId="77777777" w:rsidTr="00060E06">
        <w:tc>
          <w:tcPr>
            <w:cnfStyle w:val="001000000000" w:firstRow="0" w:lastRow="0" w:firstColumn="1" w:lastColumn="0" w:oddVBand="0" w:evenVBand="0" w:oddHBand="0" w:evenHBand="0" w:firstRowFirstColumn="0" w:firstRowLastColumn="0" w:lastRowFirstColumn="0" w:lastRowLastColumn="0"/>
            <w:tcW w:w="4675" w:type="dxa"/>
            <w:noWrap/>
            <w:hideMark/>
          </w:tcPr>
          <w:p w14:paraId="7DFFECFC" w14:textId="3C5F6A60" w:rsidR="007714E0" w:rsidRPr="00060E06" w:rsidRDefault="007714E0" w:rsidP="007714E0">
            <w:pPr>
              <w:spacing w:before="0" w:after="0"/>
              <w:rPr>
                <w:rFonts w:cs="Times New Roman"/>
                <w:szCs w:val="24"/>
              </w:rPr>
            </w:pPr>
            <w:r>
              <w:rPr>
                <w:rFonts w:cs="Times New Roman"/>
                <w:szCs w:val="24"/>
              </w:rPr>
              <w:t xml:space="preserve">cellular </w:t>
            </w:r>
            <w:r w:rsidRPr="00060E06">
              <w:rPr>
                <w:rFonts w:cs="Times New Roman"/>
                <w:szCs w:val="24"/>
              </w:rPr>
              <w:t>transition metal ion homeostasis</w:t>
            </w:r>
          </w:p>
        </w:tc>
        <w:tc>
          <w:tcPr>
            <w:tcW w:w="769" w:type="dxa"/>
            <w:noWrap/>
            <w:hideMark/>
          </w:tcPr>
          <w:p w14:paraId="5E337436" w14:textId="66AD5D68" w:rsidR="007714E0" w:rsidRPr="00060E06" w:rsidRDefault="007714E0" w:rsidP="007714E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05EBA">
              <w:t>65</w:t>
            </w:r>
          </w:p>
        </w:tc>
        <w:tc>
          <w:tcPr>
            <w:tcW w:w="542" w:type="dxa"/>
            <w:noWrap/>
            <w:hideMark/>
          </w:tcPr>
          <w:p w14:paraId="76FE2557" w14:textId="2DDF04BC" w:rsidR="007714E0" w:rsidRPr="00060E06" w:rsidRDefault="007714E0" w:rsidP="007714E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05EBA">
              <w:t>4</w:t>
            </w:r>
          </w:p>
        </w:tc>
        <w:tc>
          <w:tcPr>
            <w:tcW w:w="1119" w:type="dxa"/>
            <w:noWrap/>
            <w:hideMark/>
          </w:tcPr>
          <w:p w14:paraId="0EEB5FC3" w14:textId="32E0656F" w:rsidR="007714E0" w:rsidRPr="00060E06" w:rsidRDefault="007714E0" w:rsidP="007714E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05EBA">
              <w:t>.09</w:t>
            </w:r>
          </w:p>
        </w:tc>
        <w:tc>
          <w:tcPr>
            <w:tcW w:w="1530" w:type="dxa"/>
            <w:noWrap/>
            <w:hideMark/>
          </w:tcPr>
          <w:p w14:paraId="76C577B4" w14:textId="4D840F55" w:rsidR="007714E0" w:rsidRPr="00060E06" w:rsidRDefault="007714E0" w:rsidP="007714E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E05EBA">
              <w:t>44.42</w:t>
            </w:r>
          </w:p>
        </w:tc>
        <w:tc>
          <w:tcPr>
            <w:tcW w:w="1132" w:type="dxa"/>
            <w:noWrap/>
            <w:hideMark/>
          </w:tcPr>
          <w:p w14:paraId="3B451460" w14:textId="1A8E12E2" w:rsidR="007714E0" w:rsidRPr="00060E06" w:rsidRDefault="007714E0" w:rsidP="007714E0">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7714E0">
              <w:rPr>
                <w:rFonts w:cs="Times New Roman"/>
                <w:szCs w:val="24"/>
              </w:rPr>
              <w:t>7.72E-03</w:t>
            </w:r>
          </w:p>
        </w:tc>
      </w:tr>
    </w:tbl>
    <w:p w14:paraId="4A7937D2" w14:textId="77777777" w:rsidR="00F15CF6" w:rsidRDefault="00F15CF6">
      <w:pPr>
        <w:spacing w:before="0" w:after="200" w:line="276" w:lineRule="auto"/>
        <w:rPr>
          <w:rFonts w:cs="Times New Roman"/>
          <w:szCs w:val="24"/>
        </w:rPr>
      </w:pPr>
    </w:p>
    <w:p w14:paraId="3B315723" w14:textId="4BCDCF37" w:rsidR="00F15CF6" w:rsidRDefault="00F15CF6" w:rsidP="00F15CF6">
      <w:pPr>
        <w:keepNext/>
        <w:rPr>
          <w:rFonts w:cs="Times New Roman"/>
          <w:szCs w:val="24"/>
        </w:rPr>
      </w:pPr>
      <w:r>
        <w:rPr>
          <w:rFonts w:cs="Times New Roman"/>
          <w:b/>
          <w:bCs/>
          <w:szCs w:val="24"/>
        </w:rPr>
        <w:t xml:space="preserve">Supplementary Table 4. </w:t>
      </w:r>
      <w:r>
        <w:rPr>
          <w:rFonts w:cs="Times New Roman"/>
          <w:szCs w:val="24"/>
        </w:rPr>
        <w:t>List of GO terms for Fe downregulated genes that have rapid response to Fe resupply</w:t>
      </w:r>
    </w:p>
    <w:tbl>
      <w:tblPr>
        <w:tblStyle w:val="PlainTable1"/>
        <w:tblW w:w="9834" w:type="dxa"/>
        <w:tblLook w:val="04A0" w:firstRow="1" w:lastRow="0" w:firstColumn="1" w:lastColumn="0" w:noHBand="0" w:noVBand="1"/>
      </w:tblPr>
      <w:tblGrid>
        <w:gridCol w:w="3853"/>
        <w:gridCol w:w="780"/>
        <w:gridCol w:w="511"/>
        <w:gridCol w:w="1244"/>
        <w:gridCol w:w="2209"/>
        <w:gridCol w:w="1237"/>
      </w:tblGrid>
      <w:tr w:rsidR="00F15CF6" w:rsidRPr="00F15CF6" w14:paraId="106CD26C" w14:textId="77777777" w:rsidTr="00F15CF6">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hideMark/>
          </w:tcPr>
          <w:p w14:paraId="54BA98AF" w14:textId="04FD7FEC" w:rsidR="00F15CF6" w:rsidRPr="00F15CF6" w:rsidRDefault="00F15CF6" w:rsidP="00F15CF6">
            <w:pPr>
              <w:spacing w:before="0" w:after="0"/>
              <w:rPr>
                <w:rFonts w:eastAsia="Times New Roman" w:cs="Times New Roman"/>
                <w:szCs w:val="24"/>
              </w:rPr>
            </w:pPr>
            <w:r w:rsidRPr="00F15CF6">
              <w:rPr>
                <w:rFonts w:eastAsia="Times New Roman" w:cs="Times New Roman"/>
                <w:szCs w:val="24"/>
              </w:rPr>
              <w:t>GO biological process complete</w:t>
            </w:r>
          </w:p>
        </w:tc>
        <w:tc>
          <w:tcPr>
            <w:tcW w:w="0" w:type="auto"/>
            <w:noWrap/>
            <w:hideMark/>
          </w:tcPr>
          <w:p w14:paraId="158051A3" w14:textId="356B6764" w:rsidR="00F15CF6" w:rsidRPr="00F15CF6" w:rsidRDefault="00F15CF6" w:rsidP="00F15C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w:t>
            </w:r>
          </w:p>
        </w:tc>
        <w:tc>
          <w:tcPr>
            <w:tcW w:w="0" w:type="auto"/>
            <w:noWrap/>
            <w:hideMark/>
          </w:tcPr>
          <w:p w14:paraId="76C88871" w14:textId="2AE2C557" w:rsidR="00F15CF6" w:rsidRPr="00F15CF6" w:rsidRDefault="00F15CF6" w:rsidP="00F15C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w:t>
            </w:r>
          </w:p>
        </w:tc>
        <w:tc>
          <w:tcPr>
            <w:tcW w:w="0" w:type="auto"/>
            <w:noWrap/>
            <w:hideMark/>
          </w:tcPr>
          <w:p w14:paraId="06275A07" w14:textId="77777777" w:rsidR="00F15CF6" w:rsidRPr="00F15CF6" w:rsidRDefault="00000000" w:rsidP="00F15C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hyperlink r:id="rId13" w:history="1">
              <w:r w:rsidR="00F15CF6" w:rsidRPr="00F15CF6">
                <w:rPr>
                  <w:rFonts w:eastAsia="Times New Roman" w:cs="Times New Roman"/>
                  <w:szCs w:val="24"/>
                </w:rPr>
                <w:t>expected</w:t>
              </w:r>
            </w:hyperlink>
          </w:p>
        </w:tc>
        <w:tc>
          <w:tcPr>
            <w:tcW w:w="0" w:type="auto"/>
            <w:noWrap/>
            <w:hideMark/>
          </w:tcPr>
          <w:p w14:paraId="2EB58580" w14:textId="58FDC167" w:rsidR="00F15CF6" w:rsidRPr="00F15CF6" w:rsidRDefault="00F15CF6" w:rsidP="00F15C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Fold Enrichment</w:t>
            </w:r>
          </w:p>
        </w:tc>
        <w:tc>
          <w:tcPr>
            <w:tcW w:w="0" w:type="auto"/>
            <w:noWrap/>
            <w:hideMark/>
          </w:tcPr>
          <w:p w14:paraId="21B74F60" w14:textId="08F9051A" w:rsidR="00F15CF6" w:rsidRPr="00F15CF6" w:rsidRDefault="00F15CF6" w:rsidP="00F15CF6">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P value</w:t>
            </w:r>
          </w:p>
        </w:tc>
      </w:tr>
      <w:tr w:rsidR="00F15CF6" w:rsidRPr="00F15CF6" w14:paraId="768BF38F" w14:textId="77777777" w:rsidTr="00F15CF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0" w:type="auto"/>
            <w:noWrap/>
            <w:hideMark/>
          </w:tcPr>
          <w:p w14:paraId="39D123B8" w14:textId="6E44CB29" w:rsidR="00F15CF6" w:rsidRPr="00F15CF6" w:rsidRDefault="00F15CF6" w:rsidP="00F15CF6">
            <w:pPr>
              <w:spacing w:before="0" w:after="0"/>
              <w:rPr>
                <w:rFonts w:eastAsia="Times New Roman" w:cs="Times New Roman"/>
                <w:szCs w:val="24"/>
              </w:rPr>
            </w:pPr>
            <w:r w:rsidRPr="00F15CF6">
              <w:rPr>
                <w:rFonts w:eastAsia="Times New Roman" w:cs="Times New Roman"/>
                <w:szCs w:val="24"/>
              </w:rPr>
              <w:t>response to oxidative stress</w:t>
            </w:r>
          </w:p>
        </w:tc>
        <w:tc>
          <w:tcPr>
            <w:tcW w:w="0" w:type="auto"/>
            <w:noWrap/>
            <w:hideMark/>
          </w:tcPr>
          <w:p w14:paraId="2754234F" w14:textId="315E350F" w:rsidR="00F15CF6" w:rsidRPr="00F15CF6" w:rsidRDefault="00F15CF6" w:rsidP="00F15CF6">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15CF6">
              <w:rPr>
                <w:rFonts w:eastAsia="Times New Roman" w:cs="Times New Roman"/>
                <w:szCs w:val="24"/>
              </w:rPr>
              <w:t>613</w:t>
            </w:r>
          </w:p>
        </w:tc>
        <w:tc>
          <w:tcPr>
            <w:tcW w:w="0" w:type="auto"/>
            <w:noWrap/>
            <w:hideMark/>
          </w:tcPr>
          <w:p w14:paraId="61DB62E4" w14:textId="5D87FCAA" w:rsidR="00F15CF6" w:rsidRPr="00F15CF6" w:rsidRDefault="00F15CF6" w:rsidP="00F15CF6">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15CF6">
              <w:rPr>
                <w:rFonts w:eastAsia="Times New Roman" w:cs="Times New Roman"/>
                <w:szCs w:val="24"/>
              </w:rPr>
              <w:t>9</w:t>
            </w:r>
          </w:p>
        </w:tc>
        <w:tc>
          <w:tcPr>
            <w:tcW w:w="0" w:type="auto"/>
            <w:noWrap/>
            <w:hideMark/>
          </w:tcPr>
          <w:p w14:paraId="386DB2D3" w14:textId="77777777" w:rsidR="00F15CF6" w:rsidRPr="00F15CF6" w:rsidRDefault="00F15CF6" w:rsidP="00F15CF6">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15CF6">
              <w:rPr>
                <w:rFonts w:eastAsia="Times New Roman" w:cs="Times New Roman"/>
                <w:szCs w:val="24"/>
              </w:rPr>
              <w:t>1.36</w:t>
            </w:r>
          </w:p>
        </w:tc>
        <w:tc>
          <w:tcPr>
            <w:tcW w:w="0" w:type="auto"/>
            <w:noWrap/>
            <w:hideMark/>
          </w:tcPr>
          <w:p w14:paraId="63721501" w14:textId="77777777" w:rsidR="00F15CF6" w:rsidRPr="00F15CF6" w:rsidRDefault="00F15CF6" w:rsidP="00F15CF6">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15CF6">
              <w:rPr>
                <w:rFonts w:eastAsia="Times New Roman" w:cs="Times New Roman"/>
                <w:szCs w:val="24"/>
              </w:rPr>
              <w:t>6.60</w:t>
            </w:r>
          </w:p>
        </w:tc>
        <w:tc>
          <w:tcPr>
            <w:tcW w:w="0" w:type="auto"/>
            <w:noWrap/>
            <w:hideMark/>
          </w:tcPr>
          <w:p w14:paraId="5668337C" w14:textId="77777777" w:rsidR="00F15CF6" w:rsidRPr="00F15CF6" w:rsidRDefault="00F15CF6" w:rsidP="00F15CF6">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F15CF6">
              <w:rPr>
                <w:rFonts w:eastAsia="Times New Roman" w:cs="Times New Roman"/>
                <w:szCs w:val="24"/>
              </w:rPr>
              <w:t>2.73E-02</w:t>
            </w:r>
          </w:p>
        </w:tc>
      </w:tr>
      <w:tr w:rsidR="00F15CF6" w:rsidRPr="00F15CF6" w14:paraId="5CAE1F83" w14:textId="77777777" w:rsidTr="00F15CF6">
        <w:trPr>
          <w:trHeight w:val="529"/>
        </w:trPr>
        <w:tc>
          <w:tcPr>
            <w:cnfStyle w:val="001000000000" w:firstRow="0" w:lastRow="0" w:firstColumn="1" w:lastColumn="0" w:oddVBand="0" w:evenVBand="0" w:oddHBand="0" w:evenHBand="0" w:firstRowFirstColumn="0" w:firstRowLastColumn="0" w:lastRowFirstColumn="0" w:lastRowLastColumn="0"/>
            <w:tcW w:w="0" w:type="auto"/>
            <w:noWrap/>
            <w:hideMark/>
          </w:tcPr>
          <w:p w14:paraId="720BBB25" w14:textId="1A4311F8" w:rsidR="00F15CF6" w:rsidRPr="00F15CF6" w:rsidRDefault="00F15CF6" w:rsidP="00F15CF6">
            <w:pPr>
              <w:spacing w:before="0" w:after="0"/>
              <w:rPr>
                <w:rFonts w:eastAsia="Times New Roman" w:cs="Times New Roman"/>
                <w:szCs w:val="24"/>
              </w:rPr>
            </w:pPr>
            <w:r w:rsidRPr="00F15CF6">
              <w:rPr>
                <w:rFonts w:eastAsia="Times New Roman" w:cs="Times New Roman"/>
                <w:szCs w:val="24"/>
              </w:rPr>
              <w:t>response to abiotic stimulus</w:t>
            </w:r>
          </w:p>
        </w:tc>
        <w:tc>
          <w:tcPr>
            <w:tcW w:w="0" w:type="auto"/>
            <w:noWrap/>
            <w:hideMark/>
          </w:tcPr>
          <w:p w14:paraId="47176092" w14:textId="050FC0D7" w:rsidR="00F15CF6" w:rsidRPr="00F15CF6" w:rsidRDefault="00F15CF6" w:rsidP="00F15CF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4114</w:t>
            </w:r>
          </w:p>
        </w:tc>
        <w:tc>
          <w:tcPr>
            <w:tcW w:w="0" w:type="auto"/>
            <w:noWrap/>
            <w:hideMark/>
          </w:tcPr>
          <w:p w14:paraId="66E08AB1" w14:textId="0246B5D8" w:rsidR="00F15CF6" w:rsidRPr="00F15CF6" w:rsidRDefault="00F15CF6" w:rsidP="00F15CF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23</w:t>
            </w:r>
          </w:p>
        </w:tc>
        <w:tc>
          <w:tcPr>
            <w:tcW w:w="0" w:type="auto"/>
            <w:noWrap/>
            <w:hideMark/>
          </w:tcPr>
          <w:p w14:paraId="4F359758" w14:textId="77777777" w:rsidR="00F15CF6" w:rsidRPr="00F15CF6" w:rsidRDefault="00F15CF6" w:rsidP="00F15CF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9.15</w:t>
            </w:r>
          </w:p>
        </w:tc>
        <w:tc>
          <w:tcPr>
            <w:tcW w:w="0" w:type="auto"/>
            <w:noWrap/>
            <w:hideMark/>
          </w:tcPr>
          <w:p w14:paraId="55FBEC26" w14:textId="77777777" w:rsidR="00F15CF6" w:rsidRPr="00F15CF6" w:rsidRDefault="00F15CF6" w:rsidP="00F15CF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2.51</w:t>
            </w:r>
          </w:p>
        </w:tc>
        <w:tc>
          <w:tcPr>
            <w:tcW w:w="0" w:type="auto"/>
            <w:noWrap/>
            <w:hideMark/>
          </w:tcPr>
          <w:p w14:paraId="48ED8FB0" w14:textId="77777777" w:rsidR="00F15CF6" w:rsidRPr="00F15CF6" w:rsidRDefault="00F15CF6" w:rsidP="00F15CF6">
            <w:pPr>
              <w:spacing w:before="0"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F15CF6">
              <w:rPr>
                <w:rFonts w:eastAsia="Times New Roman" w:cs="Times New Roman"/>
                <w:szCs w:val="24"/>
              </w:rPr>
              <w:t>3.79E-02</w:t>
            </w:r>
          </w:p>
        </w:tc>
      </w:tr>
    </w:tbl>
    <w:p w14:paraId="4D0DD059" w14:textId="251D9E0C" w:rsidR="00D4081A" w:rsidRDefault="00D4081A">
      <w:pPr>
        <w:spacing w:before="0" w:after="200" w:line="276" w:lineRule="auto"/>
        <w:rPr>
          <w:rFonts w:cs="Times New Roman"/>
          <w:szCs w:val="24"/>
        </w:rPr>
      </w:pPr>
      <w:r>
        <w:rPr>
          <w:rFonts w:cs="Times New Roman"/>
          <w:szCs w:val="24"/>
        </w:rPr>
        <w:br w:type="page"/>
      </w:r>
    </w:p>
    <w:p w14:paraId="6F71DB6F" w14:textId="44514900" w:rsidR="00B80509" w:rsidRPr="00D4081A" w:rsidRDefault="00D4081A" w:rsidP="00004B47">
      <w:pPr>
        <w:keepNext/>
        <w:rPr>
          <w:rFonts w:cs="Times New Roman"/>
          <w:b/>
          <w:bCs/>
          <w:szCs w:val="24"/>
        </w:rPr>
      </w:pPr>
      <w:r>
        <w:rPr>
          <w:rFonts w:cs="Times New Roman"/>
          <w:b/>
          <w:bCs/>
          <w:szCs w:val="24"/>
        </w:rPr>
        <w:lastRenderedPageBreak/>
        <w:t>Supplementary References</w:t>
      </w:r>
    </w:p>
    <w:p w14:paraId="56F9DA6E" w14:textId="202A3F66" w:rsidR="003D2204" w:rsidRDefault="00C50681" w:rsidP="00D4081A">
      <w:pPr>
        <w:pStyle w:val="ListParagraph"/>
        <w:widowControl w:val="0"/>
        <w:numPr>
          <w:ilvl w:val="6"/>
          <w:numId w:val="19"/>
        </w:numPr>
        <w:autoSpaceDE w:val="0"/>
        <w:autoSpaceDN w:val="0"/>
        <w:adjustRightInd w:val="0"/>
        <w:rPr>
          <w:noProof/>
        </w:rPr>
      </w:pPr>
      <w:r>
        <w:rPr>
          <w:b/>
        </w:rPr>
        <w:fldChar w:fldCharType="begin" w:fldLock="1"/>
      </w:r>
      <w:r w:rsidRPr="00D4081A">
        <w:rPr>
          <w:b/>
        </w:rPr>
        <w:instrText xml:space="preserve">ADDIN Mendeley Bibliography CSL_BIBLIOGRAPHY </w:instrText>
      </w:r>
      <w:r>
        <w:rPr>
          <w:b/>
        </w:rPr>
        <w:fldChar w:fldCharType="separate"/>
      </w:r>
      <w:r w:rsidR="003D2204" w:rsidRPr="00D4081A">
        <w:rPr>
          <w:noProof/>
        </w:rPr>
        <w:t>Akmakjian, G. Z., Riaz, N., and Guerinot, M. L</w:t>
      </w:r>
      <w:r w:rsidR="00D4081A">
        <w:rPr>
          <w:noProof/>
        </w:rPr>
        <w:t>.</w:t>
      </w:r>
      <w:r w:rsidR="003D2204" w:rsidRPr="00D4081A">
        <w:rPr>
          <w:noProof/>
        </w:rPr>
        <w:t xml:space="preserve"> (2021). Photoprotection during iron deficiency is mediated by the bHLH transcription factors PYE and ILR3. </w:t>
      </w:r>
      <w:r w:rsidR="003D2204" w:rsidRPr="00D4081A">
        <w:rPr>
          <w:i/>
          <w:iCs/>
          <w:noProof/>
        </w:rPr>
        <w:t>Proc. Natl. Acad. Sci. U. S. A.</w:t>
      </w:r>
      <w:r w:rsidR="003D2204" w:rsidRPr="00D4081A">
        <w:rPr>
          <w:noProof/>
        </w:rPr>
        <w:t xml:space="preserve"> 118, e2024918118. doi: 10.1073/pnas.2024918118.</w:t>
      </w:r>
    </w:p>
    <w:p w14:paraId="4A3D87A6" w14:textId="3512EA95" w:rsidR="003D2204" w:rsidRDefault="003D2204" w:rsidP="00D4081A">
      <w:pPr>
        <w:pStyle w:val="ListParagraph"/>
        <w:widowControl w:val="0"/>
        <w:numPr>
          <w:ilvl w:val="6"/>
          <w:numId w:val="19"/>
        </w:numPr>
        <w:autoSpaceDE w:val="0"/>
        <w:autoSpaceDN w:val="0"/>
        <w:adjustRightInd w:val="0"/>
        <w:rPr>
          <w:noProof/>
        </w:rPr>
      </w:pPr>
      <w:r w:rsidRPr="00D4081A">
        <w:rPr>
          <w:noProof/>
        </w:rPr>
        <w:t xml:space="preserve">Kumar, R. K., Chu, H. H., Abundis, C., Vasques, K., Rodriguez, D. C., Chia, J. C., et al. (2017). Iron-nicotianamine transporters are required for proper long distance iron signaling. </w:t>
      </w:r>
      <w:r w:rsidRPr="00D4081A">
        <w:rPr>
          <w:i/>
          <w:iCs/>
          <w:noProof/>
        </w:rPr>
        <w:t>Plant Physiol.</w:t>
      </w:r>
      <w:r w:rsidRPr="00D4081A">
        <w:rPr>
          <w:noProof/>
        </w:rPr>
        <w:t xml:space="preserve"> 175, 1254–1268. doi: 10.1104/pp.17.00821.</w:t>
      </w:r>
    </w:p>
    <w:p w14:paraId="3589D567" w14:textId="7F72F10F" w:rsidR="003D2204" w:rsidRDefault="003D2204" w:rsidP="00D4081A">
      <w:pPr>
        <w:pStyle w:val="ListParagraph"/>
        <w:widowControl w:val="0"/>
        <w:numPr>
          <w:ilvl w:val="6"/>
          <w:numId w:val="19"/>
        </w:numPr>
        <w:autoSpaceDE w:val="0"/>
        <w:autoSpaceDN w:val="0"/>
        <w:adjustRightInd w:val="0"/>
        <w:rPr>
          <w:noProof/>
        </w:rPr>
      </w:pPr>
      <w:r w:rsidRPr="00D4081A">
        <w:rPr>
          <w:noProof/>
        </w:rPr>
        <w:t>Mankotia, S., Singh, D., Monika, K., Meena, H., Meena, V., Yadav, R. K., et al. (2022). Elongated Hypocotyl 5 (HY5) regulates BRUTUS (BTS) to maintain Iron homeostasis in Arabidopsis thalian</w:t>
      </w:r>
      <w:r w:rsidR="00D4081A">
        <w:rPr>
          <w:noProof/>
        </w:rPr>
        <w:t>a.</w:t>
      </w:r>
      <w:r w:rsidRPr="00D4081A">
        <w:rPr>
          <w:noProof/>
        </w:rPr>
        <w:t xml:space="preserve"> </w:t>
      </w:r>
      <w:r w:rsidRPr="00D4081A">
        <w:rPr>
          <w:i/>
          <w:iCs/>
          <w:noProof/>
        </w:rPr>
        <w:t>bioRxiv</w:t>
      </w:r>
      <w:r w:rsidRPr="00D4081A">
        <w:rPr>
          <w:noProof/>
        </w:rPr>
        <w:t>, 2022.04.26.489524. doi: 10.1101/2022.04.26.489524.</w:t>
      </w:r>
    </w:p>
    <w:p w14:paraId="03CCB20E" w14:textId="71E3AC50" w:rsidR="003D2204" w:rsidRDefault="003D2204" w:rsidP="00D4081A">
      <w:pPr>
        <w:pStyle w:val="ListParagraph"/>
        <w:widowControl w:val="0"/>
        <w:numPr>
          <w:ilvl w:val="6"/>
          <w:numId w:val="19"/>
        </w:numPr>
        <w:autoSpaceDE w:val="0"/>
        <w:autoSpaceDN w:val="0"/>
        <w:adjustRightInd w:val="0"/>
        <w:rPr>
          <w:noProof/>
        </w:rPr>
      </w:pPr>
      <w:r w:rsidRPr="00D4081A">
        <w:rPr>
          <w:noProof/>
        </w:rPr>
        <w:t xml:space="preserve">Oh, Y. J., Kim, H., Seo, S. H., Hwang, B. G., Chang, Y. S., Lee, J., et al. (2016). Cytochrome b5 Reductase 1 Triggers Serial Reactions that Lead to Iron Uptake in Plants. </w:t>
      </w:r>
      <w:r w:rsidRPr="00D4081A">
        <w:rPr>
          <w:i/>
          <w:iCs/>
          <w:noProof/>
        </w:rPr>
        <w:t>Mol. Plant</w:t>
      </w:r>
      <w:r w:rsidRPr="00D4081A">
        <w:rPr>
          <w:noProof/>
        </w:rPr>
        <w:t xml:space="preserve"> 9, 501–513. doi: 10.1016/j.molp.2015.12.010.</w:t>
      </w:r>
    </w:p>
    <w:p w14:paraId="5ED76A32" w14:textId="15DB3DB3" w:rsidR="003D2204" w:rsidRDefault="003D2204" w:rsidP="00D4081A">
      <w:pPr>
        <w:pStyle w:val="ListParagraph"/>
        <w:widowControl w:val="0"/>
        <w:numPr>
          <w:ilvl w:val="6"/>
          <w:numId w:val="19"/>
        </w:numPr>
        <w:autoSpaceDE w:val="0"/>
        <w:autoSpaceDN w:val="0"/>
        <w:adjustRightInd w:val="0"/>
        <w:rPr>
          <w:noProof/>
        </w:rPr>
      </w:pPr>
      <w:r w:rsidRPr="00D4081A">
        <w:rPr>
          <w:noProof/>
        </w:rPr>
        <w:t xml:space="preserve">Tissot, N., Robe, K., Gao, F., Grant-Grant, S., Boucherez, J., Bellegarde, F., et al. (2019). Transcriptional integration of the responses to iron availability in Arabidopsis by the bHLH factor ILR3. </w:t>
      </w:r>
      <w:r w:rsidRPr="00D4081A">
        <w:rPr>
          <w:i/>
          <w:iCs/>
          <w:noProof/>
        </w:rPr>
        <w:t>New Phytol.</w:t>
      </w:r>
      <w:r w:rsidRPr="00D4081A">
        <w:rPr>
          <w:noProof/>
        </w:rPr>
        <w:t xml:space="preserve"> 223, 1433–1446. doi: https://doi.org/10.1111/nph.15753.</w:t>
      </w:r>
    </w:p>
    <w:p w14:paraId="0911F954" w14:textId="77777777" w:rsidR="003D2204" w:rsidRPr="00D4081A" w:rsidRDefault="003D2204" w:rsidP="00D4081A">
      <w:pPr>
        <w:pStyle w:val="ListParagraph"/>
        <w:widowControl w:val="0"/>
        <w:numPr>
          <w:ilvl w:val="6"/>
          <w:numId w:val="19"/>
        </w:numPr>
        <w:autoSpaceDE w:val="0"/>
        <w:autoSpaceDN w:val="0"/>
        <w:adjustRightInd w:val="0"/>
        <w:rPr>
          <w:noProof/>
        </w:rPr>
      </w:pPr>
      <w:r w:rsidRPr="00D4081A">
        <w:rPr>
          <w:noProof/>
        </w:rPr>
        <w:t xml:space="preserve">Wang, H. Y., Klatte, M., Jakoby, M., Bäumlein, H., Weisshaar, B., and Bauer, P. (2007). Iron deficiency-mediated stress regulation of four subgroup Ib BHLH genes in Arabidopsis thaliana. </w:t>
      </w:r>
      <w:r w:rsidRPr="00D4081A">
        <w:rPr>
          <w:i/>
          <w:iCs/>
          <w:noProof/>
        </w:rPr>
        <w:t>Planta</w:t>
      </w:r>
      <w:r w:rsidRPr="00D4081A">
        <w:rPr>
          <w:noProof/>
        </w:rPr>
        <w:t xml:space="preserve"> 226, 897–908. doi: 10.1007/s00425-007-0535-x.</w:t>
      </w:r>
    </w:p>
    <w:p w14:paraId="3AE196DF" w14:textId="2A36531E" w:rsidR="00994A3D" w:rsidRPr="002B4A57" w:rsidRDefault="00C50681" w:rsidP="002B4A57">
      <w:pPr>
        <w:keepNext/>
        <w:rPr>
          <w:rFonts w:cs="Times New Roman"/>
          <w:b/>
          <w:szCs w:val="24"/>
        </w:rPr>
      </w:pPr>
      <w:r>
        <w:rPr>
          <w:rFonts w:cs="Times New Roman"/>
          <w:b/>
          <w:szCs w:val="24"/>
        </w:rPr>
        <w:fldChar w:fldCharType="end"/>
      </w:r>
    </w:p>
    <w:p w14:paraId="7B65BC41" w14:textId="77777777" w:rsidR="00DE23E8" w:rsidRPr="001549D3" w:rsidRDefault="00DE23E8" w:rsidP="00654E8F">
      <w:pPr>
        <w:spacing w:before="240"/>
      </w:pPr>
    </w:p>
    <w:sectPr w:rsidR="00DE23E8" w:rsidRPr="001549D3" w:rsidSect="0093429D">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606D5" w14:textId="77777777" w:rsidR="00CE4995" w:rsidRDefault="00CE4995" w:rsidP="00117666">
      <w:pPr>
        <w:spacing w:after="0"/>
      </w:pPr>
      <w:r>
        <w:separator/>
      </w:r>
    </w:p>
  </w:endnote>
  <w:endnote w:type="continuationSeparator" w:id="0">
    <w:p w14:paraId="222EC053" w14:textId="77777777" w:rsidR="00CE4995" w:rsidRDefault="00CE499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B32BF" w14:textId="77777777" w:rsidR="00CE4995" w:rsidRDefault="00CE4995" w:rsidP="00117666">
      <w:pPr>
        <w:spacing w:after="0"/>
      </w:pPr>
      <w:r>
        <w:separator/>
      </w:r>
    </w:p>
  </w:footnote>
  <w:footnote w:type="continuationSeparator" w:id="0">
    <w:p w14:paraId="6F255B5D" w14:textId="77777777" w:rsidR="00CE4995" w:rsidRDefault="00CE499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243299853">
    <w:abstractNumId w:val="0"/>
  </w:num>
  <w:num w:numId="2" w16cid:durableId="1247615249">
    <w:abstractNumId w:val="4"/>
  </w:num>
  <w:num w:numId="3" w16cid:durableId="788399999">
    <w:abstractNumId w:val="1"/>
  </w:num>
  <w:num w:numId="4" w16cid:durableId="279805771">
    <w:abstractNumId w:val="5"/>
  </w:num>
  <w:num w:numId="5" w16cid:durableId="506751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8230799">
    <w:abstractNumId w:val="3"/>
  </w:num>
  <w:num w:numId="7" w16cid:durableId="1151556598">
    <w:abstractNumId w:val="6"/>
  </w:num>
  <w:num w:numId="8" w16cid:durableId="154423059">
    <w:abstractNumId w:val="6"/>
  </w:num>
  <w:num w:numId="9" w16cid:durableId="1487549797">
    <w:abstractNumId w:val="6"/>
  </w:num>
  <w:num w:numId="10" w16cid:durableId="511921958">
    <w:abstractNumId w:val="6"/>
  </w:num>
  <w:num w:numId="11" w16cid:durableId="979767791">
    <w:abstractNumId w:val="6"/>
  </w:num>
  <w:num w:numId="12" w16cid:durableId="798112722">
    <w:abstractNumId w:val="6"/>
  </w:num>
  <w:num w:numId="13" w16cid:durableId="1163856673">
    <w:abstractNumId w:val="3"/>
  </w:num>
  <w:num w:numId="14" w16cid:durableId="935406205">
    <w:abstractNumId w:val="2"/>
  </w:num>
  <w:num w:numId="15" w16cid:durableId="377781789">
    <w:abstractNumId w:val="2"/>
  </w:num>
  <w:num w:numId="16" w16cid:durableId="57747011">
    <w:abstractNumId w:val="2"/>
  </w:num>
  <w:num w:numId="17" w16cid:durableId="1295330016">
    <w:abstractNumId w:val="2"/>
  </w:num>
  <w:num w:numId="18" w16cid:durableId="243344382">
    <w:abstractNumId w:val="2"/>
  </w:num>
  <w:num w:numId="19" w16cid:durableId="298457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zMDc2NzE3MjG1sLBU0lEKTi0uzszPAykwqQUAV4DncywAAAA="/>
  </w:docVars>
  <w:rsids>
    <w:rsidRoot w:val="00ED20B5"/>
    <w:rsid w:val="00004B47"/>
    <w:rsid w:val="0001436A"/>
    <w:rsid w:val="00034304"/>
    <w:rsid w:val="00035434"/>
    <w:rsid w:val="00052A14"/>
    <w:rsid w:val="00060E06"/>
    <w:rsid w:val="00077D53"/>
    <w:rsid w:val="000A3854"/>
    <w:rsid w:val="000D5010"/>
    <w:rsid w:val="000F162A"/>
    <w:rsid w:val="00105FD9"/>
    <w:rsid w:val="00117666"/>
    <w:rsid w:val="001227F9"/>
    <w:rsid w:val="001549D3"/>
    <w:rsid w:val="00160065"/>
    <w:rsid w:val="00177D84"/>
    <w:rsid w:val="001863CC"/>
    <w:rsid w:val="00194279"/>
    <w:rsid w:val="00195017"/>
    <w:rsid w:val="00244A06"/>
    <w:rsid w:val="00264AD2"/>
    <w:rsid w:val="00267D18"/>
    <w:rsid w:val="00274347"/>
    <w:rsid w:val="002868E2"/>
    <w:rsid w:val="002869C3"/>
    <w:rsid w:val="002936E4"/>
    <w:rsid w:val="002957E9"/>
    <w:rsid w:val="002B4A57"/>
    <w:rsid w:val="002C74CA"/>
    <w:rsid w:val="003123F4"/>
    <w:rsid w:val="003544FB"/>
    <w:rsid w:val="003B2FAA"/>
    <w:rsid w:val="003C3B00"/>
    <w:rsid w:val="003D2204"/>
    <w:rsid w:val="003D2F2D"/>
    <w:rsid w:val="003F55BE"/>
    <w:rsid w:val="00401590"/>
    <w:rsid w:val="00406E33"/>
    <w:rsid w:val="00447801"/>
    <w:rsid w:val="00452E9C"/>
    <w:rsid w:val="00457EF1"/>
    <w:rsid w:val="00473463"/>
    <w:rsid w:val="004735C8"/>
    <w:rsid w:val="004947A6"/>
    <w:rsid w:val="004961FF"/>
    <w:rsid w:val="00510A3E"/>
    <w:rsid w:val="00517A89"/>
    <w:rsid w:val="005250F2"/>
    <w:rsid w:val="00570F83"/>
    <w:rsid w:val="00593EEA"/>
    <w:rsid w:val="0059707E"/>
    <w:rsid w:val="005A5EEE"/>
    <w:rsid w:val="005D73B4"/>
    <w:rsid w:val="005F0832"/>
    <w:rsid w:val="006141B7"/>
    <w:rsid w:val="00617076"/>
    <w:rsid w:val="00623F85"/>
    <w:rsid w:val="006375C7"/>
    <w:rsid w:val="006548DC"/>
    <w:rsid w:val="00654E8F"/>
    <w:rsid w:val="00660D05"/>
    <w:rsid w:val="006820B1"/>
    <w:rsid w:val="006879DB"/>
    <w:rsid w:val="006A42D6"/>
    <w:rsid w:val="006B5D50"/>
    <w:rsid w:val="006B7D14"/>
    <w:rsid w:val="00701727"/>
    <w:rsid w:val="0070566C"/>
    <w:rsid w:val="00714C50"/>
    <w:rsid w:val="00725A7D"/>
    <w:rsid w:val="00730854"/>
    <w:rsid w:val="007501BE"/>
    <w:rsid w:val="007714E0"/>
    <w:rsid w:val="00790BB3"/>
    <w:rsid w:val="007C206C"/>
    <w:rsid w:val="00800A25"/>
    <w:rsid w:val="00817DD6"/>
    <w:rsid w:val="0083759F"/>
    <w:rsid w:val="0086390D"/>
    <w:rsid w:val="008812E6"/>
    <w:rsid w:val="00885156"/>
    <w:rsid w:val="008C1920"/>
    <w:rsid w:val="008C2CD0"/>
    <w:rsid w:val="009151AA"/>
    <w:rsid w:val="0093429D"/>
    <w:rsid w:val="00943573"/>
    <w:rsid w:val="00964134"/>
    <w:rsid w:val="00970F7D"/>
    <w:rsid w:val="00994A3D"/>
    <w:rsid w:val="009C2B12"/>
    <w:rsid w:val="009E3DD0"/>
    <w:rsid w:val="00A02580"/>
    <w:rsid w:val="00A174D9"/>
    <w:rsid w:val="00A20B9A"/>
    <w:rsid w:val="00A26EED"/>
    <w:rsid w:val="00AA4D24"/>
    <w:rsid w:val="00AB6715"/>
    <w:rsid w:val="00B04B89"/>
    <w:rsid w:val="00B1671E"/>
    <w:rsid w:val="00B25EB8"/>
    <w:rsid w:val="00B37F4D"/>
    <w:rsid w:val="00B80509"/>
    <w:rsid w:val="00BA4DD6"/>
    <w:rsid w:val="00BC70FA"/>
    <w:rsid w:val="00BE664F"/>
    <w:rsid w:val="00C50681"/>
    <w:rsid w:val="00C513DE"/>
    <w:rsid w:val="00C52A7B"/>
    <w:rsid w:val="00C56BAF"/>
    <w:rsid w:val="00C679AA"/>
    <w:rsid w:val="00C75972"/>
    <w:rsid w:val="00CD066B"/>
    <w:rsid w:val="00CE4995"/>
    <w:rsid w:val="00CE4FEE"/>
    <w:rsid w:val="00CF06CB"/>
    <w:rsid w:val="00D060CF"/>
    <w:rsid w:val="00D20B4D"/>
    <w:rsid w:val="00D4081A"/>
    <w:rsid w:val="00DB59C3"/>
    <w:rsid w:val="00DC259A"/>
    <w:rsid w:val="00DE23E8"/>
    <w:rsid w:val="00DF6B5B"/>
    <w:rsid w:val="00E16BC5"/>
    <w:rsid w:val="00E222E5"/>
    <w:rsid w:val="00E52377"/>
    <w:rsid w:val="00E537AD"/>
    <w:rsid w:val="00E61F01"/>
    <w:rsid w:val="00E64E17"/>
    <w:rsid w:val="00E866C9"/>
    <w:rsid w:val="00EA3D3C"/>
    <w:rsid w:val="00EC090A"/>
    <w:rsid w:val="00ED20B5"/>
    <w:rsid w:val="00F15CF6"/>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0D5010"/>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812E6"/>
    <w:rPr>
      <w:color w:val="605E5C"/>
      <w:shd w:val="clear" w:color="auto" w:fill="E1DFDD"/>
    </w:rPr>
  </w:style>
  <w:style w:type="table" w:styleId="PlainTable1">
    <w:name w:val="Plain Table 1"/>
    <w:basedOn w:val="TableNormal"/>
    <w:uiPriority w:val="41"/>
    <w:rsid w:val="00E222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3608">
      <w:bodyDiv w:val="1"/>
      <w:marLeft w:val="0"/>
      <w:marRight w:val="0"/>
      <w:marTop w:val="0"/>
      <w:marBottom w:val="0"/>
      <w:divBdr>
        <w:top w:val="none" w:sz="0" w:space="0" w:color="auto"/>
        <w:left w:val="none" w:sz="0" w:space="0" w:color="auto"/>
        <w:bottom w:val="none" w:sz="0" w:space="0" w:color="auto"/>
        <w:right w:val="none" w:sz="0" w:space="0" w:color="auto"/>
      </w:divBdr>
    </w:div>
    <w:div w:id="47457963">
      <w:bodyDiv w:val="1"/>
      <w:marLeft w:val="0"/>
      <w:marRight w:val="0"/>
      <w:marTop w:val="0"/>
      <w:marBottom w:val="0"/>
      <w:divBdr>
        <w:top w:val="none" w:sz="0" w:space="0" w:color="auto"/>
        <w:left w:val="none" w:sz="0" w:space="0" w:color="auto"/>
        <w:bottom w:val="none" w:sz="0" w:space="0" w:color="auto"/>
        <w:right w:val="none" w:sz="0" w:space="0" w:color="auto"/>
      </w:divBdr>
    </w:div>
    <w:div w:id="73356111">
      <w:bodyDiv w:val="1"/>
      <w:marLeft w:val="0"/>
      <w:marRight w:val="0"/>
      <w:marTop w:val="0"/>
      <w:marBottom w:val="0"/>
      <w:divBdr>
        <w:top w:val="none" w:sz="0" w:space="0" w:color="auto"/>
        <w:left w:val="none" w:sz="0" w:space="0" w:color="auto"/>
        <w:bottom w:val="none" w:sz="0" w:space="0" w:color="auto"/>
        <w:right w:val="none" w:sz="0" w:space="0" w:color="auto"/>
      </w:divBdr>
    </w:div>
    <w:div w:id="149181969">
      <w:bodyDiv w:val="1"/>
      <w:marLeft w:val="0"/>
      <w:marRight w:val="0"/>
      <w:marTop w:val="0"/>
      <w:marBottom w:val="0"/>
      <w:divBdr>
        <w:top w:val="none" w:sz="0" w:space="0" w:color="auto"/>
        <w:left w:val="none" w:sz="0" w:space="0" w:color="auto"/>
        <w:bottom w:val="none" w:sz="0" w:space="0" w:color="auto"/>
        <w:right w:val="none" w:sz="0" w:space="0" w:color="auto"/>
      </w:divBdr>
    </w:div>
    <w:div w:id="237255772">
      <w:bodyDiv w:val="1"/>
      <w:marLeft w:val="0"/>
      <w:marRight w:val="0"/>
      <w:marTop w:val="0"/>
      <w:marBottom w:val="0"/>
      <w:divBdr>
        <w:top w:val="none" w:sz="0" w:space="0" w:color="auto"/>
        <w:left w:val="none" w:sz="0" w:space="0" w:color="auto"/>
        <w:bottom w:val="none" w:sz="0" w:space="0" w:color="auto"/>
        <w:right w:val="none" w:sz="0" w:space="0" w:color="auto"/>
      </w:divBdr>
    </w:div>
    <w:div w:id="301231288">
      <w:bodyDiv w:val="1"/>
      <w:marLeft w:val="0"/>
      <w:marRight w:val="0"/>
      <w:marTop w:val="0"/>
      <w:marBottom w:val="0"/>
      <w:divBdr>
        <w:top w:val="none" w:sz="0" w:space="0" w:color="auto"/>
        <w:left w:val="none" w:sz="0" w:space="0" w:color="auto"/>
        <w:bottom w:val="none" w:sz="0" w:space="0" w:color="auto"/>
        <w:right w:val="none" w:sz="0" w:space="0" w:color="auto"/>
      </w:divBdr>
    </w:div>
    <w:div w:id="307248500">
      <w:bodyDiv w:val="1"/>
      <w:marLeft w:val="0"/>
      <w:marRight w:val="0"/>
      <w:marTop w:val="0"/>
      <w:marBottom w:val="0"/>
      <w:divBdr>
        <w:top w:val="none" w:sz="0" w:space="0" w:color="auto"/>
        <w:left w:val="none" w:sz="0" w:space="0" w:color="auto"/>
        <w:bottom w:val="none" w:sz="0" w:space="0" w:color="auto"/>
        <w:right w:val="none" w:sz="0" w:space="0" w:color="auto"/>
      </w:divBdr>
    </w:div>
    <w:div w:id="311301640">
      <w:bodyDiv w:val="1"/>
      <w:marLeft w:val="0"/>
      <w:marRight w:val="0"/>
      <w:marTop w:val="0"/>
      <w:marBottom w:val="0"/>
      <w:divBdr>
        <w:top w:val="none" w:sz="0" w:space="0" w:color="auto"/>
        <w:left w:val="none" w:sz="0" w:space="0" w:color="auto"/>
        <w:bottom w:val="none" w:sz="0" w:space="0" w:color="auto"/>
        <w:right w:val="none" w:sz="0" w:space="0" w:color="auto"/>
      </w:divBdr>
    </w:div>
    <w:div w:id="32054938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334116432">
      <w:bodyDiv w:val="1"/>
      <w:marLeft w:val="0"/>
      <w:marRight w:val="0"/>
      <w:marTop w:val="0"/>
      <w:marBottom w:val="0"/>
      <w:divBdr>
        <w:top w:val="none" w:sz="0" w:space="0" w:color="auto"/>
        <w:left w:val="none" w:sz="0" w:space="0" w:color="auto"/>
        <w:bottom w:val="none" w:sz="0" w:space="0" w:color="auto"/>
        <w:right w:val="none" w:sz="0" w:space="0" w:color="auto"/>
      </w:divBdr>
    </w:div>
    <w:div w:id="387656304">
      <w:bodyDiv w:val="1"/>
      <w:marLeft w:val="0"/>
      <w:marRight w:val="0"/>
      <w:marTop w:val="0"/>
      <w:marBottom w:val="0"/>
      <w:divBdr>
        <w:top w:val="none" w:sz="0" w:space="0" w:color="auto"/>
        <w:left w:val="none" w:sz="0" w:space="0" w:color="auto"/>
        <w:bottom w:val="none" w:sz="0" w:space="0" w:color="auto"/>
        <w:right w:val="none" w:sz="0" w:space="0" w:color="auto"/>
      </w:divBdr>
    </w:div>
    <w:div w:id="389153369">
      <w:bodyDiv w:val="1"/>
      <w:marLeft w:val="0"/>
      <w:marRight w:val="0"/>
      <w:marTop w:val="0"/>
      <w:marBottom w:val="0"/>
      <w:divBdr>
        <w:top w:val="none" w:sz="0" w:space="0" w:color="auto"/>
        <w:left w:val="none" w:sz="0" w:space="0" w:color="auto"/>
        <w:bottom w:val="none" w:sz="0" w:space="0" w:color="auto"/>
        <w:right w:val="none" w:sz="0" w:space="0" w:color="auto"/>
      </w:divBdr>
    </w:div>
    <w:div w:id="414018438">
      <w:bodyDiv w:val="1"/>
      <w:marLeft w:val="0"/>
      <w:marRight w:val="0"/>
      <w:marTop w:val="0"/>
      <w:marBottom w:val="0"/>
      <w:divBdr>
        <w:top w:val="none" w:sz="0" w:space="0" w:color="auto"/>
        <w:left w:val="none" w:sz="0" w:space="0" w:color="auto"/>
        <w:bottom w:val="none" w:sz="0" w:space="0" w:color="auto"/>
        <w:right w:val="none" w:sz="0" w:space="0" w:color="auto"/>
      </w:divBdr>
    </w:div>
    <w:div w:id="422916244">
      <w:bodyDiv w:val="1"/>
      <w:marLeft w:val="0"/>
      <w:marRight w:val="0"/>
      <w:marTop w:val="0"/>
      <w:marBottom w:val="0"/>
      <w:divBdr>
        <w:top w:val="none" w:sz="0" w:space="0" w:color="auto"/>
        <w:left w:val="none" w:sz="0" w:space="0" w:color="auto"/>
        <w:bottom w:val="none" w:sz="0" w:space="0" w:color="auto"/>
        <w:right w:val="none" w:sz="0" w:space="0" w:color="auto"/>
      </w:divBdr>
    </w:div>
    <w:div w:id="432894221">
      <w:bodyDiv w:val="1"/>
      <w:marLeft w:val="0"/>
      <w:marRight w:val="0"/>
      <w:marTop w:val="0"/>
      <w:marBottom w:val="0"/>
      <w:divBdr>
        <w:top w:val="none" w:sz="0" w:space="0" w:color="auto"/>
        <w:left w:val="none" w:sz="0" w:space="0" w:color="auto"/>
        <w:bottom w:val="none" w:sz="0" w:space="0" w:color="auto"/>
        <w:right w:val="none" w:sz="0" w:space="0" w:color="auto"/>
      </w:divBdr>
    </w:div>
    <w:div w:id="469834532">
      <w:bodyDiv w:val="1"/>
      <w:marLeft w:val="0"/>
      <w:marRight w:val="0"/>
      <w:marTop w:val="0"/>
      <w:marBottom w:val="0"/>
      <w:divBdr>
        <w:top w:val="none" w:sz="0" w:space="0" w:color="auto"/>
        <w:left w:val="none" w:sz="0" w:space="0" w:color="auto"/>
        <w:bottom w:val="none" w:sz="0" w:space="0" w:color="auto"/>
        <w:right w:val="none" w:sz="0" w:space="0" w:color="auto"/>
      </w:divBdr>
    </w:div>
    <w:div w:id="532420115">
      <w:bodyDiv w:val="1"/>
      <w:marLeft w:val="0"/>
      <w:marRight w:val="0"/>
      <w:marTop w:val="0"/>
      <w:marBottom w:val="0"/>
      <w:divBdr>
        <w:top w:val="none" w:sz="0" w:space="0" w:color="auto"/>
        <w:left w:val="none" w:sz="0" w:space="0" w:color="auto"/>
        <w:bottom w:val="none" w:sz="0" w:space="0" w:color="auto"/>
        <w:right w:val="none" w:sz="0" w:space="0" w:color="auto"/>
      </w:divBdr>
    </w:div>
    <w:div w:id="575474123">
      <w:bodyDiv w:val="1"/>
      <w:marLeft w:val="0"/>
      <w:marRight w:val="0"/>
      <w:marTop w:val="0"/>
      <w:marBottom w:val="0"/>
      <w:divBdr>
        <w:top w:val="none" w:sz="0" w:space="0" w:color="auto"/>
        <w:left w:val="none" w:sz="0" w:space="0" w:color="auto"/>
        <w:bottom w:val="none" w:sz="0" w:space="0" w:color="auto"/>
        <w:right w:val="none" w:sz="0" w:space="0" w:color="auto"/>
      </w:divBdr>
    </w:div>
    <w:div w:id="575553982">
      <w:bodyDiv w:val="1"/>
      <w:marLeft w:val="0"/>
      <w:marRight w:val="0"/>
      <w:marTop w:val="0"/>
      <w:marBottom w:val="0"/>
      <w:divBdr>
        <w:top w:val="none" w:sz="0" w:space="0" w:color="auto"/>
        <w:left w:val="none" w:sz="0" w:space="0" w:color="auto"/>
        <w:bottom w:val="none" w:sz="0" w:space="0" w:color="auto"/>
        <w:right w:val="none" w:sz="0" w:space="0" w:color="auto"/>
      </w:divBdr>
    </w:div>
    <w:div w:id="624698689">
      <w:bodyDiv w:val="1"/>
      <w:marLeft w:val="0"/>
      <w:marRight w:val="0"/>
      <w:marTop w:val="0"/>
      <w:marBottom w:val="0"/>
      <w:divBdr>
        <w:top w:val="none" w:sz="0" w:space="0" w:color="auto"/>
        <w:left w:val="none" w:sz="0" w:space="0" w:color="auto"/>
        <w:bottom w:val="none" w:sz="0" w:space="0" w:color="auto"/>
        <w:right w:val="none" w:sz="0" w:space="0" w:color="auto"/>
      </w:divBdr>
    </w:div>
    <w:div w:id="668097214">
      <w:bodyDiv w:val="1"/>
      <w:marLeft w:val="0"/>
      <w:marRight w:val="0"/>
      <w:marTop w:val="0"/>
      <w:marBottom w:val="0"/>
      <w:divBdr>
        <w:top w:val="none" w:sz="0" w:space="0" w:color="auto"/>
        <w:left w:val="none" w:sz="0" w:space="0" w:color="auto"/>
        <w:bottom w:val="none" w:sz="0" w:space="0" w:color="auto"/>
        <w:right w:val="none" w:sz="0" w:space="0" w:color="auto"/>
      </w:divBdr>
    </w:div>
    <w:div w:id="698315734">
      <w:bodyDiv w:val="1"/>
      <w:marLeft w:val="0"/>
      <w:marRight w:val="0"/>
      <w:marTop w:val="0"/>
      <w:marBottom w:val="0"/>
      <w:divBdr>
        <w:top w:val="none" w:sz="0" w:space="0" w:color="auto"/>
        <w:left w:val="none" w:sz="0" w:space="0" w:color="auto"/>
        <w:bottom w:val="none" w:sz="0" w:space="0" w:color="auto"/>
        <w:right w:val="none" w:sz="0" w:space="0" w:color="auto"/>
      </w:divBdr>
    </w:div>
    <w:div w:id="793986204">
      <w:bodyDiv w:val="1"/>
      <w:marLeft w:val="0"/>
      <w:marRight w:val="0"/>
      <w:marTop w:val="0"/>
      <w:marBottom w:val="0"/>
      <w:divBdr>
        <w:top w:val="none" w:sz="0" w:space="0" w:color="auto"/>
        <w:left w:val="none" w:sz="0" w:space="0" w:color="auto"/>
        <w:bottom w:val="none" w:sz="0" w:space="0" w:color="auto"/>
        <w:right w:val="none" w:sz="0" w:space="0" w:color="auto"/>
      </w:divBdr>
    </w:div>
    <w:div w:id="820775407">
      <w:bodyDiv w:val="1"/>
      <w:marLeft w:val="0"/>
      <w:marRight w:val="0"/>
      <w:marTop w:val="0"/>
      <w:marBottom w:val="0"/>
      <w:divBdr>
        <w:top w:val="none" w:sz="0" w:space="0" w:color="auto"/>
        <w:left w:val="none" w:sz="0" w:space="0" w:color="auto"/>
        <w:bottom w:val="none" w:sz="0" w:space="0" w:color="auto"/>
        <w:right w:val="none" w:sz="0" w:space="0" w:color="auto"/>
      </w:divBdr>
    </w:div>
    <w:div w:id="867789509">
      <w:bodyDiv w:val="1"/>
      <w:marLeft w:val="0"/>
      <w:marRight w:val="0"/>
      <w:marTop w:val="0"/>
      <w:marBottom w:val="0"/>
      <w:divBdr>
        <w:top w:val="none" w:sz="0" w:space="0" w:color="auto"/>
        <w:left w:val="none" w:sz="0" w:space="0" w:color="auto"/>
        <w:bottom w:val="none" w:sz="0" w:space="0" w:color="auto"/>
        <w:right w:val="none" w:sz="0" w:space="0" w:color="auto"/>
      </w:divBdr>
    </w:div>
    <w:div w:id="875235484">
      <w:bodyDiv w:val="1"/>
      <w:marLeft w:val="0"/>
      <w:marRight w:val="0"/>
      <w:marTop w:val="0"/>
      <w:marBottom w:val="0"/>
      <w:divBdr>
        <w:top w:val="none" w:sz="0" w:space="0" w:color="auto"/>
        <w:left w:val="none" w:sz="0" w:space="0" w:color="auto"/>
        <w:bottom w:val="none" w:sz="0" w:space="0" w:color="auto"/>
        <w:right w:val="none" w:sz="0" w:space="0" w:color="auto"/>
      </w:divBdr>
    </w:div>
    <w:div w:id="923877986">
      <w:bodyDiv w:val="1"/>
      <w:marLeft w:val="0"/>
      <w:marRight w:val="0"/>
      <w:marTop w:val="0"/>
      <w:marBottom w:val="0"/>
      <w:divBdr>
        <w:top w:val="none" w:sz="0" w:space="0" w:color="auto"/>
        <w:left w:val="none" w:sz="0" w:space="0" w:color="auto"/>
        <w:bottom w:val="none" w:sz="0" w:space="0" w:color="auto"/>
        <w:right w:val="none" w:sz="0" w:space="0" w:color="auto"/>
      </w:divBdr>
    </w:div>
    <w:div w:id="1008600310">
      <w:bodyDiv w:val="1"/>
      <w:marLeft w:val="0"/>
      <w:marRight w:val="0"/>
      <w:marTop w:val="0"/>
      <w:marBottom w:val="0"/>
      <w:divBdr>
        <w:top w:val="none" w:sz="0" w:space="0" w:color="auto"/>
        <w:left w:val="none" w:sz="0" w:space="0" w:color="auto"/>
        <w:bottom w:val="none" w:sz="0" w:space="0" w:color="auto"/>
        <w:right w:val="none" w:sz="0" w:space="0" w:color="auto"/>
      </w:divBdr>
    </w:div>
    <w:div w:id="1026099917">
      <w:bodyDiv w:val="1"/>
      <w:marLeft w:val="0"/>
      <w:marRight w:val="0"/>
      <w:marTop w:val="0"/>
      <w:marBottom w:val="0"/>
      <w:divBdr>
        <w:top w:val="none" w:sz="0" w:space="0" w:color="auto"/>
        <w:left w:val="none" w:sz="0" w:space="0" w:color="auto"/>
        <w:bottom w:val="none" w:sz="0" w:space="0" w:color="auto"/>
        <w:right w:val="none" w:sz="0" w:space="0" w:color="auto"/>
      </w:divBdr>
    </w:div>
    <w:div w:id="1118837722">
      <w:bodyDiv w:val="1"/>
      <w:marLeft w:val="0"/>
      <w:marRight w:val="0"/>
      <w:marTop w:val="0"/>
      <w:marBottom w:val="0"/>
      <w:divBdr>
        <w:top w:val="none" w:sz="0" w:space="0" w:color="auto"/>
        <w:left w:val="none" w:sz="0" w:space="0" w:color="auto"/>
        <w:bottom w:val="none" w:sz="0" w:space="0" w:color="auto"/>
        <w:right w:val="none" w:sz="0" w:space="0" w:color="auto"/>
      </w:divBdr>
    </w:div>
    <w:div w:id="1138306712">
      <w:bodyDiv w:val="1"/>
      <w:marLeft w:val="0"/>
      <w:marRight w:val="0"/>
      <w:marTop w:val="0"/>
      <w:marBottom w:val="0"/>
      <w:divBdr>
        <w:top w:val="none" w:sz="0" w:space="0" w:color="auto"/>
        <w:left w:val="none" w:sz="0" w:space="0" w:color="auto"/>
        <w:bottom w:val="none" w:sz="0" w:space="0" w:color="auto"/>
        <w:right w:val="none" w:sz="0" w:space="0" w:color="auto"/>
      </w:divBdr>
    </w:div>
    <w:div w:id="1145003786">
      <w:bodyDiv w:val="1"/>
      <w:marLeft w:val="0"/>
      <w:marRight w:val="0"/>
      <w:marTop w:val="0"/>
      <w:marBottom w:val="0"/>
      <w:divBdr>
        <w:top w:val="none" w:sz="0" w:space="0" w:color="auto"/>
        <w:left w:val="none" w:sz="0" w:space="0" w:color="auto"/>
        <w:bottom w:val="none" w:sz="0" w:space="0" w:color="auto"/>
        <w:right w:val="none" w:sz="0" w:space="0" w:color="auto"/>
      </w:divBdr>
    </w:div>
    <w:div w:id="1191993829">
      <w:bodyDiv w:val="1"/>
      <w:marLeft w:val="0"/>
      <w:marRight w:val="0"/>
      <w:marTop w:val="0"/>
      <w:marBottom w:val="0"/>
      <w:divBdr>
        <w:top w:val="none" w:sz="0" w:space="0" w:color="auto"/>
        <w:left w:val="none" w:sz="0" w:space="0" w:color="auto"/>
        <w:bottom w:val="none" w:sz="0" w:space="0" w:color="auto"/>
        <w:right w:val="none" w:sz="0" w:space="0" w:color="auto"/>
      </w:divBdr>
    </w:div>
    <w:div w:id="1207529963">
      <w:bodyDiv w:val="1"/>
      <w:marLeft w:val="0"/>
      <w:marRight w:val="0"/>
      <w:marTop w:val="0"/>
      <w:marBottom w:val="0"/>
      <w:divBdr>
        <w:top w:val="none" w:sz="0" w:space="0" w:color="auto"/>
        <w:left w:val="none" w:sz="0" w:space="0" w:color="auto"/>
        <w:bottom w:val="none" w:sz="0" w:space="0" w:color="auto"/>
        <w:right w:val="none" w:sz="0" w:space="0" w:color="auto"/>
      </w:divBdr>
    </w:div>
    <w:div w:id="1227764980">
      <w:bodyDiv w:val="1"/>
      <w:marLeft w:val="0"/>
      <w:marRight w:val="0"/>
      <w:marTop w:val="0"/>
      <w:marBottom w:val="0"/>
      <w:divBdr>
        <w:top w:val="none" w:sz="0" w:space="0" w:color="auto"/>
        <w:left w:val="none" w:sz="0" w:space="0" w:color="auto"/>
        <w:bottom w:val="none" w:sz="0" w:space="0" w:color="auto"/>
        <w:right w:val="none" w:sz="0" w:space="0" w:color="auto"/>
      </w:divBdr>
    </w:div>
    <w:div w:id="1314800569">
      <w:bodyDiv w:val="1"/>
      <w:marLeft w:val="0"/>
      <w:marRight w:val="0"/>
      <w:marTop w:val="0"/>
      <w:marBottom w:val="0"/>
      <w:divBdr>
        <w:top w:val="none" w:sz="0" w:space="0" w:color="auto"/>
        <w:left w:val="none" w:sz="0" w:space="0" w:color="auto"/>
        <w:bottom w:val="none" w:sz="0" w:space="0" w:color="auto"/>
        <w:right w:val="none" w:sz="0" w:space="0" w:color="auto"/>
      </w:divBdr>
    </w:div>
    <w:div w:id="1424183991">
      <w:bodyDiv w:val="1"/>
      <w:marLeft w:val="0"/>
      <w:marRight w:val="0"/>
      <w:marTop w:val="0"/>
      <w:marBottom w:val="0"/>
      <w:divBdr>
        <w:top w:val="none" w:sz="0" w:space="0" w:color="auto"/>
        <w:left w:val="none" w:sz="0" w:space="0" w:color="auto"/>
        <w:bottom w:val="none" w:sz="0" w:space="0" w:color="auto"/>
        <w:right w:val="none" w:sz="0" w:space="0" w:color="auto"/>
      </w:divBdr>
    </w:div>
    <w:div w:id="1433478837">
      <w:bodyDiv w:val="1"/>
      <w:marLeft w:val="0"/>
      <w:marRight w:val="0"/>
      <w:marTop w:val="0"/>
      <w:marBottom w:val="0"/>
      <w:divBdr>
        <w:top w:val="none" w:sz="0" w:space="0" w:color="auto"/>
        <w:left w:val="none" w:sz="0" w:space="0" w:color="auto"/>
        <w:bottom w:val="none" w:sz="0" w:space="0" w:color="auto"/>
        <w:right w:val="none" w:sz="0" w:space="0" w:color="auto"/>
      </w:divBdr>
    </w:div>
    <w:div w:id="1484156050">
      <w:bodyDiv w:val="1"/>
      <w:marLeft w:val="0"/>
      <w:marRight w:val="0"/>
      <w:marTop w:val="0"/>
      <w:marBottom w:val="0"/>
      <w:divBdr>
        <w:top w:val="none" w:sz="0" w:space="0" w:color="auto"/>
        <w:left w:val="none" w:sz="0" w:space="0" w:color="auto"/>
        <w:bottom w:val="none" w:sz="0" w:space="0" w:color="auto"/>
        <w:right w:val="none" w:sz="0" w:space="0" w:color="auto"/>
      </w:divBdr>
    </w:div>
    <w:div w:id="148473919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52811281">
      <w:bodyDiv w:val="1"/>
      <w:marLeft w:val="0"/>
      <w:marRight w:val="0"/>
      <w:marTop w:val="0"/>
      <w:marBottom w:val="0"/>
      <w:divBdr>
        <w:top w:val="none" w:sz="0" w:space="0" w:color="auto"/>
        <w:left w:val="none" w:sz="0" w:space="0" w:color="auto"/>
        <w:bottom w:val="none" w:sz="0" w:space="0" w:color="auto"/>
        <w:right w:val="none" w:sz="0" w:space="0" w:color="auto"/>
      </w:divBdr>
    </w:div>
    <w:div w:id="1715234163">
      <w:bodyDiv w:val="1"/>
      <w:marLeft w:val="0"/>
      <w:marRight w:val="0"/>
      <w:marTop w:val="0"/>
      <w:marBottom w:val="0"/>
      <w:divBdr>
        <w:top w:val="none" w:sz="0" w:space="0" w:color="auto"/>
        <w:left w:val="none" w:sz="0" w:space="0" w:color="auto"/>
        <w:bottom w:val="none" w:sz="0" w:space="0" w:color="auto"/>
        <w:right w:val="none" w:sz="0" w:space="0" w:color="auto"/>
      </w:divBdr>
    </w:div>
    <w:div w:id="1768303329">
      <w:bodyDiv w:val="1"/>
      <w:marLeft w:val="0"/>
      <w:marRight w:val="0"/>
      <w:marTop w:val="0"/>
      <w:marBottom w:val="0"/>
      <w:divBdr>
        <w:top w:val="none" w:sz="0" w:space="0" w:color="auto"/>
        <w:left w:val="none" w:sz="0" w:space="0" w:color="auto"/>
        <w:bottom w:val="none" w:sz="0" w:space="0" w:color="auto"/>
        <w:right w:val="none" w:sz="0" w:space="0" w:color="auto"/>
      </w:divBdr>
    </w:div>
    <w:div w:id="1962109946">
      <w:bodyDiv w:val="1"/>
      <w:marLeft w:val="0"/>
      <w:marRight w:val="0"/>
      <w:marTop w:val="0"/>
      <w:marBottom w:val="0"/>
      <w:divBdr>
        <w:top w:val="none" w:sz="0" w:space="0" w:color="auto"/>
        <w:left w:val="none" w:sz="0" w:space="0" w:color="auto"/>
        <w:bottom w:val="none" w:sz="0" w:space="0" w:color="auto"/>
        <w:right w:val="none" w:sz="0" w:space="0" w:color="auto"/>
      </w:divBdr>
    </w:div>
    <w:div w:id="1962419772">
      <w:bodyDiv w:val="1"/>
      <w:marLeft w:val="0"/>
      <w:marRight w:val="0"/>
      <w:marTop w:val="0"/>
      <w:marBottom w:val="0"/>
      <w:divBdr>
        <w:top w:val="none" w:sz="0" w:space="0" w:color="auto"/>
        <w:left w:val="none" w:sz="0" w:space="0" w:color="auto"/>
        <w:bottom w:val="none" w:sz="0" w:space="0" w:color="auto"/>
        <w:right w:val="none" w:sz="0" w:space="0" w:color="auto"/>
      </w:divBdr>
    </w:div>
    <w:div w:id="2020153334">
      <w:bodyDiv w:val="1"/>
      <w:marLeft w:val="0"/>
      <w:marRight w:val="0"/>
      <w:marTop w:val="0"/>
      <w:marBottom w:val="0"/>
      <w:divBdr>
        <w:top w:val="none" w:sz="0" w:space="0" w:color="auto"/>
        <w:left w:val="none" w:sz="0" w:space="0" w:color="auto"/>
        <w:bottom w:val="none" w:sz="0" w:space="0" w:color="auto"/>
        <w:right w:val="none" w:sz="0" w:space="0" w:color="auto"/>
      </w:divBdr>
    </w:div>
    <w:div w:id="2051611602">
      <w:bodyDiv w:val="1"/>
      <w:marLeft w:val="0"/>
      <w:marRight w:val="0"/>
      <w:marTop w:val="0"/>
      <w:marBottom w:val="0"/>
      <w:divBdr>
        <w:top w:val="none" w:sz="0" w:space="0" w:color="auto"/>
        <w:left w:val="none" w:sz="0" w:space="0" w:color="auto"/>
        <w:bottom w:val="none" w:sz="0" w:space="0" w:color="auto"/>
        <w:right w:val="none" w:sz="0" w:space="0" w:color="auto"/>
      </w:divBdr>
    </w:div>
    <w:div w:id="2088573010">
      <w:bodyDiv w:val="1"/>
      <w:marLeft w:val="0"/>
      <w:marRight w:val="0"/>
      <w:marTop w:val="0"/>
      <w:marBottom w:val="0"/>
      <w:divBdr>
        <w:top w:val="none" w:sz="0" w:space="0" w:color="auto"/>
        <w:left w:val="none" w:sz="0" w:space="0" w:color="auto"/>
        <w:bottom w:val="none" w:sz="0" w:space="0" w:color="auto"/>
        <w:right w:val="none" w:sz="0" w:space="0" w:color="auto"/>
      </w:divBdr>
    </w:div>
    <w:div w:id="2136825968">
      <w:bodyDiv w:val="1"/>
      <w:marLeft w:val="0"/>
      <w:marRight w:val="0"/>
      <w:marTop w:val="0"/>
      <w:marBottom w:val="0"/>
      <w:divBdr>
        <w:top w:val="none" w:sz="0" w:space="0" w:color="auto"/>
        <w:left w:val="none" w:sz="0" w:space="0" w:color="auto"/>
        <w:bottom w:val="none" w:sz="0" w:space="0" w:color="auto"/>
        <w:right w:val="none" w:sz="0" w:space="0" w:color="auto"/>
      </w:divBdr>
    </w:div>
    <w:div w:id="214651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go.pantherdb.org/tools/compareToRefList.jsp?sortOrder=2&amp;sortList=upload_1&amp;sortField=ex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TotalTime>
  <Pages>9</Pages>
  <Words>13355</Words>
  <Characters>76125</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Elsbeth Walker</cp:lastModifiedBy>
  <cp:revision>2</cp:revision>
  <cp:lastPrinted>2013-10-03T12:51:00Z</cp:lastPrinted>
  <dcterms:created xsi:type="dcterms:W3CDTF">2022-09-06T18:31:00Z</dcterms:created>
  <dcterms:modified xsi:type="dcterms:W3CDTF">2022-09-06T18:31:00Z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fe6a47bd-06f0-3750-b180-ecab62c3c198</vt:lpwstr>
  </property>
  <property fmtid="{D5CDD505-2E9C-101B-9397-08002B2CF9AE}" pid="4" name="Mendeley Citation Style_1">
    <vt:lpwstr>http://www.zotero.org/styles/frontiers-in-plant-science</vt:lpwstr>
  </property>
  <property fmtid="{D5CDD505-2E9C-101B-9397-08002B2CF9AE}" pid="5" name="Mendeley Recent Style Id 0_1">
    <vt:lpwstr>https://csl.mendeley.com/styles/15866583/apa</vt:lpwstr>
  </property>
  <property fmtid="{D5CDD505-2E9C-101B-9397-08002B2CF9AE}" pid="6" name="Mendeley Recent Style Name 0_1">
    <vt:lpwstr>American Psychological Association 6th edition - Ahmet Bakirbas</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http://www.zotero.org/styles/frontiers-in-plant-science</vt:lpwstr>
  </property>
  <property fmtid="{D5CDD505-2E9C-101B-9397-08002B2CF9AE}" pid="14" name="Mendeley Recent Style Name 4_1">
    <vt:lpwstr>Frontiers in Plant Science</vt:lpwstr>
  </property>
  <property fmtid="{D5CDD505-2E9C-101B-9397-08002B2CF9AE}" pid="15" name="Mendeley Recent Style Id 5_1">
    <vt:lpwstr>http://www.zotero.org/styles/frontiers</vt:lpwstr>
  </property>
  <property fmtid="{D5CDD505-2E9C-101B-9397-08002B2CF9AE}" pid="16" name="Mendeley Recent Style Name 5_1">
    <vt:lpwstr>Frontiers journals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