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9ACEE14" w14:textId="1B9890DA" w:rsidR="00997839" w:rsidRDefault="00994A3D" w:rsidP="00997839">
      <w:pPr>
        <w:pStyle w:val="1"/>
        <w:numPr>
          <w:ilvl w:val="0"/>
          <w:numId w:val="0"/>
        </w:numPr>
        <w:ind w:left="567" w:hanging="567"/>
      </w:pPr>
      <w:r w:rsidRPr="0001436A">
        <w:t>Supplementary</w:t>
      </w:r>
      <w:r w:rsidRPr="001549D3">
        <w:t xml:space="preserve"> Figures</w:t>
      </w:r>
    </w:p>
    <w:p w14:paraId="462C3126" w14:textId="6D4E234B" w:rsidR="00997839" w:rsidRPr="00997839" w:rsidRDefault="00997839" w:rsidP="00997839">
      <w:pPr>
        <w:jc w:val="center"/>
        <w:rPr>
          <w:rFonts w:cs="Times New Roman"/>
          <w:szCs w:val="24"/>
        </w:rPr>
      </w:pPr>
      <w:r>
        <w:rPr>
          <w:noProof/>
        </w:rPr>
        <w:drawing>
          <wp:inline distT="0" distB="0" distL="0" distR="0" wp14:anchorId="558AC88A" wp14:editId="483C3E95">
            <wp:extent cx="5274310" cy="369697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8">
                      <a:extLst>
                        <a:ext uri="{28A0092B-C50C-407E-A947-70E740481C1C}">
                          <a14:useLocalDpi xmlns:a14="http://schemas.microsoft.com/office/drawing/2010/main" val="0"/>
                        </a:ext>
                      </a:extLst>
                    </a:blip>
                    <a:stretch>
                      <a:fillRect/>
                    </a:stretch>
                  </pic:blipFill>
                  <pic:spPr>
                    <a:xfrm>
                      <a:off x="0" y="0"/>
                      <a:ext cx="5274310" cy="3696970"/>
                    </a:xfrm>
                    <a:prstGeom prst="rect">
                      <a:avLst/>
                    </a:prstGeom>
                  </pic:spPr>
                </pic:pic>
              </a:graphicData>
            </a:graphic>
          </wp:inline>
        </w:drawing>
      </w:r>
    </w:p>
    <w:p w14:paraId="3AE196DF" w14:textId="5B0F9E6F" w:rsidR="00994A3D" w:rsidRPr="002B4A57" w:rsidRDefault="00994A3D" w:rsidP="00483FFA">
      <w:pPr>
        <w:jc w:val="both"/>
        <w:rPr>
          <w:b/>
        </w:rPr>
      </w:pPr>
      <w:r w:rsidRPr="0001436A">
        <w:rPr>
          <w:b/>
        </w:rPr>
        <w:t xml:space="preserve">Supplementary Figure </w:t>
      </w:r>
      <w:r w:rsidRPr="0001436A">
        <w:rPr>
          <w:b/>
        </w:rPr>
        <w:fldChar w:fldCharType="begin"/>
      </w:r>
      <w:r w:rsidRPr="0001436A">
        <w:rPr>
          <w:b/>
        </w:rPr>
        <w:instrText xml:space="preserve"> SEQ Figure \* ARABIC </w:instrText>
      </w:r>
      <w:r w:rsidRPr="0001436A">
        <w:rPr>
          <w:b/>
        </w:rPr>
        <w:fldChar w:fldCharType="separate"/>
      </w:r>
      <w:r w:rsidR="00ED20B5">
        <w:rPr>
          <w:b/>
          <w:noProof/>
        </w:rPr>
        <w:t>1</w:t>
      </w:r>
      <w:r w:rsidRPr="0001436A">
        <w:rPr>
          <w:b/>
        </w:rPr>
        <w:fldChar w:fldCharType="end"/>
      </w:r>
      <w:r w:rsidRPr="0001436A">
        <w:rPr>
          <w:b/>
        </w:rPr>
        <w:t>.</w:t>
      </w:r>
      <w:r w:rsidRPr="001549D3">
        <w:t xml:space="preserve"> </w:t>
      </w:r>
      <w:r w:rsidR="00997839" w:rsidRPr="00997839">
        <w:t>Regression pattern of the AMO index in Fig. 1a onto the SSTAs during (a) 1925–1970 and (b) 1970–2019. (c) The AMO indices extracted by LFCA based on 1900–2019 and 1925–2019 SSTA data. The unit in (a, b) is °C.</w:t>
      </w:r>
    </w:p>
    <w:p w14:paraId="7B65BC41" w14:textId="2BABCF61" w:rsidR="00DE23E8" w:rsidRDefault="00DE23E8" w:rsidP="00654E8F">
      <w:pPr>
        <w:spacing w:before="240"/>
      </w:pPr>
    </w:p>
    <w:p w14:paraId="793F995F" w14:textId="5CA49E4C" w:rsidR="00E70082" w:rsidRDefault="00E70082" w:rsidP="00E70082">
      <w:pPr>
        <w:spacing w:before="240"/>
        <w:jc w:val="center"/>
      </w:pPr>
      <w:r>
        <w:rPr>
          <w:rFonts w:cs="Times New Roman"/>
          <w:noProof/>
          <w:szCs w:val="24"/>
        </w:rPr>
        <w:lastRenderedPageBreak/>
        <w:drawing>
          <wp:inline distT="0" distB="0" distL="0" distR="0" wp14:anchorId="3259AD1E" wp14:editId="355313C4">
            <wp:extent cx="5274310" cy="4208780"/>
            <wp:effectExtent l="0" t="0" r="254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9">
                      <a:extLst>
                        <a:ext uri="{28A0092B-C50C-407E-A947-70E740481C1C}">
                          <a14:useLocalDpi xmlns:a14="http://schemas.microsoft.com/office/drawing/2010/main" val="0"/>
                        </a:ext>
                      </a:extLst>
                    </a:blip>
                    <a:stretch>
                      <a:fillRect/>
                    </a:stretch>
                  </pic:blipFill>
                  <pic:spPr>
                    <a:xfrm>
                      <a:off x="0" y="0"/>
                      <a:ext cx="5274310" cy="4208780"/>
                    </a:xfrm>
                    <a:prstGeom prst="rect">
                      <a:avLst/>
                    </a:prstGeom>
                  </pic:spPr>
                </pic:pic>
              </a:graphicData>
            </a:graphic>
          </wp:inline>
        </w:drawing>
      </w:r>
    </w:p>
    <w:p w14:paraId="4B9459EA" w14:textId="595C024B" w:rsidR="00E70082" w:rsidRDefault="00E70082" w:rsidP="00483FFA">
      <w:pPr>
        <w:jc w:val="both"/>
        <w:rPr>
          <w:rFonts w:cs="Times New Roman"/>
          <w:color w:val="000000"/>
        </w:rPr>
      </w:pPr>
      <w:r w:rsidRPr="0001436A">
        <w:rPr>
          <w:rFonts w:cs="Times New Roman"/>
          <w:b/>
          <w:szCs w:val="24"/>
        </w:rPr>
        <w:t xml:space="preserve">Supplementary Figure </w:t>
      </w:r>
      <w:r>
        <w:rPr>
          <w:rFonts w:cs="Times New Roman"/>
          <w:b/>
          <w:szCs w:val="24"/>
        </w:rPr>
        <w:t>2</w:t>
      </w:r>
      <w:r w:rsidRPr="0001436A">
        <w:rPr>
          <w:rFonts w:cs="Times New Roman"/>
          <w:b/>
          <w:szCs w:val="24"/>
        </w:rPr>
        <w:t>.</w:t>
      </w:r>
      <w:r>
        <w:rPr>
          <w:rFonts w:cs="Times New Roman"/>
          <w:b/>
          <w:szCs w:val="24"/>
        </w:rPr>
        <w:t xml:space="preserve"> </w:t>
      </w:r>
      <w:r w:rsidRPr="008A767A">
        <w:rPr>
          <w:rFonts w:cs="Times New Roman" w:hint="eastAsia"/>
          <w:szCs w:val="24"/>
        </w:rPr>
        <w:t>The</w:t>
      </w:r>
      <w:r w:rsidRPr="008A767A">
        <w:rPr>
          <w:rFonts w:cs="Times New Roman"/>
          <w:szCs w:val="24"/>
        </w:rPr>
        <w:t xml:space="preserve"> </w:t>
      </w:r>
      <w:r w:rsidRPr="001010AB">
        <w:rPr>
          <w:rFonts w:cs="Times New Roman"/>
          <w:szCs w:val="24"/>
        </w:rPr>
        <w:t>AMO patterns (</w:t>
      </w:r>
      <w:r>
        <w:rPr>
          <w:rFonts w:cs="Times New Roman"/>
          <w:szCs w:val="24"/>
        </w:rPr>
        <w:t>indices</w:t>
      </w:r>
      <w:r w:rsidRPr="001010AB">
        <w:rPr>
          <w:rFonts w:cs="Times New Roman"/>
          <w:szCs w:val="24"/>
        </w:rPr>
        <w:t>) derived from LFCA based on the seasonal mean (</w:t>
      </w:r>
      <w:r w:rsidRPr="001010AB">
        <w:rPr>
          <w:rFonts w:cs="Times New Roman"/>
          <w:b/>
          <w:bCs/>
          <w:szCs w:val="24"/>
        </w:rPr>
        <w:t>a</w:t>
      </w:r>
      <w:r w:rsidRPr="001010AB">
        <w:rPr>
          <w:rFonts w:cs="Times New Roman"/>
          <w:szCs w:val="24"/>
        </w:rPr>
        <w:t>) MAM, (</w:t>
      </w:r>
      <w:r w:rsidRPr="001010AB">
        <w:rPr>
          <w:rFonts w:cs="Times New Roman"/>
          <w:b/>
          <w:bCs/>
          <w:szCs w:val="24"/>
        </w:rPr>
        <w:t>b</w:t>
      </w:r>
      <w:r w:rsidRPr="001010AB">
        <w:rPr>
          <w:rFonts w:cs="Times New Roman"/>
          <w:szCs w:val="24"/>
        </w:rPr>
        <w:t>) JJA, (</w:t>
      </w:r>
      <w:r w:rsidRPr="001010AB">
        <w:rPr>
          <w:rFonts w:cs="Times New Roman"/>
          <w:b/>
          <w:bCs/>
          <w:szCs w:val="24"/>
        </w:rPr>
        <w:t>c</w:t>
      </w:r>
      <w:r w:rsidRPr="001010AB">
        <w:rPr>
          <w:rFonts w:cs="Times New Roman"/>
          <w:szCs w:val="24"/>
        </w:rPr>
        <w:t>) SON</w:t>
      </w:r>
      <w:r>
        <w:rPr>
          <w:rFonts w:cs="Times New Roman"/>
          <w:szCs w:val="24"/>
        </w:rPr>
        <w:t>,</w:t>
      </w:r>
      <w:r w:rsidRPr="001010AB">
        <w:rPr>
          <w:rFonts w:cs="Times New Roman"/>
          <w:szCs w:val="24"/>
        </w:rPr>
        <w:t xml:space="preserve"> (</w:t>
      </w:r>
      <w:r w:rsidRPr="001010AB">
        <w:rPr>
          <w:rFonts w:cs="Times New Roman"/>
          <w:b/>
          <w:bCs/>
          <w:szCs w:val="24"/>
        </w:rPr>
        <w:t>d</w:t>
      </w:r>
      <w:r w:rsidRPr="001010AB">
        <w:rPr>
          <w:rFonts w:cs="Times New Roman"/>
          <w:szCs w:val="24"/>
        </w:rPr>
        <w:t>) DJF and (</w:t>
      </w:r>
      <w:r w:rsidRPr="0099618A">
        <w:rPr>
          <w:rFonts w:cs="Times New Roman"/>
          <w:b/>
          <w:bCs/>
          <w:szCs w:val="24"/>
        </w:rPr>
        <w:t>e</w:t>
      </w:r>
      <w:r w:rsidRPr="001010AB">
        <w:rPr>
          <w:rFonts w:cs="Times New Roman"/>
          <w:szCs w:val="24"/>
        </w:rPr>
        <w:t>) annual mean SST</w:t>
      </w:r>
      <w:r>
        <w:rPr>
          <w:rFonts w:cs="Times New Roman"/>
          <w:szCs w:val="24"/>
        </w:rPr>
        <w:t>As</w:t>
      </w:r>
      <w:r w:rsidRPr="001010AB">
        <w:rPr>
          <w:rFonts w:cs="Times New Roman"/>
          <w:szCs w:val="24"/>
        </w:rPr>
        <w:t xml:space="preserve"> in ERv5 over the North Atlantic. The CI is shown </w:t>
      </w:r>
      <w:r>
        <w:rPr>
          <w:rFonts w:cs="Times New Roman"/>
          <w:szCs w:val="24"/>
        </w:rPr>
        <w:t>in</w:t>
      </w:r>
      <w:r w:rsidRPr="001010AB">
        <w:rPr>
          <w:rFonts w:cs="Times New Roman"/>
          <w:szCs w:val="24"/>
        </w:rPr>
        <w:t xml:space="preserve"> the top right. Dots indicate </w:t>
      </w:r>
      <w:r>
        <w:rPr>
          <w:rFonts w:cs="Times New Roman"/>
          <w:szCs w:val="24"/>
        </w:rPr>
        <w:t>where</w:t>
      </w:r>
      <w:r w:rsidRPr="001010AB">
        <w:rPr>
          <w:rFonts w:cs="Times New Roman"/>
          <w:szCs w:val="24"/>
        </w:rPr>
        <w:t xml:space="preserve"> value</w:t>
      </w:r>
      <w:r>
        <w:rPr>
          <w:rFonts w:cs="Times New Roman"/>
          <w:szCs w:val="24"/>
        </w:rPr>
        <w:t>s</w:t>
      </w:r>
      <w:r w:rsidRPr="001010AB">
        <w:rPr>
          <w:rFonts w:cs="Times New Roman"/>
          <w:szCs w:val="24"/>
        </w:rPr>
        <w:t xml:space="preserve"> pass the 95% significance level. (</w:t>
      </w:r>
      <w:r w:rsidRPr="001010AB">
        <w:rPr>
          <w:rFonts w:cs="Times New Roman"/>
          <w:b/>
          <w:bCs/>
          <w:szCs w:val="24"/>
        </w:rPr>
        <w:t>f</w:t>
      </w:r>
      <w:r w:rsidRPr="001010AB">
        <w:rPr>
          <w:rFonts w:cs="Times New Roman"/>
          <w:szCs w:val="24"/>
        </w:rPr>
        <w:t xml:space="preserve">) </w:t>
      </w:r>
      <w:r>
        <w:rPr>
          <w:rFonts w:cs="Times New Roman"/>
          <w:szCs w:val="24"/>
        </w:rPr>
        <w:t>T</w:t>
      </w:r>
      <w:r w:rsidRPr="001010AB">
        <w:rPr>
          <w:rFonts w:cs="Times New Roman"/>
          <w:szCs w:val="24"/>
        </w:rPr>
        <w:t>he corresponding AMO ind</w:t>
      </w:r>
      <w:r>
        <w:rPr>
          <w:rFonts w:cs="Times New Roman"/>
          <w:szCs w:val="24"/>
        </w:rPr>
        <w:t>ices</w:t>
      </w:r>
      <w:r w:rsidRPr="001010AB">
        <w:rPr>
          <w:rFonts w:cs="Times New Roman"/>
          <w:szCs w:val="24"/>
        </w:rPr>
        <w:t xml:space="preserve">. </w:t>
      </w:r>
      <w:r>
        <w:rPr>
          <w:rFonts w:cs="Times New Roman"/>
          <w:color w:val="000000"/>
        </w:rPr>
        <w:t>The unit in (</w:t>
      </w:r>
      <w:r w:rsidRPr="00E92F0E">
        <w:rPr>
          <w:rFonts w:cs="Times New Roman"/>
          <w:b/>
          <w:bCs/>
          <w:color w:val="000000"/>
        </w:rPr>
        <w:t>a</w:t>
      </w:r>
      <w:r>
        <w:rPr>
          <w:rFonts w:cs="Times New Roman"/>
          <w:color w:val="000000"/>
        </w:rPr>
        <w:t>–</w:t>
      </w:r>
      <w:r w:rsidRPr="00E92F0E">
        <w:rPr>
          <w:rFonts w:cs="Times New Roman"/>
          <w:b/>
          <w:bCs/>
          <w:color w:val="000000"/>
        </w:rPr>
        <w:t>e</w:t>
      </w:r>
      <w:r>
        <w:rPr>
          <w:rFonts w:cs="Times New Roman"/>
          <w:color w:val="000000"/>
        </w:rPr>
        <w:t>) is °C.</w:t>
      </w:r>
    </w:p>
    <w:p w14:paraId="4C184091" w14:textId="5971E3F3" w:rsidR="00E70082" w:rsidRDefault="00E73435" w:rsidP="00E70082">
      <w:pPr>
        <w:rPr>
          <w:rFonts w:cs="Times New Roman"/>
          <w:color w:val="000000"/>
        </w:rPr>
      </w:pPr>
      <w:r>
        <w:rPr>
          <w:rFonts w:cs="Times New Roman"/>
          <w:color w:val="000000"/>
        </w:rPr>
        <w:br w:type="page"/>
      </w:r>
    </w:p>
    <w:p w14:paraId="2236FBAB" w14:textId="32618479" w:rsidR="006C260C" w:rsidRDefault="006C260C" w:rsidP="006C260C">
      <w:pPr>
        <w:jc w:val="center"/>
        <w:rPr>
          <w:rFonts w:cs="Times New Roman"/>
          <w:color w:val="000000"/>
        </w:rPr>
      </w:pPr>
      <w:r>
        <w:rPr>
          <w:rFonts w:cs="Times New Roman"/>
          <w:noProof/>
          <w:color w:val="000000"/>
        </w:rPr>
        <w:lastRenderedPageBreak/>
        <w:drawing>
          <wp:inline distT="0" distB="0" distL="0" distR="0" wp14:anchorId="6223D605" wp14:editId="13D66346">
            <wp:extent cx="5274310" cy="229044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0">
                      <a:extLst>
                        <a:ext uri="{28A0092B-C50C-407E-A947-70E740481C1C}">
                          <a14:useLocalDpi xmlns:a14="http://schemas.microsoft.com/office/drawing/2010/main" val="0"/>
                        </a:ext>
                      </a:extLst>
                    </a:blip>
                    <a:stretch>
                      <a:fillRect/>
                    </a:stretch>
                  </pic:blipFill>
                  <pic:spPr>
                    <a:xfrm>
                      <a:off x="0" y="0"/>
                      <a:ext cx="5274310" cy="2290445"/>
                    </a:xfrm>
                    <a:prstGeom prst="rect">
                      <a:avLst/>
                    </a:prstGeom>
                  </pic:spPr>
                </pic:pic>
              </a:graphicData>
            </a:graphic>
          </wp:inline>
        </w:drawing>
      </w:r>
    </w:p>
    <w:p w14:paraId="30873891" w14:textId="0142C2FD" w:rsidR="00E70082" w:rsidRDefault="00E70082" w:rsidP="00483FFA">
      <w:pPr>
        <w:jc w:val="both"/>
        <w:rPr>
          <w:rFonts w:cs="Times New Roman"/>
          <w:bCs/>
          <w:szCs w:val="24"/>
        </w:rPr>
      </w:pPr>
      <w:r w:rsidRPr="0001436A">
        <w:rPr>
          <w:rFonts w:cs="Times New Roman"/>
          <w:b/>
          <w:szCs w:val="24"/>
        </w:rPr>
        <w:t xml:space="preserve">Supplementary Figure </w:t>
      </w:r>
      <w:r>
        <w:rPr>
          <w:rFonts w:cs="Times New Roman"/>
          <w:b/>
          <w:szCs w:val="24"/>
        </w:rPr>
        <w:t>3</w:t>
      </w:r>
      <w:r w:rsidRPr="0001436A">
        <w:rPr>
          <w:rFonts w:cs="Times New Roman"/>
          <w:b/>
          <w:szCs w:val="24"/>
        </w:rPr>
        <w:t>.</w:t>
      </w:r>
      <w:r w:rsidR="006C260C" w:rsidRPr="006C260C">
        <w:t xml:space="preserve"> </w:t>
      </w:r>
      <w:r w:rsidR="006C260C" w:rsidRPr="006C260C">
        <w:rPr>
          <w:rFonts w:cs="Times New Roman"/>
          <w:bCs/>
          <w:szCs w:val="24"/>
        </w:rPr>
        <w:t>The AMO CI in different SST datasets based on different numbers of EOFs and low-pass filter frequencies (1.0/frequency can be expressed as the year numbers) as the input in LFCA: (a) ERv5; (b) HadI1; (c) COBE2. The EOF numbers range from 30 to 40, and low-pass filter year numbers range from 10 to 30. The blue (black) dots denote the (averaged) AMO CI changes with different low-pass filter year numbers when the number of EOFs is fixed at 35 (ranging from 30 to 40 EOFs) in LFCA. When a 10-year low-pass filter is used in LFCA, the averaged AMO CI value for HadI1 and COBE2 is 89%, which is referred to as the threshold CI value for a coherent AMO pattern.</w:t>
      </w:r>
    </w:p>
    <w:p w14:paraId="7D8B2604" w14:textId="29A03165" w:rsidR="00E73435" w:rsidRDefault="00E73435" w:rsidP="00E70082">
      <w:pPr>
        <w:rPr>
          <w:rFonts w:cs="Times New Roman"/>
          <w:bCs/>
          <w:szCs w:val="24"/>
        </w:rPr>
      </w:pPr>
    </w:p>
    <w:p w14:paraId="0193BAB3" w14:textId="1B6E11B0" w:rsidR="007B56B3" w:rsidRDefault="007B56B3" w:rsidP="00E70082">
      <w:pPr>
        <w:rPr>
          <w:rFonts w:cs="Times New Roman"/>
          <w:bCs/>
          <w:szCs w:val="24"/>
        </w:rPr>
      </w:pPr>
    </w:p>
    <w:p w14:paraId="68A94A4E" w14:textId="41946E9C" w:rsidR="007B56B3" w:rsidRDefault="007B56B3" w:rsidP="00E70082">
      <w:pPr>
        <w:rPr>
          <w:rFonts w:cs="Times New Roman"/>
          <w:bCs/>
          <w:szCs w:val="24"/>
        </w:rPr>
      </w:pPr>
    </w:p>
    <w:p w14:paraId="766437C7" w14:textId="7DBCB6B7" w:rsidR="007B56B3" w:rsidRDefault="007B56B3" w:rsidP="00E70082">
      <w:pPr>
        <w:rPr>
          <w:rFonts w:cs="Times New Roman"/>
          <w:bCs/>
          <w:szCs w:val="24"/>
        </w:rPr>
      </w:pPr>
    </w:p>
    <w:p w14:paraId="22BF8334" w14:textId="77777777" w:rsidR="007B56B3" w:rsidRPr="006C260C" w:rsidRDefault="007B56B3" w:rsidP="00E70082">
      <w:pPr>
        <w:rPr>
          <w:rFonts w:cs="Times New Roman"/>
          <w:bCs/>
          <w:szCs w:val="24"/>
        </w:rPr>
      </w:pPr>
    </w:p>
    <w:p w14:paraId="3FF50E77" w14:textId="44257A05" w:rsidR="00E70082" w:rsidRDefault="006C260C" w:rsidP="006C260C">
      <w:pPr>
        <w:jc w:val="center"/>
        <w:rPr>
          <w:rFonts w:cs="Times New Roman"/>
          <w:b/>
          <w:szCs w:val="24"/>
        </w:rPr>
      </w:pPr>
      <w:r>
        <w:rPr>
          <w:rFonts w:cs="Times New Roman"/>
          <w:noProof/>
          <w:szCs w:val="24"/>
        </w:rPr>
        <w:drawing>
          <wp:inline distT="0" distB="0" distL="0" distR="0" wp14:anchorId="6CC6DB52" wp14:editId="23D8B9E6">
            <wp:extent cx="5274310" cy="1767840"/>
            <wp:effectExtent l="0" t="0" r="254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1">
                      <a:extLst>
                        <a:ext uri="{28A0092B-C50C-407E-A947-70E740481C1C}">
                          <a14:useLocalDpi xmlns:a14="http://schemas.microsoft.com/office/drawing/2010/main" val="0"/>
                        </a:ext>
                      </a:extLst>
                    </a:blip>
                    <a:stretch>
                      <a:fillRect/>
                    </a:stretch>
                  </pic:blipFill>
                  <pic:spPr>
                    <a:xfrm>
                      <a:off x="0" y="0"/>
                      <a:ext cx="5274310" cy="1767840"/>
                    </a:xfrm>
                    <a:prstGeom prst="rect">
                      <a:avLst/>
                    </a:prstGeom>
                  </pic:spPr>
                </pic:pic>
              </a:graphicData>
            </a:graphic>
          </wp:inline>
        </w:drawing>
      </w:r>
    </w:p>
    <w:p w14:paraId="175A6921" w14:textId="0067EDF0" w:rsidR="00E73435" w:rsidRPr="00E73435" w:rsidRDefault="00E70082" w:rsidP="00D3309C">
      <w:pPr>
        <w:jc w:val="both"/>
        <w:rPr>
          <w:rFonts w:cs="Times New Roman"/>
          <w:bCs/>
          <w:szCs w:val="24"/>
        </w:rPr>
      </w:pPr>
      <w:r w:rsidRPr="0001436A">
        <w:rPr>
          <w:rFonts w:cs="Times New Roman"/>
          <w:b/>
          <w:szCs w:val="24"/>
        </w:rPr>
        <w:t xml:space="preserve">Supplementary Figure </w:t>
      </w:r>
      <w:r>
        <w:rPr>
          <w:rFonts w:cs="Times New Roman"/>
          <w:b/>
          <w:szCs w:val="24"/>
        </w:rPr>
        <w:t>4</w:t>
      </w:r>
      <w:r w:rsidRPr="0001436A">
        <w:rPr>
          <w:rFonts w:cs="Times New Roman"/>
          <w:b/>
          <w:szCs w:val="24"/>
        </w:rPr>
        <w:t>.</w:t>
      </w:r>
      <w:r w:rsidR="006C260C" w:rsidRPr="006C260C">
        <w:t xml:space="preserve"> </w:t>
      </w:r>
      <w:r w:rsidR="006C260C" w:rsidRPr="006C260C">
        <w:rPr>
          <w:rFonts w:cs="Times New Roman"/>
          <w:bCs/>
          <w:szCs w:val="24"/>
        </w:rPr>
        <w:t>The AMO pattern based on LFCA after removing the first leading EOF mode derived from different SST datasets: (a) HadI1; (b) COBE2. The CI is shown in the top right. In (a), the second leading LFCA mode (LFCA2) is the AMO. In (b), the first leading LFCA mode (LFCA1) is the AMO. Unit: °C.</w:t>
      </w:r>
      <w:r w:rsidR="00E73435">
        <w:rPr>
          <w:rFonts w:cs="Times New Roman"/>
          <w:bCs/>
          <w:szCs w:val="24"/>
        </w:rPr>
        <w:br w:type="page"/>
      </w:r>
    </w:p>
    <w:p w14:paraId="782F4218" w14:textId="6522F24C" w:rsidR="00E70082" w:rsidRDefault="006C260C" w:rsidP="006C260C">
      <w:pPr>
        <w:jc w:val="center"/>
        <w:rPr>
          <w:rFonts w:cs="Times New Roman"/>
          <w:b/>
          <w:szCs w:val="24"/>
        </w:rPr>
      </w:pPr>
      <w:r>
        <w:rPr>
          <w:rFonts w:cs="Times New Roman"/>
          <w:noProof/>
        </w:rPr>
        <w:lastRenderedPageBreak/>
        <w:drawing>
          <wp:inline distT="0" distB="0" distL="0" distR="0" wp14:anchorId="08B63B4F" wp14:editId="520DF62D">
            <wp:extent cx="5274310" cy="337502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2">
                      <a:extLst>
                        <a:ext uri="{28A0092B-C50C-407E-A947-70E740481C1C}">
                          <a14:useLocalDpi xmlns:a14="http://schemas.microsoft.com/office/drawing/2010/main" val="0"/>
                        </a:ext>
                      </a:extLst>
                    </a:blip>
                    <a:stretch>
                      <a:fillRect/>
                    </a:stretch>
                  </pic:blipFill>
                  <pic:spPr>
                    <a:xfrm>
                      <a:off x="0" y="0"/>
                      <a:ext cx="5274310" cy="3375025"/>
                    </a:xfrm>
                    <a:prstGeom prst="rect">
                      <a:avLst/>
                    </a:prstGeom>
                  </pic:spPr>
                </pic:pic>
              </a:graphicData>
            </a:graphic>
          </wp:inline>
        </w:drawing>
      </w:r>
    </w:p>
    <w:p w14:paraId="62FB97BE" w14:textId="148E18FD" w:rsidR="00E70082" w:rsidRDefault="00E70082" w:rsidP="00483FFA">
      <w:pPr>
        <w:jc w:val="both"/>
        <w:rPr>
          <w:rFonts w:cs="Times New Roman"/>
          <w:bCs/>
          <w:szCs w:val="24"/>
        </w:rPr>
      </w:pPr>
      <w:r w:rsidRPr="0001436A">
        <w:rPr>
          <w:rFonts w:cs="Times New Roman"/>
          <w:b/>
          <w:szCs w:val="24"/>
        </w:rPr>
        <w:t xml:space="preserve">Supplementary Figure </w:t>
      </w:r>
      <w:r>
        <w:rPr>
          <w:rFonts w:cs="Times New Roman"/>
          <w:b/>
          <w:szCs w:val="24"/>
        </w:rPr>
        <w:t>5</w:t>
      </w:r>
      <w:r w:rsidRPr="0001436A">
        <w:rPr>
          <w:rFonts w:cs="Times New Roman"/>
          <w:b/>
          <w:szCs w:val="24"/>
        </w:rPr>
        <w:t>.</w:t>
      </w:r>
      <w:r w:rsidR="006C260C" w:rsidRPr="006C260C">
        <w:t xml:space="preserve"> </w:t>
      </w:r>
      <w:r w:rsidR="006C260C" w:rsidRPr="006C260C">
        <w:rPr>
          <w:rFonts w:cs="Times New Roman"/>
          <w:bCs/>
          <w:szCs w:val="24"/>
        </w:rPr>
        <w:t>The AMO pattern for (a) ERSST.v4 and (b) ERSST.v3b, and corresponding (c) AMO indices. The PCC (TCC) between the AMO pattern (index) with ERv5 is shown. The AMO CI is shown in the top right. Dots indicate where values pass the 95% significance level. The unit in (a, b) is °C.</w:t>
      </w:r>
    </w:p>
    <w:p w14:paraId="7EE417CA" w14:textId="49694030" w:rsidR="003622C3" w:rsidRDefault="003622C3" w:rsidP="00483FFA">
      <w:pPr>
        <w:jc w:val="both"/>
        <w:rPr>
          <w:rFonts w:cs="Times New Roman"/>
          <w:b/>
          <w:szCs w:val="24"/>
        </w:rPr>
      </w:pPr>
      <w:r>
        <w:rPr>
          <w:rFonts w:cs="Times New Roman"/>
          <w:b/>
          <w:szCs w:val="24"/>
        </w:rPr>
        <w:br w:type="page"/>
      </w:r>
    </w:p>
    <w:p w14:paraId="2BF2125E" w14:textId="77777777" w:rsidR="003622C3" w:rsidRPr="002311BC" w:rsidRDefault="003622C3" w:rsidP="003622C3">
      <w:pPr>
        <w:jc w:val="center"/>
        <w:rPr>
          <w:rFonts w:cs="Times New Roman"/>
        </w:rPr>
      </w:pPr>
      <w:r w:rsidRPr="002311BC">
        <w:rPr>
          <w:rFonts w:cs="Times New Roman"/>
          <w:noProof/>
        </w:rPr>
        <w:lastRenderedPageBreak/>
        <w:drawing>
          <wp:inline distT="0" distB="0" distL="0" distR="0" wp14:anchorId="2FD8BB21" wp14:editId="288F9B6F">
            <wp:extent cx="6130455" cy="3712831"/>
            <wp:effectExtent l="0" t="0" r="381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301" cy="3717583"/>
                    </a:xfrm>
                    <a:prstGeom prst="rect">
                      <a:avLst/>
                    </a:prstGeom>
                    <a:noFill/>
                  </pic:spPr>
                </pic:pic>
              </a:graphicData>
            </a:graphic>
          </wp:inline>
        </w:drawing>
      </w:r>
    </w:p>
    <w:p w14:paraId="00B76BFB" w14:textId="4CB7CA83" w:rsidR="003622C3" w:rsidRPr="002311BC" w:rsidRDefault="002311BC" w:rsidP="003622C3">
      <w:pPr>
        <w:rPr>
          <w:rFonts w:eastAsia="宋体" w:cs="Times New Roman"/>
          <w:szCs w:val="21"/>
        </w:rPr>
      </w:pPr>
      <w:r w:rsidRPr="002311BC">
        <w:rPr>
          <w:rFonts w:cs="Times New Roman"/>
          <w:b/>
          <w:szCs w:val="24"/>
        </w:rPr>
        <w:t xml:space="preserve">Supplementary Figure </w:t>
      </w:r>
      <w:r w:rsidRPr="002311BC">
        <w:rPr>
          <w:rFonts w:cs="Times New Roman"/>
          <w:b/>
          <w:szCs w:val="24"/>
        </w:rPr>
        <w:t>6</w:t>
      </w:r>
      <w:r w:rsidRPr="002311BC">
        <w:rPr>
          <w:rFonts w:cs="Times New Roman"/>
          <w:b/>
          <w:szCs w:val="24"/>
        </w:rPr>
        <w:t>.</w:t>
      </w:r>
      <w:r w:rsidR="003622C3" w:rsidRPr="002311BC">
        <w:rPr>
          <w:rFonts w:cs="Times New Roman"/>
          <w:b/>
          <w:bCs/>
          <w:noProof/>
          <w:szCs w:val="24"/>
        </w:rPr>
        <w:t xml:space="preserve"> </w:t>
      </w:r>
      <w:r w:rsidR="003622C3" w:rsidRPr="002311BC">
        <w:rPr>
          <w:rFonts w:cs="Times New Roman"/>
          <w:noProof/>
          <w:szCs w:val="24"/>
        </w:rPr>
        <w:t xml:space="preserve">(a) The </w:t>
      </w:r>
      <w:r w:rsidR="003622C3" w:rsidRPr="002311BC">
        <w:rPr>
          <w:rFonts w:eastAsia="宋体" w:cs="Times New Roman"/>
          <w:szCs w:val="21"/>
        </w:rPr>
        <w:t>temporal correlation coefficient between AMO index in CESM2 piControl run and that in three observational SST datasets, respectively. The blue line is for ERSSTv5, orange line is for COBESST2, and gray line is for HadISST1</w:t>
      </w:r>
      <w:r w:rsidR="003622C3" w:rsidRPr="002311BC">
        <w:rPr>
          <w:rFonts w:cs="Times New Roman"/>
          <w:b/>
          <w:bCs/>
          <w:noProof/>
          <w:szCs w:val="24"/>
        </w:rPr>
        <w:t xml:space="preserve">. </w:t>
      </w:r>
      <w:r w:rsidR="003622C3" w:rsidRPr="002311BC">
        <w:rPr>
          <w:rFonts w:eastAsia="宋体" w:cs="Times New Roman"/>
          <w:szCs w:val="21"/>
        </w:rPr>
        <w:t>The regression pattern of AMO index into low-pass filtered SST anomalies. The member that is most like the (b) ERSST</w:t>
      </w:r>
      <w:r w:rsidR="003622C3" w:rsidRPr="002311BC">
        <w:rPr>
          <w:rFonts w:eastAsia="宋体" w:cs="Times New Roman" w:hint="eastAsia"/>
          <w:szCs w:val="21"/>
        </w:rPr>
        <w:t>v5</w:t>
      </w:r>
      <w:r w:rsidR="003622C3" w:rsidRPr="002311BC">
        <w:rPr>
          <w:rFonts w:eastAsia="宋体" w:cs="Times New Roman"/>
          <w:szCs w:val="21"/>
        </w:rPr>
        <w:t>, (c) COBESST2, and (d) HadISST1. The coherence index (CI) is in the top of the figure.</w:t>
      </w:r>
      <w:r w:rsidR="003622C3" w:rsidRPr="002311BC">
        <w:rPr>
          <w:rFonts w:eastAsia="宋体" w:cs="Times New Roman"/>
          <w:szCs w:val="21"/>
        </w:rPr>
        <w:br w:type="page"/>
      </w:r>
    </w:p>
    <w:p w14:paraId="17B628C5" w14:textId="77777777" w:rsidR="003622C3" w:rsidRPr="002311BC" w:rsidRDefault="003622C3" w:rsidP="003622C3">
      <w:pPr>
        <w:jc w:val="center"/>
        <w:rPr>
          <w:rFonts w:eastAsia="宋体" w:cs="Times New Roman"/>
          <w:szCs w:val="21"/>
        </w:rPr>
      </w:pPr>
      <w:r w:rsidRPr="002311BC">
        <w:rPr>
          <w:rFonts w:eastAsia="宋体" w:cs="Times New Roman"/>
          <w:noProof/>
          <w:szCs w:val="21"/>
        </w:rPr>
        <w:lastRenderedPageBreak/>
        <w:drawing>
          <wp:inline distT="0" distB="0" distL="0" distR="0" wp14:anchorId="284ABEE0" wp14:editId="56897123">
            <wp:extent cx="3635655" cy="4452806"/>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4782" cy="4463984"/>
                    </a:xfrm>
                    <a:prstGeom prst="rect">
                      <a:avLst/>
                    </a:prstGeom>
                    <a:noFill/>
                  </pic:spPr>
                </pic:pic>
              </a:graphicData>
            </a:graphic>
          </wp:inline>
        </w:drawing>
      </w:r>
    </w:p>
    <w:p w14:paraId="61EBD774" w14:textId="0B0E0717" w:rsidR="00E70082" w:rsidRPr="00085F80" w:rsidRDefault="002311BC" w:rsidP="00085F80">
      <w:pPr>
        <w:spacing w:line="360" w:lineRule="auto"/>
        <w:rPr>
          <w:rFonts w:eastAsia="宋体" w:cs="Times New Roman"/>
          <w:szCs w:val="21"/>
        </w:rPr>
      </w:pPr>
      <w:r w:rsidRPr="002311BC">
        <w:rPr>
          <w:rFonts w:cs="Times New Roman"/>
          <w:b/>
          <w:szCs w:val="24"/>
        </w:rPr>
        <w:t xml:space="preserve">Supplementary Figure </w:t>
      </w:r>
      <w:r>
        <w:rPr>
          <w:rFonts w:cs="Times New Roman"/>
          <w:b/>
          <w:szCs w:val="24"/>
        </w:rPr>
        <w:t>7</w:t>
      </w:r>
      <w:r w:rsidRPr="002311BC">
        <w:rPr>
          <w:rFonts w:cs="Times New Roman"/>
          <w:b/>
          <w:szCs w:val="24"/>
        </w:rPr>
        <w:t>.</w:t>
      </w:r>
      <w:r w:rsidR="003622C3" w:rsidRPr="002311BC">
        <w:rPr>
          <w:rFonts w:eastAsia="宋体" w:cs="Times New Roman"/>
          <w:szCs w:val="21"/>
        </w:rPr>
        <w:t xml:space="preserve"> The lead-lag correlation between AMO tendency (</w:t>
      </w:r>
      <m:oMath>
        <m:f>
          <m:fPr>
            <m:ctrlPr>
              <w:rPr>
                <w:rFonts w:ascii="Cambria Math" w:eastAsia="Cambria Math" w:hAnsi="Cambria Math" w:cs="Times New Roman"/>
                <w:i/>
                <w:iCs/>
                <w:szCs w:val="21"/>
              </w:rPr>
            </m:ctrlPr>
          </m:fPr>
          <m:num>
            <m:r>
              <w:rPr>
                <w:rFonts w:ascii="Cambria Math" w:eastAsia="Cambria Math" w:hAnsi="Cambria Math" w:cs="Times New Roman"/>
                <w:szCs w:val="21"/>
              </w:rPr>
              <m:t>dAMO</m:t>
            </m:r>
          </m:num>
          <m:den>
            <m:r>
              <w:rPr>
                <w:rFonts w:ascii="Cambria Math" w:eastAsia="Cambria Math" w:hAnsi="Cambria Math" w:cs="Times New Roman"/>
                <w:szCs w:val="21"/>
              </w:rPr>
              <m:t>dt</m:t>
            </m:r>
          </m:den>
        </m:f>
      </m:oMath>
      <w:r w:rsidR="003622C3" w:rsidRPr="002311BC">
        <w:rPr>
          <w:rFonts w:eastAsia="宋体" w:cs="Times New Roman"/>
          <w:szCs w:val="21"/>
        </w:rPr>
        <w:t>) and AMO index, black for model member, and red member for observation.</w:t>
      </w:r>
    </w:p>
    <w:sectPr w:rsidR="00E70082" w:rsidRPr="00085F80" w:rsidSect="00492FE8">
      <w:footerReference w:type="even" r:id="rId15"/>
      <w:footerReference w:type="default" r:id="rId16"/>
      <w:footerReference w:type="first" r:id="rId17"/>
      <w:pgSz w:w="12240" w:h="15840"/>
      <w:pgMar w:top="1138" w:right="1181" w:bottom="1138" w:left="12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A150" w14:textId="77777777" w:rsidR="000109F2" w:rsidRDefault="000109F2" w:rsidP="00117666">
      <w:pPr>
        <w:spacing w:after="0"/>
      </w:pPr>
      <w:r>
        <w:separator/>
      </w:r>
    </w:p>
  </w:endnote>
  <w:endnote w:type="continuationSeparator" w:id="0">
    <w:p w14:paraId="15E59FF6" w14:textId="77777777" w:rsidR="000109F2" w:rsidRDefault="000109F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870426"/>
      <w:docPartObj>
        <w:docPartGallery w:val="Page Numbers (Bottom of Page)"/>
        <w:docPartUnique/>
      </w:docPartObj>
    </w:sdtPr>
    <w:sdtContent>
      <w:p w14:paraId="0D09F4D2" w14:textId="7B5536F4" w:rsidR="005675D7" w:rsidRDefault="005675D7">
        <w:pPr>
          <w:pStyle w:val="af5"/>
          <w:jc w:val="center"/>
        </w:pPr>
        <w:r>
          <w:fldChar w:fldCharType="begin"/>
        </w:r>
        <w:r>
          <w:instrText>PAGE   \* MERGEFORMAT</w:instrText>
        </w:r>
        <w:r>
          <w:fldChar w:fldCharType="separate"/>
        </w:r>
        <w:r>
          <w:rPr>
            <w:lang w:val="zh-CN" w:eastAsia="zh-CN"/>
          </w:rPr>
          <w:t>2</w:t>
        </w:r>
        <w:r>
          <w:fldChar w:fldCharType="end"/>
        </w:r>
      </w:p>
    </w:sdtContent>
  </w:sdt>
  <w:p w14:paraId="7B4D6A35" w14:textId="2842281F" w:rsidR="00995F6A" w:rsidRPr="00577C4C" w:rsidRDefault="00000000">
    <w:pPr>
      <w:rPr>
        <w:b/>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15299"/>
      <w:docPartObj>
        <w:docPartGallery w:val="Page Numbers (Bottom of Page)"/>
        <w:docPartUnique/>
      </w:docPartObj>
    </w:sdtPr>
    <w:sdtContent>
      <w:p w14:paraId="426016B5" w14:textId="321CC559" w:rsidR="00492FE8" w:rsidRDefault="00492FE8">
        <w:pPr>
          <w:pStyle w:val="af5"/>
          <w:jc w:val="center"/>
        </w:pPr>
        <w:r>
          <w:fldChar w:fldCharType="begin"/>
        </w:r>
        <w:r>
          <w:instrText>PAGE   \* MERGEFORMAT</w:instrText>
        </w:r>
        <w:r>
          <w:fldChar w:fldCharType="separate"/>
        </w:r>
        <w:r>
          <w:rPr>
            <w:lang w:val="zh-CN" w:eastAsia="zh-CN"/>
          </w:rPr>
          <w:t>2</w:t>
        </w:r>
        <w:r>
          <w:fldChar w:fldCharType="end"/>
        </w:r>
      </w:p>
    </w:sdtContent>
  </w:sdt>
  <w:p w14:paraId="385624D0" w14:textId="0B7A0E2A" w:rsidR="00E14679" w:rsidRDefault="00E14679">
    <w:pPr>
      <w:pStyle w:val="af5"/>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D223" w14:textId="77777777" w:rsidR="000109F2" w:rsidRDefault="000109F2" w:rsidP="00117666">
      <w:pPr>
        <w:spacing w:after="0"/>
      </w:pPr>
      <w:r>
        <w:separator/>
      </w:r>
    </w:p>
  </w:footnote>
  <w:footnote w:type="continuationSeparator" w:id="0">
    <w:p w14:paraId="36DB435A" w14:textId="77777777" w:rsidR="000109F2" w:rsidRDefault="000109F2"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663242182">
    <w:abstractNumId w:val="0"/>
  </w:num>
  <w:num w:numId="2" w16cid:durableId="896088401">
    <w:abstractNumId w:val="4"/>
  </w:num>
  <w:num w:numId="3" w16cid:durableId="760371499">
    <w:abstractNumId w:val="1"/>
  </w:num>
  <w:num w:numId="4" w16cid:durableId="1085766692">
    <w:abstractNumId w:val="5"/>
  </w:num>
  <w:num w:numId="5" w16cid:durableId="233198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246973">
    <w:abstractNumId w:val="3"/>
  </w:num>
  <w:num w:numId="7" w16cid:durableId="747076734">
    <w:abstractNumId w:val="6"/>
  </w:num>
  <w:num w:numId="8" w16cid:durableId="896667088">
    <w:abstractNumId w:val="6"/>
  </w:num>
  <w:num w:numId="9" w16cid:durableId="1307082166">
    <w:abstractNumId w:val="6"/>
  </w:num>
  <w:num w:numId="10" w16cid:durableId="559679880">
    <w:abstractNumId w:val="6"/>
  </w:num>
  <w:num w:numId="11" w16cid:durableId="930697291">
    <w:abstractNumId w:val="6"/>
  </w:num>
  <w:num w:numId="12" w16cid:durableId="687298211">
    <w:abstractNumId w:val="6"/>
  </w:num>
  <w:num w:numId="13" w16cid:durableId="403921210">
    <w:abstractNumId w:val="3"/>
  </w:num>
  <w:num w:numId="14" w16cid:durableId="400912291">
    <w:abstractNumId w:val="2"/>
  </w:num>
  <w:num w:numId="15" w16cid:durableId="1500997603">
    <w:abstractNumId w:val="2"/>
  </w:num>
  <w:num w:numId="16" w16cid:durableId="1975482871">
    <w:abstractNumId w:val="2"/>
  </w:num>
  <w:num w:numId="17" w16cid:durableId="501744006">
    <w:abstractNumId w:val="2"/>
  </w:num>
  <w:num w:numId="18" w16cid:durableId="942761629">
    <w:abstractNumId w:val="2"/>
  </w:num>
  <w:num w:numId="19" w16cid:durableId="70714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09F2"/>
    <w:rsid w:val="0001436A"/>
    <w:rsid w:val="00034304"/>
    <w:rsid w:val="00035434"/>
    <w:rsid w:val="00052A14"/>
    <w:rsid w:val="00077D53"/>
    <w:rsid w:val="00085F80"/>
    <w:rsid w:val="00105FD9"/>
    <w:rsid w:val="00117666"/>
    <w:rsid w:val="001549D3"/>
    <w:rsid w:val="00160065"/>
    <w:rsid w:val="00177D84"/>
    <w:rsid w:val="001962EB"/>
    <w:rsid w:val="002311BC"/>
    <w:rsid w:val="00267D18"/>
    <w:rsid w:val="00274347"/>
    <w:rsid w:val="002868E2"/>
    <w:rsid w:val="002869C3"/>
    <w:rsid w:val="002936E4"/>
    <w:rsid w:val="002B4A57"/>
    <w:rsid w:val="002C74CA"/>
    <w:rsid w:val="003123F4"/>
    <w:rsid w:val="003544FB"/>
    <w:rsid w:val="003622C3"/>
    <w:rsid w:val="003D2F2D"/>
    <w:rsid w:val="00401590"/>
    <w:rsid w:val="00447801"/>
    <w:rsid w:val="00452E9C"/>
    <w:rsid w:val="004735C8"/>
    <w:rsid w:val="00483FFA"/>
    <w:rsid w:val="00492FE8"/>
    <w:rsid w:val="004947A6"/>
    <w:rsid w:val="004961FF"/>
    <w:rsid w:val="00517A89"/>
    <w:rsid w:val="005250F2"/>
    <w:rsid w:val="005675D7"/>
    <w:rsid w:val="00593EEA"/>
    <w:rsid w:val="005A5EEE"/>
    <w:rsid w:val="006375C7"/>
    <w:rsid w:val="00654E8F"/>
    <w:rsid w:val="00660D05"/>
    <w:rsid w:val="006820B1"/>
    <w:rsid w:val="006B7D14"/>
    <w:rsid w:val="006C260C"/>
    <w:rsid w:val="00701727"/>
    <w:rsid w:val="0070566C"/>
    <w:rsid w:val="00714C50"/>
    <w:rsid w:val="00725A7D"/>
    <w:rsid w:val="007501BE"/>
    <w:rsid w:val="00767EA7"/>
    <w:rsid w:val="00790BB3"/>
    <w:rsid w:val="007B56B3"/>
    <w:rsid w:val="007C206C"/>
    <w:rsid w:val="00811F71"/>
    <w:rsid w:val="00817DD6"/>
    <w:rsid w:val="0083759F"/>
    <w:rsid w:val="00885156"/>
    <w:rsid w:val="009151AA"/>
    <w:rsid w:val="0093429D"/>
    <w:rsid w:val="00943573"/>
    <w:rsid w:val="00964134"/>
    <w:rsid w:val="00970F7D"/>
    <w:rsid w:val="00994A3D"/>
    <w:rsid w:val="00997839"/>
    <w:rsid w:val="009C2B12"/>
    <w:rsid w:val="00A174D9"/>
    <w:rsid w:val="00AA4D24"/>
    <w:rsid w:val="00AB6715"/>
    <w:rsid w:val="00B1671E"/>
    <w:rsid w:val="00B25EB8"/>
    <w:rsid w:val="00B37F4D"/>
    <w:rsid w:val="00BD4FAC"/>
    <w:rsid w:val="00C52A7B"/>
    <w:rsid w:val="00C56BAF"/>
    <w:rsid w:val="00C679AA"/>
    <w:rsid w:val="00C75972"/>
    <w:rsid w:val="00CD066B"/>
    <w:rsid w:val="00CE4FEE"/>
    <w:rsid w:val="00D060CF"/>
    <w:rsid w:val="00D3309C"/>
    <w:rsid w:val="00DB59C3"/>
    <w:rsid w:val="00DC259A"/>
    <w:rsid w:val="00DE23E8"/>
    <w:rsid w:val="00E14679"/>
    <w:rsid w:val="00E52377"/>
    <w:rsid w:val="00E537AD"/>
    <w:rsid w:val="00E64E17"/>
    <w:rsid w:val="00E70082"/>
    <w:rsid w:val="00E73435"/>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12</TotalTime>
  <Pages>6</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赵 博文</cp:lastModifiedBy>
  <cp:revision>20</cp:revision>
  <cp:lastPrinted>2013-10-03T12:51:00Z</cp:lastPrinted>
  <dcterms:created xsi:type="dcterms:W3CDTF">2018-11-23T08:58:00Z</dcterms:created>
  <dcterms:modified xsi:type="dcterms:W3CDTF">2022-10-01T02:42:00Z</dcterms:modified>
</cp:coreProperties>
</file>