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A5B12" w14:textId="77777777" w:rsidR="00DF1A34" w:rsidRDefault="003C6E26">
      <w:pPr>
        <w:pBdr>
          <w:top w:val="nil"/>
          <w:left w:val="nil"/>
          <w:bottom w:val="nil"/>
          <w:right w:val="nil"/>
          <w:between w:val="nil"/>
        </w:pBdr>
        <w:spacing w:before="240" w:after="120"/>
        <w:jc w:val="center"/>
        <w:rPr>
          <w:i/>
          <w:color w:val="000000"/>
          <w:sz w:val="32"/>
          <w:szCs w:val="32"/>
        </w:rPr>
      </w:pPr>
      <w:proofErr w:type="spellStart"/>
      <w:r>
        <w:rPr>
          <w:b/>
          <w:i/>
          <w:color w:val="000000"/>
          <w:sz w:val="32"/>
          <w:szCs w:val="32"/>
        </w:rPr>
        <w:t>Supplementary</w:t>
      </w:r>
      <w:proofErr w:type="spellEnd"/>
      <w:r>
        <w:rPr>
          <w:b/>
          <w:i/>
          <w:color w:val="000000"/>
          <w:sz w:val="32"/>
          <w:szCs w:val="32"/>
        </w:rPr>
        <w:t xml:space="preserve"> </w:t>
      </w:r>
      <w:proofErr w:type="spellStart"/>
      <w:r>
        <w:rPr>
          <w:b/>
          <w:i/>
          <w:color w:val="000000"/>
          <w:sz w:val="32"/>
          <w:szCs w:val="32"/>
        </w:rPr>
        <w:t>Material</w:t>
      </w:r>
      <w:proofErr w:type="spellEnd"/>
    </w:p>
    <w:p w14:paraId="59C47D41" w14:textId="77777777" w:rsidR="00DF1A34" w:rsidRDefault="003C6E26">
      <w:pPr>
        <w:pStyle w:val="Titolo1"/>
        <w:numPr>
          <w:ilvl w:val="0"/>
          <w:numId w:val="1"/>
        </w:numPr>
      </w:pPr>
      <w:r>
        <w:t>Supplementary Data</w:t>
      </w:r>
    </w:p>
    <w:p w14:paraId="62061DE6" w14:textId="77777777" w:rsidR="00DF1A34" w:rsidRPr="00D770CC" w:rsidRDefault="003C6E26">
      <w:pPr>
        <w:rPr>
          <w:lang w:val="en-US"/>
        </w:rPr>
      </w:pPr>
      <w:r w:rsidRPr="00D770CC">
        <w:rPr>
          <w:lang w:val="en-US"/>
        </w:rPr>
        <w:t>The paper adheres to the Declaration of Istanbul. The patient received a cadaveric graft from a standard criteria donor.</w:t>
      </w:r>
    </w:p>
    <w:p w14:paraId="1FB5EF60" w14:textId="43D98A5D" w:rsidR="00DF1A34" w:rsidRPr="00683FC4" w:rsidRDefault="003C6E26">
      <w:pPr>
        <w:rPr>
          <w:color w:val="000000"/>
          <w:lang w:val="en-US"/>
        </w:rPr>
      </w:pPr>
      <w:r w:rsidRPr="00D770CC">
        <w:rPr>
          <w:b/>
          <w:lang w:val="en-US"/>
        </w:rPr>
        <w:t>1.1 Genetic analysis:</w:t>
      </w:r>
      <w:r w:rsidRPr="00D770CC">
        <w:rPr>
          <w:lang w:val="en-US"/>
        </w:rPr>
        <w:t xml:space="preserve">  Patient, relatives and control DNA </w:t>
      </w:r>
      <w:proofErr w:type="gramStart"/>
      <w:r w:rsidRPr="00D770CC">
        <w:rPr>
          <w:lang w:val="en-US"/>
        </w:rPr>
        <w:t>was extracted</w:t>
      </w:r>
      <w:proofErr w:type="gramEnd"/>
      <w:r w:rsidRPr="00D770CC">
        <w:rPr>
          <w:lang w:val="en-US"/>
        </w:rPr>
        <w:t xml:space="preserve"> from peripheral blood using the PAX gene Blood DNA kit according to the manufacturer’s instructions (</w:t>
      </w:r>
      <w:proofErr w:type="spellStart"/>
      <w:r w:rsidRPr="00D770CC">
        <w:rPr>
          <w:lang w:val="en-US"/>
        </w:rPr>
        <w:t>Quiagen</w:t>
      </w:r>
      <w:proofErr w:type="spellEnd"/>
      <w:r w:rsidRPr="00D770CC">
        <w:rPr>
          <w:lang w:val="en-US"/>
        </w:rPr>
        <w:t xml:space="preserve">). For Next Generation Sequencing (NGS): target genomic enrichment was performed using an Illumina </w:t>
      </w:r>
      <w:proofErr w:type="spellStart"/>
      <w:r w:rsidRPr="00D770CC">
        <w:rPr>
          <w:lang w:val="en-US"/>
        </w:rPr>
        <w:t>TruSeq</w:t>
      </w:r>
      <w:proofErr w:type="spellEnd"/>
      <w:r w:rsidRPr="00D770CC">
        <w:rPr>
          <w:lang w:val="en-US"/>
        </w:rPr>
        <w:t xml:space="preserve"> Custom Amplicon panel designed for C3, CF</w:t>
      </w:r>
      <w:r w:rsidR="006705ED">
        <w:rPr>
          <w:lang w:val="en-US"/>
        </w:rPr>
        <w:t xml:space="preserve">B, CFI, CFH, CD46, THBD, DGKE, </w:t>
      </w:r>
      <w:r w:rsidRPr="00D770CC">
        <w:rPr>
          <w:lang w:val="en-US"/>
        </w:rPr>
        <w:t xml:space="preserve">FHR1-5 , ADAMTS 13 setting the amplicon length: to 250 </w:t>
      </w:r>
      <w:proofErr w:type="spellStart"/>
      <w:r w:rsidRPr="00D770CC">
        <w:rPr>
          <w:lang w:val="en-US"/>
        </w:rPr>
        <w:t>bp</w:t>
      </w:r>
      <w:proofErr w:type="spellEnd"/>
      <w:r w:rsidRPr="00D770CC">
        <w:rPr>
          <w:lang w:val="en-US"/>
        </w:rPr>
        <w:t xml:space="preserve"> ( 97% coverage across all targets). Library preparation </w:t>
      </w:r>
      <w:proofErr w:type="gramStart"/>
      <w:r w:rsidRPr="00D770CC">
        <w:rPr>
          <w:lang w:val="en-US"/>
        </w:rPr>
        <w:t>was performed</w:t>
      </w:r>
      <w:proofErr w:type="gramEnd"/>
      <w:r w:rsidRPr="00D770CC">
        <w:rPr>
          <w:lang w:val="en-US"/>
        </w:rPr>
        <w:t xml:space="preserve"> according to the manufacturer’s instructions (</w:t>
      </w:r>
      <w:proofErr w:type="spellStart"/>
      <w:r w:rsidRPr="00D770CC">
        <w:rPr>
          <w:lang w:val="en-US"/>
        </w:rPr>
        <w:t>TruSeq</w:t>
      </w:r>
      <w:proofErr w:type="spellEnd"/>
      <w:r w:rsidRPr="00D770CC">
        <w:rPr>
          <w:lang w:val="en-US"/>
        </w:rPr>
        <w:t xml:space="preserve"> Custom Amplicon library preparation guide). </w:t>
      </w:r>
      <w:r w:rsidRPr="004E6E25">
        <w:rPr>
          <w:lang w:val="en-US"/>
        </w:rPr>
        <w:t xml:space="preserve">Sequencing </w:t>
      </w:r>
      <w:proofErr w:type="gramStart"/>
      <w:r w:rsidRPr="004E6E25">
        <w:rPr>
          <w:lang w:val="en-US"/>
        </w:rPr>
        <w:t>was performed</w:t>
      </w:r>
      <w:proofErr w:type="gramEnd"/>
      <w:r w:rsidRPr="004E6E25">
        <w:rPr>
          <w:lang w:val="en-US"/>
        </w:rPr>
        <w:t xml:space="preserve"> on an Illumina </w:t>
      </w:r>
      <w:proofErr w:type="spellStart"/>
      <w:r w:rsidRPr="004E6E25">
        <w:rPr>
          <w:lang w:val="en-US"/>
        </w:rPr>
        <w:t>MiSeq</w:t>
      </w:r>
      <w:proofErr w:type="spellEnd"/>
      <w:r w:rsidRPr="004E6E25">
        <w:rPr>
          <w:lang w:val="en-US"/>
        </w:rPr>
        <w:t xml:space="preserve"> Desktop Sequencer. </w:t>
      </w:r>
      <w:proofErr w:type="spellStart"/>
      <w:r w:rsidRPr="004E6E25">
        <w:rPr>
          <w:color w:val="000000"/>
          <w:lang w:val="en-US"/>
        </w:rPr>
        <w:t>FastQ</w:t>
      </w:r>
      <w:proofErr w:type="spellEnd"/>
      <w:r w:rsidRPr="004E6E25">
        <w:rPr>
          <w:color w:val="000000"/>
          <w:lang w:val="en-US"/>
        </w:rPr>
        <w:t xml:space="preserve"> files generation, alignment and variant calling </w:t>
      </w:r>
      <w:proofErr w:type="gramStart"/>
      <w:r w:rsidRPr="004E6E25">
        <w:rPr>
          <w:color w:val="000000"/>
          <w:lang w:val="en-US"/>
        </w:rPr>
        <w:t>was performed</w:t>
      </w:r>
      <w:proofErr w:type="gramEnd"/>
      <w:r w:rsidRPr="004E6E25">
        <w:rPr>
          <w:color w:val="000000"/>
          <w:lang w:val="en-US"/>
        </w:rPr>
        <w:t xml:space="preserve"> according to the Illumina </w:t>
      </w:r>
      <w:proofErr w:type="spellStart"/>
      <w:r w:rsidRPr="004E6E25">
        <w:rPr>
          <w:color w:val="000000"/>
          <w:lang w:val="en-US"/>
        </w:rPr>
        <w:t>MiSeq</w:t>
      </w:r>
      <w:proofErr w:type="spellEnd"/>
      <w:r w:rsidRPr="004E6E25">
        <w:rPr>
          <w:color w:val="000000"/>
          <w:lang w:val="en-US"/>
        </w:rPr>
        <w:t xml:space="preserve"> Reporter Custom Amplicon Workflow, using the default settings: banded Smith-Waterman algorithm for BAM files generation and Genome Analysis Toolkit (GATK) for VCF files generation. </w:t>
      </w:r>
      <w:r w:rsidRPr="00683FC4">
        <w:rPr>
          <w:color w:val="000000"/>
          <w:lang w:val="en-US"/>
        </w:rPr>
        <w:t xml:space="preserve">Only high-quality bases </w:t>
      </w:r>
      <w:proofErr w:type="gramStart"/>
      <w:r w:rsidRPr="00683FC4">
        <w:rPr>
          <w:color w:val="000000"/>
          <w:lang w:val="en-US"/>
        </w:rPr>
        <w:t>were considered</w:t>
      </w:r>
      <w:proofErr w:type="gramEnd"/>
      <w:r w:rsidRPr="00683FC4">
        <w:rPr>
          <w:color w:val="000000"/>
          <w:lang w:val="en-US"/>
        </w:rPr>
        <w:t>. These were identified by selecting only those presenting the ‘PASS’ status of the variant call quality, meaning that all quality filters (QUAL and GQ values listed in the VCF file) were passed.</w:t>
      </w:r>
      <w:r w:rsidRPr="00683FC4">
        <w:rPr>
          <w:lang w:val="en-US"/>
        </w:rPr>
        <w:t xml:space="preserve"> </w:t>
      </w:r>
      <w:r w:rsidRPr="00683FC4">
        <w:rPr>
          <w:color w:val="000000"/>
          <w:lang w:val="en-US"/>
        </w:rPr>
        <w:t xml:space="preserve">Annotation of variants </w:t>
      </w:r>
      <w:proofErr w:type="gramStart"/>
      <w:r w:rsidRPr="00683FC4">
        <w:rPr>
          <w:color w:val="000000"/>
          <w:lang w:val="en-US"/>
        </w:rPr>
        <w:t>was performed</w:t>
      </w:r>
      <w:proofErr w:type="gramEnd"/>
      <w:r w:rsidRPr="00683FC4">
        <w:rPr>
          <w:color w:val="000000"/>
          <w:lang w:val="en-US"/>
        </w:rPr>
        <w:t xml:space="preserve"> using Illumina </w:t>
      </w:r>
      <w:proofErr w:type="spellStart"/>
      <w:r w:rsidRPr="00683FC4">
        <w:rPr>
          <w:color w:val="000000"/>
          <w:lang w:val="en-US"/>
        </w:rPr>
        <w:t>VariantStudio</w:t>
      </w:r>
      <w:proofErr w:type="spellEnd"/>
      <w:r w:rsidRPr="00683FC4">
        <w:rPr>
          <w:color w:val="000000"/>
          <w:lang w:val="en-US"/>
        </w:rPr>
        <w:t xml:space="preserve"> software (see Resources) and CADD algorithm</w:t>
      </w:r>
      <w:r w:rsidRPr="00683FC4">
        <w:rPr>
          <w:color w:val="000000"/>
          <w:sz w:val="14"/>
          <w:szCs w:val="14"/>
          <w:vertAlign w:val="superscript"/>
          <w:lang w:val="en-US"/>
        </w:rPr>
        <w:t>38</w:t>
      </w:r>
      <w:r w:rsidRPr="00683FC4">
        <w:rPr>
          <w:color w:val="000000"/>
          <w:lang w:val="en-US"/>
        </w:rPr>
        <w:t xml:space="preserve"> (for </w:t>
      </w:r>
      <w:proofErr w:type="spellStart"/>
      <w:r w:rsidRPr="00683FC4">
        <w:rPr>
          <w:color w:val="000000"/>
          <w:lang w:val="en-US"/>
        </w:rPr>
        <w:t>CScores</w:t>
      </w:r>
      <w:proofErr w:type="spellEnd"/>
      <w:r w:rsidRPr="00683FC4">
        <w:rPr>
          <w:color w:val="000000"/>
          <w:lang w:val="en-US"/>
        </w:rPr>
        <w:t xml:space="preserve"> computation). Evaluation of the pathogenicity or likely pathogenicity of variants </w:t>
      </w:r>
      <w:proofErr w:type="gramStart"/>
      <w:r w:rsidRPr="00683FC4">
        <w:rPr>
          <w:color w:val="000000"/>
          <w:lang w:val="en-US"/>
        </w:rPr>
        <w:t>was made</w:t>
      </w:r>
      <w:proofErr w:type="gramEnd"/>
      <w:r w:rsidRPr="00683FC4">
        <w:rPr>
          <w:color w:val="000000"/>
          <w:lang w:val="en-US"/>
        </w:rPr>
        <w:t xml:space="preserve"> by setting a </w:t>
      </w:r>
      <w:proofErr w:type="spellStart"/>
      <w:r w:rsidRPr="00683FC4">
        <w:rPr>
          <w:color w:val="000000"/>
          <w:lang w:val="en-US"/>
        </w:rPr>
        <w:t>CScore</w:t>
      </w:r>
      <w:proofErr w:type="spellEnd"/>
      <w:r w:rsidRPr="00683FC4">
        <w:rPr>
          <w:color w:val="000000"/>
          <w:lang w:val="en-US"/>
        </w:rPr>
        <w:t xml:space="preserve"> cut-off of 10.</w:t>
      </w:r>
    </w:p>
    <w:p w14:paraId="21AD0227" w14:textId="77777777" w:rsidR="00DF1A34" w:rsidRPr="00683FC4" w:rsidRDefault="00DF1A34">
      <w:pPr>
        <w:rPr>
          <w:lang w:val="en-US"/>
        </w:rPr>
      </w:pPr>
    </w:p>
    <w:p w14:paraId="05386890" w14:textId="525CCB61" w:rsidR="00DF1A34" w:rsidRPr="00683FC4" w:rsidRDefault="006705ED">
      <w:pPr>
        <w:rPr>
          <w:lang w:val="en-US"/>
        </w:rPr>
      </w:pPr>
      <w:proofErr w:type="gramStart"/>
      <w:r>
        <w:rPr>
          <w:lang w:val="en-US"/>
        </w:rPr>
        <w:t xml:space="preserve">Molecular analysis of </w:t>
      </w:r>
      <w:r w:rsidR="003C6E26" w:rsidRPr="00683FC4">
        <w:rPr>
          <w:lang w:val="en-US"/>
        </w:rPr>
        <w:t>FHR2 gene (NM_005666) was performed by polymerase chain reaction (PCR), using homemade primers and direct sequencing</w:t>
      </w:r>
      <w:proofErr w:type="gramEnd"/>
      <w:r w:rsidR="003C6E26" w:rsidRPr="00683FC4">
        <w:rPr>
          <w:lang w:val="en-US"/>
        </w:rPr>
        <w:t xml:space="preserve">. PCR reaction was run in a volume of 25 </w:t>
      </w:r>
      <w:r w:rsidR="003C6E26">
        <w:t>μ</w:t>
      </w:r>
      <w:r w:rsidR="003C6E26" w:rsidRPr="00683FC4">
        <w:rPr>
          <w:lang w:val="en-US"/>
        </w:rPr>
        <w:t xml:space="preserve">l, with 100 ng of template DNA, 1 × reaction buffer, 0.2 </w:t>
      </w:r>
      <w:proofErr w:type="spellStart"/>
      <w:r w:rsidR="003C6E26" w:rsidRPr="00683FC4">
        <w:rPr>
          <w:lang w:val="en-US"/>
        </w:rPr>
        <w:t>mM</w:t>
      </w:r>
      <w:proofErr w:type="spellEnd"/>
      <w:r w:rsidR="003C6E26" w:rsidRPr="00683FC4">
        <w:rPr>
          <w:lang w:val="en-US"/>
        </w:rPr>
        <w:t xml:space="preserve"> of each nucleotide, 30 </w:t>
      </w:r>
      <w:proofErr w:type="spellStart"/>
      <w:r w:rsidR="003C6E26" w:rsidRPr="00683FC4">
        <w:rPr>
          <w:lang w:val="en-US"/>
        </w:rPr>
        <w:t>pmol</w:t>
      </w:r>
      <w:proofErr w:type="spellEnd"/>
      <w:r w:rsidR="003C6E26" w:rsidRPr="00683FC4">
        <w:rPr>
          <w:lang w:val="en-US"/>
        </w:rPr>
        <w:t xml:space="preserve"> of primers and 0.1 U of DNA polymerase (</w:t>
      </w:r>
      <w:proofErr w:type="spellStart"/>
      <w:r w:rsidR="003C6E26" w:rsidRPr="00683FC4">
        <w:rPr>
          <w:lang w:val="en-US"/>
        </w:rPr>
        <w:t>TaqGold</w:t>
      </w:r>
      <w:proofErr w:type="spellEnd"/>
      <w:r w:rsidR="003C6E26" w:rsidRPr="00683FC4">
        <w:rPr>
          <w:lang w:val="en-US"/>
        </w:rPr>
        <w:t xml:space="preserve">, Life Technologies, Calif., </w:t>
      </w:r>
      <w:proofErr w:type="gramStart"/>
      <w:r w:rsidR="003C6E26" w:rsidRPr="00683FC4">
        <w:rPr>
          <w:lang w:val="en-US"/>
        </w:rPr>
        <w:t>USA</w:t>
      </w:r>
      <w:proofErr w:type="gramEnd"/>
      <w:r w:rsidR="003C6E26" w:rsidRPr="00683FC4">
        <w:rPr>
          <w:lang w:val="en-US"/>
        </w:rPr>
        <w:t xml:space="preserve">). The PCR reaction </w:t>
      </w:r>
      <w:proofErr w:type="gramStart"/>
      <w:r w:rsidR="003C6E26" w:rsidRPr="00683FC4">
        <w:rPr>
          <w:lang w:val="en-US"/>
        </w:rPr>
        <w:t>was carried out</w:t>
      </w:r>
      <w:proofErr w:type="gramEnd"/>
      <w:r w:rsidR="003C6E26" w:rsidRPr="00683FC4">
        <w:rPr>
          <w:lang w:val="en-US"/>
        </w:rPr>
        <w:t xml:space="preserve"> for 35 cycles, </w:t>
      </w:r>
      <w:proofErr w:type="spellStart"/>
      <w:r w:rsidR="003C6E26" w:rsidRPr="00683FC4">
        <w:rPr>
          <w:lang w:val="en-US"/>
        </w:rPr>
        <w:t>denaturated</w:t>
      </w:r>
      <w:proofErr w:type="spellEnd"/>
      <w:r w:rsidR="003C6E26" w:rsidRPr="00683FC4">
        <w:rPr>
          <w:lang w:val="en-US"/>
        </w:rPr>
        <w:t xml:space="preserve"> at 95 ° C for 15 s, annealed at about 57° C for 30 s and with an extension at 72 ° C for 60 s. All PCR programs include an initial denaturation of 10 min at 95 ° C and the extension lasted 7 min in the last cycle.</w:t>
      </w:r>
    </w:p>
    <w:p w14:paraId="45D23A5F" w14:textId="126BE154" w:rsidR="006705ED" w:rsidRPr="006705ED" w:rsidRDefault="003C6E26">
      <w:pPr>
        <w:rPr>
          <w:b/>
          <w:lang w:val="en-GB"/>
        </w:rPr>
      </w:pPr>
      <w:r w:rsidRPr="00683FC4">
        <w:rPr>
          <w:lang w:val="en-US"/>
        </w:rPr>
        <w:t>The PCR products were analyzed with direct sequencing using the Big-Dye Terminator kit v3.1 (Life Technologies, Calif., USA) and ABI-PRISM 3130 Genetic Analyzer (Life Technologies, Calif., USA).</w:t>
      </w:r>
      <w:r w:rsidR="006705ED">
        <w:rPr>
          <w:lang w:val="en-US"/>
        </w:rPr>
        <w:t xml:space="preserve"> </w:t>
      </w:r>
      <w:r w:rsidR="006705ED" w:rsidRPr="006705ED">
        <w:rPr>
          <w:b/>
          <w:lang w:val="en-US"/>
        </w:rPr>
        <w:t>A</w:t>
      </w:r>
      <w:r w:rsidR="006705ED" w:rsidRPr="006705ED">
        <w:rPr>
          <w:b/>
          <w:lang w:val="en-GB"/>
        </w:rPr>
        <w:t xml:space="preserve"> cohort of 60 healthy control subjects have been </w:t>
      </w:r>
      <w:r w:rsidR="0038536B">
        <w:rPr>
          <w:b/>
          <w:lang w:val="en-GB"/>
        </w:rPr>
        <w:t>s</w:t>
      </w:r>
      <w:bookmarkStart w:id="0" w:name="_GoBack"/>
      <w:bookmarkEnd w:id="0"/>
      <w:r w:rsidR="006705ED" w:rsidRPr="006705ED">
        <w:rPr>
          <w:b/>
          <w:lang w:val="en-GB"/>
        </w:rPr>
        <w:t>creen for the FHR2 rare variants.</w:t>
      </w:r>
    </w:p>
    <w:p w14:paraId="60102059" w14:textId="0B9DF525" w:rsidR="00DF1A34" w:rsidRPr="00683FC4" w:rsidRDefault="003C6E26">
      <w:pPr>
        <w:rPr>
          <w:lang w:val="en-US"/>
        </w:rPr>
      </w:pPr>
      <w:r w:rsidRPr="00683FC4">
        <w:rPr>
          <w:lang w:val="en-US"/>
        </w:rPr>
        <w:t xml:space="preserve"> Finally, MLPA (multiplex ligation-dependent probe analysis) </w:t>
      </w:r>
      <w:proofErr w:type="gramStart"/>
      <w:r w:rsidRPr="00683FC4">
        <w:rPr>
          <w:lang w:val="en-US"/>
        </w:rPr>
        <w:t>was performed</w:t>
      </w:r>
      <w:proofErr w:type="gramEnd"/>
      <w:r w:rsidRPr="00683FC4">
        <w:rPr>
          <w:lang w:val="en-US"/>
        </w:rPr>
        <w:t xml:space="preserve"> to determine abnor</w:t>
      </w:r>
      <w:r w:rsidR="006705ED">
        <w:rPr>
          <w:lang w:val="en-US"/>
        </w:rPr>
        <w:t xml:space="preserve">mal copy numbers of factor CFH/FHRs and genes encoding </w:t>
      </w:r>
      <w:r w:rsidRPr="00683FC4">
        <w:rPr>
          <w:lang w:val="en-US"/>
        </w:rPr>
        <w:t xml:space="preserve">FHRs 3, 1, 2 and 5 using the SALSA MLPA P236-A1 ARMD Kit (MRC-Holland).  Gene-Marker software v1.85 (Soft Genetics) </w:t>
      </w:r>
      <w:proofErr w:type="gramStart"/>
      <w:r w:rsidRPr="00683FC4">
        <w:rPr>
          <w:lang w:val="en-US"/>
        </w:rPr>
        <w:t>was used</w:t>
      </w:r>
      <w:proofErr w:type="gramEnd"/>
      <w:r w:rsidRPr="00683FC4">
        <w:rPr>
          <w:lang w:val="en-US"/>
        </w:rPr>
        <w:t xml:space="preserve"> for data analysis.</w:t>
      </w:r>
    </w:p>
    <w:p w14:paraId="65B5CD79" w14:textId="77777777" w:rsidR="00DF1A34" w:rsidRPr="00683FC4" w:rsidRDefault="00DF1A34">
      <w:pPr>
        <w:rPr>
          <w:b/>
          <w:lang w:val="en-US"/>
        </w:rPr>
      </w:pPr>
    </w:p>
    <w:p w14:paraId="0A987E51" w14:textId="77777777" w:rsidR="00DF1A34" w:rsidRPr="00683FC4" w:rsidRDefault="00DF1A34">
      <w:pPr>
        <w:rPr>
          <w:lang w:val="en-US"/>
        </w:rPr>
      </w:pPr>
    </w:p>
    <w:p w14:paraId="1732975C" w14:textId="17BE8549" w:rsidR="00DF1A34" w:rsidRPr="00683FC4" w:rsidRDefault="003C6E26">
      <w:pPr>
        <w:pBdr>
          <w:top w:val="nil"/>
          <w:left w:val="nil"/>
          <w:bottom w:val="nil"/>
          <w:right w:val="nil"/>
          <w:between w:val="nil"/>
        </w:pBdr>
        <w:spacing w:after="200"/>
        <w:jc w:val="both"/>
        <w:rPr>
          <w:rFonts w:ascii="Times" w:eastAsia="Times" w:hAnsi="Times" w:cs="Times"/>
          <w:color w:val="000000"/>
          <w:lang w:val="en-US"/>
        </w:rPr>
      </w:pPr>
      <w:r w:rsidRPr="00683FC4">
        <w:rPr>
          <w:b/>
          <w:color w:val="000000"/>
          <w:lang w:val="en-US"/>
        </w:rPr>
        <w:t>1.2 Serum analysis:</w:t>
      </w:r>
      <w:r w:rsidRPr="00683FC4">
        <w:rPr>
          <w:color w:val="000000"/>
          <w:lang w:val="en-US"/>
        </w:rPr>
        <w:t xml:space="preserve"> </w:t>
      </w:r>
      <w:r w:rsidRPr="00683FC4">
        <w:rPr>
          <w:rFonts w:ascii="Times" w:eastAsia="Times" w:hAnsi="Times" w:cs="Times"/>
          <w:color w:val="000000"/>
          <w:lang w:val="en-US"/>
        </w:rPr>
        <w:t xml:space="preserve">Serum proteins of the patient and health individual were separated using a non-reducing condition.10 </w:t>
      </w:r>
      <w:proofErr w:type="spellStart"/>
      <w:r w:rsidRPr="00683FC4">
        <w:rPr>
          <w:rFonts w:ascii="Times" w:eastAsia="Times" w:hAnsi="Times" w:cs="Times"/>
          <w:color w:val="000000"/>
          <w:lang w:val="en-US"/>
        </w:rPr>
        <w:t>ul</w:t>
      </w:r>
      <w:proofErr w:type="spellEnd"/>
      <w:r w:rsidRPr="00683FC4">
        <w:rPr>
          <w:rFonts w:ascii="Times" w:eastAsia="Times" w:hAnsi="Times" w:cs="Times"/>
          <w:color w:val="000000"/>
          <w:lang w:val="en-US"/>
        </w:rPr>
        <w:t xml:space="preserve"> serum diluted in PBS (1:20) was separated in a 12% SDS/PAGE gel at 150V for 1,30 h and transferred onto a nitrocellulose blotting membrane (</w:t>
      </w:r>
      <w:proofErr w:type="spellStart"/>
      <w:r w:rsidRPr="00683FC4">
        <w:rPr>
          <w:rFonts w:ascii="Times" w:eastAsia="Times" w:hAnsi="Times" w:cs="Times"/>
          <w:color w:val="000000"/>
          <w:lang w:val="en-US"/>
        </w:rPr>
        <w:t>Thermo</w:t>
      </w:r>
      <w:proofErr w:type="spellEnd"/>
      <w:r w:rsidRPr="00683FC4">
        <w:rPr>
          <w:rFonts w:ascii="Times" w:eastAsia="Times" w:hAnsi="Times" w:cs="Times"/>
          <w:color w:val="000000"/>
          <w:lang w:val="en-US"/>
        </w:rPr>
        <w:t xml:space="preserve"> Fisher scientific, Waltham, MA USA). After an overnight incubation at 4°C in 5% milk in TBST (20nM </w:t>
      </w:r>
      <w:proofErr w:type="spellStart"/>
      <w:r w:rsidRPr="00683FC4">
        <w:rPr>
          <w:rFonts w:ascii="Times" w:eastAsia="Times" w:hAnsi="Times" w:cs="Times"/>
          <w:color w:val="000000"/>
          <w:lang w:val="en-US"/>
        </w:rPr>
        <w:t>tris</w:t>
      </w:r>
      <w:proofErr w:type="spellEnd"/>
      <w:r w:rsidRPr="00683FC4">
        <w:rPr>
          <w:rFonts w:ascii="Times" w:eastAsia="Times" w:hAnsi="Times" w:cs="Times"/>
          <w:color w:val="000000"/>
          <w:lang w:val="en-US"/>
        </w:rPr>
        <w:t xml:space="preserve">-HCL, 136mM </w:t>
      </w:r>
      <w:proofErr w:type="spellStart"/>
      <w:r w:rsidRPr="00683FC4">
        <w:rPr>
          <w:rFonts w:ascii="Times" w:eastAsia="Times" w:hAnsi="Times" w:cs="Times"/>
          <w:color w:val="000000"/>
          <w:lang w:val="en-US"/>
        </w:rPr>
        <w:t>naCl</w:t>
      </w:r>
      <w:proofErr w:type="spellEnd"/>
      <w:r w:rsidRPr="00683FC4">
        <w:rPr>
          <w:rFonts w:ascii="Times" w:eastAsia="Times" w:hAnsi="Times" w:cs="Times"/>
          <w:color w:val="000000"/>
          <w:lang w:val="en-US"/>
        </w:rPr>
        <w:t xml:space="preserve">, 0,15% Tween-20, </w:t>
      </w:r>
      <w:proofErr w:type="spellStart"/>
      <w:r w:rsidRPr="00683FC4">
        <w:rPr>
          <w:rFonts w:ascii="Times" w:eastAsia="Times" w:hAnsi="Times" w:cs="Times"/>
          <w:color w:val="000000"/>
          <w:lang w:val="en-US"/>
        </w:rPr>
        <w:t>ph</w:t>
      </w:r>
      <w:proofErr w:type="spellEnd"/>
      <w:r w:rsidRPr="00683FC4">
        <w:rPr>
          <w:rFonts w:ascii="Times" w:eastAsia="Times" w:hAnsi="Times" w:cs="Times"/>
          <w:color w:val="000000"/>
          <w:lang w:val="en-US"/>
        </w:rPr>
        <w:t xml:space="preserve"> 7.4), the membrane was incuba</w:t>
      </w:r>
      <w:r w:rsidR="006705ED">
        <w:rPr>
          <w:rFonts w:ascii="Times" w:eastAsia="Times" w:hAnsi="Times" w:cs="Times"/>
          <w:color w:val="000000"/>
          <w:lang w:val="en-US"/>
        </w:rPr>
        <w:t>ted firstly with specific anti FHR1-</w:t>
      </w:r>
      <w:r w:rsidRPr="00683FC4">
        <w:rPr>
          <w:rFonts w:ascii="Times" w:eastAsia="Times" w:hAnsi="Times" w:cs="Times"/>
          <w:color w:val="000000"/>
          <w:lang w:val="en-US"/>
        </w:rPr>
        <w:t>FR2 reacting antis</w:t>
      </w:r>
      <w:r w:rsidR="006705ED">
        <w:rPr>
          <w:rFonts w:ascii="Times" w:eastAsia="Times" w:hAnsi="Times" w:cs="Times"/>
          <w:color w:val="000000"/>
          <w:lang w:val="en-US"/>
        </w:rPr>
        <w:t>erum home-made antibodies (</w:t>
      </w:r>
      <w:proofErr w:type="spellStart"/>
      <w:r w:rsidR="006705ED">
        <w:rPr>
          <w:rFonts w:ascii="Times" w:eastAsia="Times" w:hAnsi="Times" w:cs="Times"/>
          <w:color w:val="000000"/>
          <w:lang w:val="en-US"/>
        </w:rPr>
        <w:t>pAb</w:t>
      </w:r>
      <w:proofErr w:type="spellEnd"/>
      <w:r w:rsidR="006705ED">
        <w:rPr>
          <w:rFonts w:ascii="Times" w:eastAsia="Times" w:hAnsi="Times" w:cs="Times"/>
          <w:color w:val="000000"/>
          <w:lang w:val="en-US"/>
        </w:rPr>
        <w:t xml:space="preserve"> </w:t>
      </w:r>
      <w:r w:rsidRPr="00683FC4">
        <w:rPr>
          <w:rFonts w:ascii="Times" w:eastAsia="Times" w:hAnsi="Times" w:cs="Times"/>
          <w:color w:val="000000"/>
          <w:lang w:val="en-US"/>
        </w:rPr>
        <w:t xml:space="preserve">FHR1 1:2000). After three wash steps for 10 min with TPBS, the membrane </w:t>
      </w:r>
      <w:proofErr w:type="gramStart"/>
      <w:r w:rsidRPr="00683FC4">
        <w:rPr>
          <w:rFonts w:ascii="Times" w:eastAsia="Times" w:hAnsi="Times" w:cs="Times"/>
          <w:color w:val="000000"/>
          <w:lang w:val="en-US"/>
        </w:rPr>
        <w:t>was incubated</w:t>
      </w:r>
      <w:proofErr w:type="gramEnd"/>
      <w:r w:rsidRPr="00683FC4">
        <w:rPr>
          <w:rFonts w:ascii="Times" w:eastAsia="Times" w:hAnsi="Times" w:cs="Times"/>
          <w:color w:val="000000"/>
          <w:lang w:val="en-US"/>
        </w:rPr>
        <w:t xml:space="preserve"> with HRP-coupled secondary antibody </w:t>
      </w:r>
      <w:r>
        <w:rPr>
          <w:rFonts w:ascii="Times" w:eastAsia="Times" w:hAnsi="Times" w:cs="Times"/>
          <w:color w:val="000000"/>
        </w:rPr>
        <w:t>α</w:t>
      </w:r>
      <w:r w:rsidRPr="00683FC4">
        <w:rPr>
          <w:rFonts w:ascii="Times" w:eastAsia="Times" w:hAnsi="Times" w:cs="Times"/>
          <w:color w:val="000000"/>
          <w:lang w:val="en-US"/>
        </w:rPr>
        <w:t xml:space="preserve">rabbit (1:2000) for 1 hour at RT. Finally, after another round of washing with TPBS, the detection of the proteins </w:t>
      </w:r>
      <w:proofErr w:type="gramStart"/>
      <w:r w:rsidRPr="00683FC4">
        <w:rPr>
          <w:rFonts w:ascii="Times" w:eastAsia="Times" w:hAnsi="Times" w:cs="Times"/>
          <w:color w:val="000000"/>
          <w:lang w:val="en-US"/>
        </w:rPr>
        <w:t>was performed</w:t>
      </w:r>
      <w:proofErr w:type="gramEnd"/>
      <w:r w:rsidRPr="00683FC4">
        <w:rPr>
          <w:rFonts w:ascii="Times" w:eastAsia="Times" w:hAnsi="Times" w:cs="Times"/>
          <w:color w:val="000000"/>
          <w:lang w:val="en-US"/>
        </w:rPr>
        <w:t xml:space="preserve"> </w:t>
      </w:r>
      <w:r w:rsidRPr="00683FC4">
        <w:rPr>
          <w:rFonts w:ascii="Times" w:eastAsia="Times" w:hAnsi="Times" w:cs="Times"/>
          <w:lang w:val="en-US"/>
        </w:rPr>
        <w:t xml:space="preserve">using </w:t>
      </w:r>
      <w:r w:rsidRPr="00683FC4">
        <w:rPr>
          <w:rFonts w:ascii="Times" w:eastAsia="Times" w:hAnsi="Times" w:cs="Times"/>
          <w:lang w:val="en-US"/>
        </w:rPr>
        <w:lastRenderedPageBreak/>
        <w:t xml:space="preserve">the </w:t>
      </w:r>
      <w:proofErr w:type="spellStart"/>
      <w:r w:rsidRPr="00683FC4">
        <w:rPr>
          <w:rFonts w:ascii="Times" w:eastAsia="Times" w:hAnsi="Times" w:cs="Times"/>
          <w:lang w:val="en-US"/>
        </w:rPr>
        <w:t>chemiluminescence</w:t>
      </w:r>
      <w:proofErr w:type="spellEnd"/>
      <w:r w:rsidRPr="00683FC4">
        <w:rPr>
          <w:rFonts w:ascii="Times" w:eastAsia="Times" w:hAnsi="Times" w:cs="Times"/>
          <w:color w:val="000000"/>
          <w:lang w:val="en-US"/>
        </w:rPr>
        <w:t xml:space="preserve"> system (</w:t>
      </w:r>
      <w:proofErr w:type="spellStart"/>
      <w:r w:rsidRPr="00683FC4">
        <w:rPr>
          <w:rFonts w:ascii="Times" w:eastAsia="Times" w:hAnsi="Times" w:cs="Times"/>
          <w:color w:val="000000"/>
          <w:lang w:val="en-US"/>
        </w:rPr>
        <w:t>Amersham</w:t>
      </w:r>
      <w:proofErr w:type="spellEnd"/>
      <w:r w:rsidRPr="00683FC4">
        <w:rPr>
          <w:rFonts w:ascii="Times" w:eastAsia="Times" w:hAnsi="Times" w:cs="Times"/>
          <w:color w:val="000000"/>
          <w:lang w:val="en-US"/>
        </w:rPr>
        <w:t xml:space="preserve">) according to the manufacturer’s information. X-ray films </w:t>
      </w:r>
      <w:proofErr w:type="gramStart"/>
      <w:r w:rsidRPr="00683FC4">
        <w:rPr>
          <w:rFonts w:ascii="Times" w:eastAsia="Times" w:hAnsi="Times" w:cs="Times"/>
          <w:color w:val="000000"/>
          <w:lang w:val="en-US"/>
        </w:rPr>
        <w:t>were used</w:t>
      </w:r>
      <w:proofErr w:type="gramEnd"/>
      <w:r w:rsidRPr="00683FC4">
        <w:rPr>
          <w:rFonts w:ascii="Times" w:eastAsia="Times" w:hAnsi="Times" w:cs="Times"/>
          <w:color w:val="000000"/>
          <w:lang w:val="en-US"/>
        </w:rPr>
        <w:t xml:space="preserve"> for the development. </w:t>
      </w:r>
    </w:p>
    <w:p w14:paraId="0AE5652A" w14:textId="77777777" w:rsidR="00DF1A34" w:rsidRPr="00683FC4" w:rsidRDefault="00DF1A34">
      <w:pPr>
        <w:rPr>
          <w:lang w:val="en-US"/>
        </w:rPr>
      </w:pPr>
    </w:p>
    <w:p w14:paraId="1D66AD57" w14:textId="77777777" w:rsidR="00DF1A34" w:rsidRPr="00683FC4" w:rsidRDefault="003C6E26">
      <w:pPr>
        <w:rPr>
          <w:b/>
          <w:lang w:val="en-US"/>
        </w:rPr>
      </w:pPr>
      <w:r w:rsidRPr="00683FC4">
        <w:rPr>
          <w:b/>
          <w:lang w:val="en-US"/>
        </w:rPr>
        <w:t>1.3 Complement Activation Products</w:t>
      </w:r>
    </w:p>
    <w:p w14:paraId="0714951C" w14:textId="77777777" w:rsidR="00DF1A34" w:rsidRPr="00683FC4" w:rsidRDefault="003C6E26">
      <w:pPr>
        <w:rPr>
          <w:lang w:val="en-US"/>
        </w:rPr>
      </w:pPr>
      <w:r w:rsidRPr="00683FC4">
        <w:rPr>
          <w:lang w:val="en-US"/>
        </w:rPr>
        <w:t xml:space="preserve">The complement activation products fragments C3a, Ba and sC5b-9 were measured in the patient's serum using </w:t>
      </w:r>
      <w:proofErr w:type="spellStart"/>
      <w:r w:rsidRPr="00683FC4">
        <w:rPr>
          <w:lang w:val="en-US"/>
        </w:rPr>
        <w:t>Microvue</w:t>
      </w:r>
      <w:proofErr w:type="spellEnd"/>
      <w:r w:rsidRPr="00683FC4">
        <w:rPr>
          <w:lang w:val="en-US"/>
        </w:rPr>
        <w:t xml:space="preserve"> kits (</w:t>
      </w:r>
      <w:proofErr w:type="spellStart"/>
      <w:r w:rsidRPr="00683FC4">
        <w:rPr>
          <w:lang w:val="en-US"/>
        </w:rPr>
        <w:t>Quidel</w:t>
      </w:r>
      <w:proofErr w:type="spellEnd"/>
      <w:r w:rsidRPr="00683FC4">
        <w:rPr>
          <w:lang w:val="en-US"/>
        </w:rPr>
        <w:t xml:space="preserve">® Corporation, San Diego, CA) according to the manufacturer’s instructions.  Normal healthy subjects (NHS) </w:t>
      </w:r>
      <w:proofErr w:type="gramStart"/>
      <w:r w:rsidRPr="00683FC4">
        <w:rPr>
          <w:lang w:val="en-US"/>
        </w:rPr>
        <w:t>were used</w:t>
      </w:r>
      <w:proofErr w:type="gramEnd"/>
      <w:r w:rsidRPr="00683FC4">
        <w:rPr>
          <w:lang w:val="en-US"/>
        </w:rPr>
        <w:t xml:space="preserve"> as negative control. </w:t>
      </w:r>
    </w:p>
    <w:p w14:paraId="3BA916FC" w14:textId="77777777" w:rsidR="00DF1A34" w:rsidRPr="00683FC4" w:rsidRDefault="00DF1A34">
      <w:pPr>
        <w:rPr>
          <w:lang w:val="en-US"/>
        </w:rPr>
      </w:pPr>
    </w:p>
    <w:p w14:paraId="60E383C8" w14:textId="77777777" w:rsidR="00DF1A34" w:rsidRPr="00683FC4" w:rsidRDefault="00DF1A34">
      <w:pPr>
        <w:rPr>
          <w:lang w:val="en-US"/>
        </w:rPr>
      </w:pPr>
    </w:p>
    <w:p w14:paraId="13437F61" w14:textId="77777777" w:rsidR="00DF1A34" w:rsidRPr="00683FC4" w:rsidRDefault="003C6E26">
      <w:pPr>
        <w:rPr>
          <w:b/>
          <w:lang w:val="en-US"/>
        </w:rPr>
      </w:pPr>
      <w:r w:rsidRPr="00683FC4">
        <w:rPr>
          <w:b/>
          <w:lang w:val="en-US"/>
        </w:rPr>
        <w:t>1.4 Protein expression and purification</w:t>
      </w:r>
    </w:p>
    <w:p w14:paraId="1F7A590C" w14:textId="7E083E87" w:rsidR="00DF1A34" w:rsidRPr="00683FC4" w:rsidRDefault="0069440F">
      <w:pPr>
        <w:rPr>
          <w:lang w:val="en-US"/>
        </w:rPr>
      </w:pPr>
      <w:r>
        <w:rPr>
          <w:lang w:val="en-US"/>
        </w:rPr>
        <w:t xml:space="preserve">Recombinant </w:t>
      </w:r>
      <w:r w:rsidR="003C6E26" w:rsidRPr="00683FC4">
        <w:rPr>
          <w:lang w:val="en-US"/>
        </w:rPr>
        <w:t xml:space="preserve">FHR2 </w:t>
      </w:r>
      <w:proofErr w:type="gramStart"/>
      <w:r w:rsidR="003C6E26" w:rsidRPr="00683FC4">
        <w:rPr>
          <w:lang w:val="en-US"/>
        </w:rPr>
        <w:t>was expressed</w:t>
      </w:r>
      <w:proofErr w:type="gramEnd"/>
      <w:r w:rsidR="003C6E26" w:rsidRPr="00683FC4">
        <w:rPr>
          <w:lang w:val="en-US"/>
        </w:rPr>
        <w:t xml:space="preserve"> in the Pichia system as previously described by </w:t>
      </w:r>
      <w:proofErr w:type="spellStart"/>
      <w:r w:rsidR="003C6E26" w:rsidRPr="00683FC4">
        <w:rPr>
          <w:lang w:val="en-US"/>
        </w:rPr>
        <w:t>Eberhardt</w:t>
      </w:r>
      <w:proofErr w:type="spellEnd"/>
      <w:r w:rsidR="003C6E26" w:rsidRPr="00683FC4">
        <w:rPr>
          <w:lang w:val="en-US"/>
        </w:rPr>
        <w:t xml:space="preserve"> H.U. et al. (11)</w:t>
      </w:r>
    </w:p>
    <w:p w14:paraId="33B6ECAA" w14:textId="77777777" w:rsidR="00DF1A34" w:rsidRPr="00683FC4" w:rsidRDefault="00DF1A34">
      <w:pPr>
        <w:rPr>
          <w:lang w:val="en-US"/>
        </w:rPr>
      </w:pPr>
    </w:p>
    <w:p w14:paraId="0BA1FE4B" w14:textId="77777777" w:rsidR="00DF1A34" w:rsidRPr="00683FC4" w:rsidRDefault="00DF1A34">
      <w:pPr>
        <w:rPr>
          <w:lang w:val="en-US"/>
        </w:rPr>
      </w:pPr>
    </w:p>
    <w:p w14:paraId="60A53020" w14:textId="77777777" w:rsidR="00DF1A34" w:rsidRPr="00683FC4" w:rsidRDefault="003C6E26">
      <w:pPr>
        <w:rPr>
          <w:b/>
          <w:lang w:val="en-US"/>
        </w:rPr>
      </w:pPr>
      <w:r w:rsidRPr="00683FC4">
        <w:rPr>
          <w:b/>
          <w:lang w:val="en-US"/>
        </w:rPr>
        <w:t>1.5 Hemolytic assay</w:t>
      </w:r>
    </w:p>
    <w:p w14:paraId="3C343443" w14:textId="77777777" w:rsidR="00DF1A34" w:rsidRPr="00683FC4" w:rsidRDefault="003C6E26">
      <w:pPr>
        <w:rPr>
          <w:lang w:val="en-US"/>
        </w:rPr>
      </w:pPr>
      <w:r w:rsidRPr="00683FC4">
        <w:rPr>
          <w:lang w:val="en-US"/>
        </w:rPr>
        <w:t xml:space="preserve">Guinea pig erythrocytes (TCS, </w:t>
      </w:r>
      <w:proofErr w:type="spellStart"/>
      <w:r w:rsidRPr="00683FC4">
        <w:rPr>
          <w:lang w:val="en-US"/>
        </w:rPr>
        <w:t>Bioscences</w:t>
      </w:r>
      <w:proofErr w:type="spellEnd"/>
      <w:r w:rsidRPr="00683FC4">
        <w:rPr>
          <w:lang w:val="en-US"/>
        </w:rPr>
        <w:t xml:space="preserve">, </w:t>
      </w:r>
      <w:proofErr w:type="spellStart"/>
      <w:r w:rsidRPr="00683FC4">
        <w:rPr>
          <w:lang w:val="en-US"/>
        </w:rPr>
        <w:t>Buckingam</w:t>
      </w:r>
      <w:proofErr w:type="spellEnd"/>
      <w:r w:rsidRPr="00683FC4">
        <w:rPr>
          <w:lang w:val="en-US"/>
        </w:rPr>
        <w:t xml:space="preserve"> UK) (50ul) in AP buffer, </w:t>
      </w:r>
      <w:proofErr w:type="spellStart"/>
      <w:r w:rsidRPr="00683FC4">
        <w:rPr>
          <w:lang w:val="en-US"/>
        </w:rPr>
        <w:t>veronal</w:t>
      </w:r>
      <w:proofErr w:type="spellEnd"/>
      <w:r w:rsidRPr="00683FC4">
        <w:rPr>
          <w:lang w:val="en-US"/>
        </w:rPr>
        <w:t xml:space="preserve"> buffer saline (144mmol/L </w:t>
      </w:r>
      <w:proofErr w:type="spellStart"/>
      <w:r w:rsidRPr="00683FC4">
        <w:rPr>
          <w:lang w:val="en-US"/>
        </w:rPr>
        <w:t>NaCL</w:t>
      </w:r>
      <w:proofErr w:type="spellEnd"/>
      <w:r w:rsidRPr="00683FC4">
        <w:rPr>
          <w:lang w:val="en-US"/>
        </w:rPr>
        <w:t>, 7mmol/L MgCl</w:t>
      </w:r>
      <w:r w:rsidRPr="00683FC4">
        <w:rPr>
          <w:vertAlign w:val="subscript"/>
          <w:lang w:val="en-US"/>
        </w:rPr>
        <w:t>2,</w:t>
      </w:r>
      <w:r w:rsidRPr="00683FC4">
        <w:rPr>
          <w:lang w:val="en-US"/>
        </w:rPr>
        <w:t xml:space="preserve"> 10 </w:t>
      </w:r>
      <w:proofErr w:type="spellStart"/>
      <w:r w:rsidRPr="00683FC4">
        <w:rPr>
          <w:lang w:val="en-US"/>
        </w:rPr>
        <w:t>mmol</w:t>
      </w:r>
      <w:proofErr w:type="spellEnd"/>
      <w:r w:rsidRPr="00683FC4">
        <w:rPr>
          <w:lang w:val="en-US"/>
        </w:rPr>
        <w:t>/L ethylene glycol tetra-acetic acid [pH 7.4]) were incubated with increasing amounts (2.5%; 5%; 7.5%; 10%) of patient serum (HS#2337) vs NHS for 30 minutes at 37°C. After centrifugation, the supernatants were read at 414nm (</w:t>
      </w:r>
      <w:proofErr w:type="spellStart"/>
      <w:r w:rsidRPr="00683FC4">
        <w:rPr>
          <w:lang w:val="en-US"/>
        </w:rPr>
        <w:t>Tecan</w:t>
      </w:r>
      <w:proofErr w:type="spellEnd"/>
      <w:r w:rsidRPr="00683FC4">
        <w:rPr>
          <w:lang w:val="en-US"/>
        </w:rPr>
        <w:t xml:space="preserve"> Safire2, </w:t>
      </w:r>
      <w:proofErr w:type="spellStart"/>
      <w:r w:rsidRPr="00683FC4">
        <w:rPr>
          <w:lang w:val="en-US"/>
        </w:rPr>
        <w:t>Tecan</w:t>
      </w:r>
      <w:proofErr w:type="spellEnd"/>
      <w:r w:rsidRPr="00683FC4">
        <w:rPr>
          <w:lang w:val="en-US"/>
        </w:rPr>
        <w:t xml:space="preserve">, </w:t>
      </w:r>
      <w:proofErr w:type="spellStart"/>
      <w:proofErr w:type="gramStart"/>
      <w:r w:rsidRPr="00683FC4">
        <w:rPr>
          <w:lang w:val="en-US"/>
        </w:rPr>
        <w:t>Männedorf</w:t>
      </w:r>
      <w:proofErr w:type="spellEnd"/>
      <w:proofErr w:type="gramEnd"/>
      <w:r w:rsidRPr="00683FC4">
        <w:rPr>
          <w:lang w:val="en-US"/>
        </w:rPr>
        <w:t xml:space="preserve"> Switzerland). Erythrocytes diluted only with AP buffer were taken as blanks (= spontaneous lysis; 0% lysis) while erythrocytes incubated with </w:t>
      </w:r>
      <w:proofErr w:type="spellStart"/>
      <w:r w:rsidRPr="00683FC4">
        <w:rPr>
          <w:lang w:val="en-US"/>
        </w:rPr>
        <w:t>dd</w:t>
      </w:r>
      <w:proofErr w:type="spellEnd"/>
      <w:r w:rsidRPr="00683FC4">
        <w:rPr>
          <w:lang w:val="en-US"/>
        </w:rPr>
        <w:t xml:space="preserve">-water were used as 100% lysis.  </w:t>
      </w:r>
    </w:p>
    <w:p w14:paraId="39C5B2C0" w14:textId="271C3D96" w:rsidR="00DF1A34" w:rsidRPr="00683FC4" w:rsidRDefault="003C6E26">
      <w:pPr>
        <w:rPr>
          <w:lang w:val="en-US"/>
        </w:rPr>
      </w:pPr>
      <w:r w:rsidRPr="00683FC4">
        <w:rPr>
          <w:lang w:val="en-US"/>
        </w:rPr>
        <w:t>In addition, a hemolytic assay with an increasing amount of recombina</w:t>
      </w:r>
      <w:r w:rsidR="006705ED">
        <w:rPr>
          <w:lang w:val="en-US"/>
        </w:rPr>
        <w:t xml:space="preserve">nt </w:t>
      </w:r>
      <w:r w:rsidRPr="00683FC4">
        <w:rPr>
          <w:lang w:val="en-US"/>
        </w:rPr>
        <w:t xml:space="preserve">FHR2 added to #2337 patient </w:t>
      </w:r>
      <w:proofErr w:type="gramStart"/>
      <w:r w:rsidRPr="00683FC4">
        <w:rPr>
          <w:lang w:val="en-US"/>
        </w:rPr>
        <w:t>serum,</w:t>
      </w:r>
      <w:proofErr w:type="gramEnd"/>
      <w:r w:rsidRPr="00683FC4">
        <w:rPr>
          <w:lang w:val="en-US"/>
        </w:rPr>
        <w:t xml:space="preserve"> was used to ev</w:t>
      </w:r>
      <w:r w:rsidR="006705ED">
        <w:rPr>
          <w:lang w:val="en-US"/>
        </w:rPr>
        <w:t xml:space="preserve">aluate the inhibitor effect of </w:t>
      </w:r>
      <w:r w:rsidRPr="00683FC4">
        <w:rPr>
          <w:lang w:val="en-US"/>
        </w:rPr>
        <w:t>FHR2 on complement activation.</w:t>
      </w:r>
    </w:p>
    <w:p w14:paraId="7067435E" w14:textId="76FB3F23" w:rsidR="00DF1A34" w:rsidRPr="00683FC4" w:rsidRDefault="003C6E26">
      <w:pPr>
        <w:rPr>
          <w:lang w:val="en-US"/>
        </w:rPr>
      </w:pPr>
      <w:r w:rsidRPr="00683FC4">
        <w:rPr>
          <w:lang w:val="en-US"/>
        </w:rPr>
        <w:t>Cons</w:t>
      </w:r>
      <w:r w:rsidR="006705ED">
        <w:rPr>
          <w:lang w:val="en-US"/>
        </w:rPr>
        <w:t xml:space="preserve">idering that in NHS the normal </w:t>
      </w:r>
      <w:r w:rsidRPr="00683FC4">
        <w:rPr>
          <w:lang w:val="en-US"/>
        </w:rPr>
        <w:t>FHR2 concentration was assume</w:t>
      </w:r>
      <w:r w:rsidR="006705ED">
        <w:rPr>
          <w:lang w:val="en-US"/>
        </w:rPr>
        <w:t xml:space="preserve">d </w:t>
      </w:r>
      <w:proofErr w:type="gramStart"/>
      <w:r w:rsidR="006705ED">
        <w:rPr>
          <w:lang w:val="en-US"/>
        </w:rPr>
        <w:t>to be 50</w:t>
      </w:r>
      <w:proofErr w:type="gramEnd"/>
      <w:r w:rsidR="006705ED">
        <w:rPr>
          <w:lang w:val="en-US"/>
        </w:rPr>
        <w:t xml:space="preserve"> mcg/ml, recombinant </w:t>
      </w:r>
      <w:r w:rsidRPr="00683FC4">
        <w:rPr>
          <w:lang w:val="en-US"/>
        </w:rPr>
        <w:t>FHR2 was added to HS#2337, reproducing the physiological condition. Ther</w:t>
      </w:r>
      <w:r w:rsidR="006705ED">
        <w:rPr>
          <w:lang w:val="en-US"/>
        </w:rPr>
        <w:t xml:space="preserve">efore, an increasing amount of </w:t>
      </w:r>
      <w:r w:rsidRPr="00683FC4">
        <w:rPr>
          <w:lang w:val="en-US"/>
        </w:rPr>
        <w:t xml:space="preserve">FHR2 (35ng; 70ng, 140ng; 280ng) was premixed with #2337 patient serum. Then the guinea pig erythrocytes in AP buffer </w:t>
      </w:r>
      <w:proofErr w:type="gramStart"/>
      <w:r w:rsidRPr="00683FC4">
        <w:rPr>
          <w:lang w:val="en-US"/>
        </w:rPr>
        <w:t>were incubated</w:t>
      </w:r>
      <w:proofErr w:type="gramEnd"/>
      <w:r w:rsidRPr="00683FC4">
        <w:rPr>
          <w:lang w:val="en-US"/>
        </w:rPr>
        <w:t xml:space="preserve"> with 5% of #2337 patient serum alone, with 5% of # 2337 patients s</w:t>
      </w:r>
      <w:r w:rsidR="006705ED">
        <w:rPr>
          <w:lang w:val="en-US"/>
        </w:rPr>
        <w:t xml:space="preserve">erum enriched with recombinant </w:t>
      </w:r>
      <w:r w:rsidRPr="00683FC4">
        <w:rPr>
          <w:lang w:val="en-US"/>
        </w:rPr>
        <w:t xml:space="preserve">FHR2 and with 5% of NHS. After 30 minutes of incubation at 37°C, and centrifugation, the supernatants were read at </w:t>
      </w:r>
      <w:proofErr w:type="gramStart"/>
      <w:r w:rsidRPr="00683FC4">
        <w:rPr>
          <w:lang w:val="en-US"/>
        </w:rPr>
        <w:t xml:space="preserve">414 </w:t>
      </w:r>
      <w:proofErr w:type="spellStart"/>
      <w:r w:rsidRPr="00683FC4">
        <w:rPr>
          <w:lang w:val="en-US"/>
        </w:rPr>
        <w:t>nm.The</w:t>
      </w:r>
      <w:proofErr w:type="spellEnd"/>
      <w:proofErr w:type="gramEnd"/>
      <w:r w:rsidRPr="00683FC4">
        <w:rPr>
          <w:lang w:val="en-US"/>
        </w:rPr>
        <w:t xml:space="preserve"> AP activation was evaluated by the hemolysis percentage.</w:t>
      </w:r>
    </w:p>
    <w:p w14:paraId="44906243" w14:textId="77777777" w:rsidR="00DF1A34" w:rsidRPr="00683FC4" w:rsidRDefault="00DF1A34">
      <w:pPr>
        <w:rPr>
          <w:lang w:val="en-US"/>
        </w:rPr>
      </w:pPr>
    </w:p>
    <w:p w14:paraId="72167A94" w14:textId="77777777" w:rsidR="00DF1A34" w:rsidRPr="00683FC4" w:rsidRDefault="00DF1A34">
      <w:pPr>
        <w:rPr>
          <w:lang w:val="en-US"/>
        </w:rPr>
      </w:pPr>
    </w:p>
    <w:p w14:paraId="63698297" w14:textId="77777777" w:rsidR="00DF1A34" w:rsidRPr="00683FC4" w:rsidRDefault="003C6E26">
      <w:pPr>
        <w:rPr>
          <w:b/>
          <w:lang w:val="en-US"/>
        </w:rPr>
      </w:pPr>
      <w:r w:rsidRPr="00683FC4">
        <w:rPr>
          <w:b/>
          <w:lang w:val="en-US"/>
        </w:rPr>
        <w:t>1.6 Immunofluorescence analysis of C5b-9 deposition on endothelial cells (HUVEC)</w:t>
      </w:r>
    </w:p>
    <w:p w14:paraId="61C3BA63" w14:textId="1AD4DED5" w:rsidR="00DF1A34" w:rsidRPr="006705ED" w:rsidRDefault="003C6E26">
      <w:pPr>
        <w:rPr>
          <w:b/>
          <w:lang w:val="en-GB"/>
        </w:rPr>
      </w:pPr>
      <w:r w:rsidRPr="00683FC4">
        <w:rPr>
          <w:lang w:val="en-US"/>
        </w:rPr>
        <w:t xml:space="preserve">Human Umbilical Vein Endothelial Cells (HUVEC, American Tissue Culture Collection® CRL-170™) were cultured in DMEM + medium with 10 % FCS. </w:t>
      </w:r>
      <w:r w:rsidRPr="006705ED">
        <w:rPr>
          <w:lang w:val="en-GB"/>
        </w:rPr>
        <w:t xml:space="preserve">HUVEC grown on coverslips </w:t>
      </w:r>
      <w:proofErr w:type="gramStart"/>
      <w:r w:rsidRPr="006705ED">
        <w:rPr>
          <w:lang w:val="en-GB"/>
        </w:rPr>
        <w:t>were incubated</w:t>
      </w:r>
      <w:proofErr w:type="gramEnd"/>
      <w:r w:rsidRPr="006705ED">
        <w:rPr>
          <w:lang w:val="en-GB"/>
        </w:rPr>
        <w:t xml:space="preserve"> with 30% of HS#2337 Vs NHS for 30 minutes at 37°C, HUVEC incubated with PBS were used as negative control. After 30 </w:t>
      </w:r>
      <w:proofErr w:type="gramStart"/>
      <w:r w:rsidRPr="006705ED">
        <w:rPr>
          <w:lang w:val="en-GB"/>
        </w:rPr>
        <w:t>minutes</w:t>
      </w:r>
      <w:proofErr w:type="gramEnd"/>
      <w:r w:rsidRPr="006705ED">
        <w:rPr>
          <w:lang w:val="en-GB"/>
        </w:rPr>
        <w:t xml:space="preserve"> the cells were washed with PBS by centrifugation (2500 rpm, 5 minutes RT).</w:t>
      </w:r>
      <w:r w:rsidRPr="006705ED">
        <w:rPr>
          <w:b/>
          <w:lang w:val="en-GB"/>
        </w:rPr>
        <w:t xml:space="preserve"> </w:t>
      </w:r>
      <w:r w:rsidRPr="006705ED">
        <w:rPr>
          <w:lang w:val="en-GB"/>
        </w:rPr>
        <w:t xml:space="preserve">Then HUVEC were treated with C5b-9 monoclonal antibody ([aE11] (ab66768) </w:t>
      </w:r>
      <w:proofErr w:type="spellStart"/>
      <w:r w:rsidRPr="006705ED">
        <w:rPr>
          <w:lang w:val="en-GB"/>
        </w:rPr>
        <w:t>Abcam</w:t>
      </w:r>
      <w:proofErr w:type="spellEnd"/>
      <w:r w:rsidRPr="006705ED">
        <w:rPr>
          <w:lang w:val="en-GB"/>
        </w:rPr>
        <w:t xml:space="preserve">) and incubated for 45 minutes at RT. After another wash step with PBS as previously described, the cells </w:t>
      </w:r>
      <w:proofErr w:type="gramStart"/>
      <w:r w:rsidRPr="006705ED">
        <w:rPr>
          <w:lang w:val="en-GB"/>
        </w:rPr>
        <w:t>were incubated</w:t>
      </w:r>
      <w:proofErr w:type="gramEnd"/>
      <w:r w:rsidRPr="006705ED">
        <w:rPr>
          <w:lang w:val="en-GB"/>
        </w:rPr>
        <w:t xml:space="preserve"> for 30 minutes with Alexa Fluor®647-labeled (</w:t>
      </w:r>
      <w:proofErr w:type="spellStart"/>
      <w:r w:rsidRPr="006705ED">
        <w:rPr>
          <w:lang w:val="en-GB"/>
        </w:rPr>
        <w:t>Thermo</w:t>
      </w:r>
      <w:proofErr w:type="spellEnd"/>
      <w:r w:rsidRPr="006705ED">
        <w:rPr>
          <w:lang w:val="en-GB"/>
        </w:rPr>
        <w:t xml:space="preserve"> Fisher Scientific). A washing step (5 minutes at 2500 rpm) with a 500 </w:t>
      </w:r>
      <w:r>
        <w:t>μ</w:t>
      </w:r>
      <w:r w:rsidRPr="006705ED">
        <w:rPr>
          <w:lang w:val="en-GB"/>
        </w:rPr>
        <w:t xml:space="preserve">l PBS </w:t>
      </w:r>
      <w:proofErr w:type="gramStart"/>
      <w:r w:rsidRPr="006705ED">
        <w:rPr>
          <w:lang w:val="en-GB"/>
        </w:rPr>
        <w:t>was repeated</w:t>
      </w:r>
      <w:proofErr w:type="gramEnd"/>
      <w:r w:rsidRPr="006705ED">
        <w:rPr>
          <w:lang w:val="en-GB"/>
        </w:rPr>
        <w:t xml:space="preserve"> in order to remove the unbound antibody. DAPI (Sigma-Aldrich) and WGA-Texas Red (</w:t>
      </w:r>
      <w:proofErr w:type="spellStart"/>
      <w:r w:rsidRPr="006705ED">
        <w:rPr>
          <w:lang w:val="en-GB"/>
        </w:rPr>
        <w:t>Thermo</w:t>
      </w:r>
      <w:proofErr w:type="spellEnd"/>
      <w:r w:rsidRPr="006705ED">
        <w:rPr>
          <w:lang w:val="en-GB"/>
        </w:rPr>
        <w:t xml:space="preserve"> Fisher Scientific) </w:t>
      </w:r>
      <w:proofErr w:type="gramStart"/>
      <w:r w:rsidRPr="006705ED">
        <w:rPr>
          <w:lang w:val="en-GB"/>
        </w:rPr>
        <w:t>were used</w:t>
      </w:r>
      <w:proofErr w:type="gramEnd"/>
      <w:r w:rsidRPr="006705ED">
        <w:rPr>
          <w:lang w:val="en-GB"/>
        </w:rPr>
        <w:t xml:space="preserve"> to visualize the nucleus and the cell membrane, respectively. HUVEC incubated with PBS </w:t>
      </w:r>
      <w:proofErr w:type="gramStart"/>
      <w:r w:rsidRPr="006705ED">
        <w:rPr>
          <w:lang w:val="en-GB"/>
        </w:rPr>
        <w:t>were used</w:t>
      </w:r>
      <w:proofErr w:type="gramEnd"/>
      <w:r w:rsidRPr="006705ED">
        <w:rPr>
          <w:lang w:val="en-GB"/>
        </w:rPr>
        <w:t xml:space="preserve"> as blank. The C5b-9 deposition on HUVEC surface </w:t>
      </w:r>
      <w:proofErr w:type="gramStart"/>
      <w:r w:rsidRPr="006705ED">
        <w:rPr>
          <w:lang w:val="en-GB"/>
        </w:rPr>
        <w:t>was evaluated</w:t>
      </w:r>
      <w:proofErr w:type="gramEnd"/>
      <w:r w:rsidRPr="006705ED">
        <w:rPr>
          <w:lang w:val="en-GB"/>
        </w:rPr>
        <w:t xml:space="preserve"> by confocal microscopy (Zeiss LSM 710 confocal microscope and ZEN2009 program, Jena Germany).</w:t>
      </w:r>
      <w:r w:rsidRPr="006705ED">
        <w:rPr>
          <w:b/>
          <w:lang w:val="en-GB"/>
        </w:rPr>
        <w:t xml:space="preserve"> </w:t>
      </w:r>
      <w:r w:rsidR="0069440F">
        <w:rPr>
          <w:lang w:val="en-GB"/>
        </w:rPr>
        <w:t xml:space="preserve">To test whether recombinant </w:t>
      </w:r>
      <w:r w:rsidRPr="006705ED">
        <w:rPr>
          <w:lang w:val="en-GB"/>
        </w:rPr>
        <w:t xml:space="preserve">FHR2 and </w:t>
      </w:r>
      <w:proofErr w:type="spellStart"/>
      <w:r w:rsidRPr="006705ED">
        <w:rPr>
          <w:lang w:val="en-GB"/>
        </w:rPr>
        <w:t>Eculizumab</w:t>
      </w:r>
      <w:proofErr w:type="spellEnd"/>
      <w:r w:rsidRPr="006705ED">
        <w:rPr>
          <w:lang w:val="en-GB"/>
        </w:rPr>
        <w:t xml:space="preserve"> can revert the strong C5b-9 deposition induced by the patient serum, the experiment </w:t>
      </w:r>
      <w:proofErr w:type="gramStart"/>
      <w:r w:rsidRPr="006705ED">
        <w:rPr>
          <w:lang w:val="en-GB"/>
        </w:rPr>
        <w:t>was repeated</w:t>
      </w:r>
      <w:proofErr w:type="gramEnd"/>
      <w:r w:rsidRPr="006705ED">
        <w:rPr>
          <w:lang w:val="en-GB"/>
        </w:rPr>
        <w:t xml:space="preserve">. HUVEC were again incubated with 30% of </w:t>
      </w:r>
      <w:r w:rsidR="006705ED">
        <w:rPr>
          <w:lang w:val="en-GB"/>
        </w:rPr>
        <w:lastRenderedPageBreak/>
        <w:t xml:space="preserve">HS#2337, 30% of HS#2337 + </w:t>
      </w:r>
      <w:r w:rsidRPr="006705ED">
        <w:rPr>
          <w:lang w:val="en-GB"/>
        </w:rPr>
        <w:t>FHR2 (280ng</w:t>
      </w:r>
      <w:proofErr w:type="gramStart"/>
      <w:r w:rsidRPr="006705ED">
        <w:rPr>
          <w:lang w:val="en-GB"/>
        </w:rPr>
        <w:t>) ,</w:t>
      </w:r>
      <w:proofErr w:type="gramEnd"/>
      <w:r w:rsidRPr="006705ED">
        <w:rPr>
          <w:lang w:val="en-GB"/>
        </w:rPr>
        <w:t xml:space="preserve"> and with 30% of HS#2337+ </w:t>
      </w:r>
      <w:proofErr w:type="spellStart"/>
      <w:r w:rsidRPr="006705ED">
        <w:rPr>
          <w:lang w:val="en-GB"/>
        </w:rPr>
        <w:t>Eculizumab</w:t>
      </w:r>
      <w:proofErr w:type="spellEnd"/>
      <w:r w:rsidRPr="006705ED">
        <w:rPr>
          <w:lang w:val="en-GB"/>
        </w:rPr>
        <w:t xml:space="preserve"> (35ng), evaluating the C5b-9 deposition as described above.</w:t>
      </w:r>
    </w:p>
    <w:p w14:paraId="2CD25882" w14:textId="77777777" w:rsidR="00DF1A34" w:rsidRPr="006705ED" w:rsidRDefault="00DF1A34">
      <w:pPr>
        <w:rPr>
          <w:lang w:val="en-GB"/>
        </w:rPr>
      </w:pPr>
    </w:p>
    <w:p w14:paraId="1C9A4653" w14:textId="77777777" w:rsidR="00DF1A34" w:rsidRPr="006705ED" w:rsidRDefault="00DF1A34">
      <w:pPr>
        <w:rPr>
          <w:lang w:val="en-GB"/>
        </w:rPr>
      </w:pPr>
    </w:p>
    <w:p w14:paraId="6588A27C" w14:textId="77777777" w:rsidR="00DF1A34" w:rsidRPr="006705ED" w:rsidRDefault="003C6E26">
      <w:pPr>
        <w:rPr>
          <w:b/>
          <w:lang w:val="en-GB"/>
        </w:rPr>
      </w:pPr>
      <w:r w:rsidRPr="006705ED">
        <w:rPr>
          <w:b/>
          <w:lang w:val="en-GB"/>
        </w:rPr>
        <w:t>1.7 Immunofluorescence analysis of the endothelial cells morphology</w:t>
      </w:r>
    </w:p>
    <w:p w14:paraId="45CE6210" w14:textId="77777777" w:rsidR="00DF1A34" w:rsidRPr="006705ED" w:rsidRDefault="00DF1A34">
      <w:pPr>
        <w:rPr>
          <w:b/>
          <w:lang w:val="en-GB"/>
        </w:rPr>
      </w:pPr>
    </w:p>
    <w:p w14:paraId="1994D2B0" w14:textId="77777777" w:rsidR="00DF1A34" w:rsidRPr="006705ED" w:rsidRDefault="003C6E26">
      <w:pPr>
        <w:rPr>
          <w:lang w:val="en-GB"/>
        </w:rPr>
      </w:pPr>
      <w:r w:rsidRPr="006705ED">
        <w:rPr>
          <w:lang w:val="en-GB"/>
        </w:rPr>
        <w:t xml:space="preserve">HUVEC, grown on coverslips, </w:t>
      </w:r>
      <w:proofErr w:type="gramStart"/>
      <w:r w:rsidRPr="006705ED">
        <w:rPr>
          <w:lang w:val="en-GB"/>
        </w:rPr>
        <w:t>were incubated</w:t>
      </w:r>
      <w:proofErr w:type="gramEnd"/>
      <w:r w:rsidRPr="006705ED">
        <w:rPr>
          <w:lang w:val="en-GB"/>
        </w:rPr>
        <w:t xml:space="preserve"> with 30% of HS#2337 vs 30% of NHS for 30 minutes, at 37°C, then fixed with 3.5% formaldehyde for 10 minutes at room temperature (RT).  After washing, DAPI and WGA </w:t>
      </w:r>
      <w:proofErr w:type="gramStart"/>
      <w:r w:rsidRPr="006705ED">
        <w:rPr>
          <w:lang w:val="en-GB"/>
        </w:rPr>
        <w:t>were added and incubated at RT for 30 minutes</w:t>
      </w:r>
      <w:proofErr w:type="gramEnd"/>
      <w:r w:rsidRPr="006705ED">
        <w:rPr>
          <w:lang w:val="en-GB"/>
        </w:rPr>
        <w:t xml:space="preserve">. The slides </w:t>
      </w:r>
      <w:proofErr w:type="gramStart"/>
      <w:r w:rsidRPr="006705ED">
        <w:rPr>
          <w:lang w:val="en-GB"/>
        </w:rPr>
        <w:t xml:space="preserve">were </w:t>
      </w:r>
      <w:proofErr w:type="spellStart"/>
      <w:r w:rsidRPr="006705ED">
        <w:rPr>
          <w:lang w:val="en-GB"/>
        </w:rPr>
        <w:t>analyzed</w:t>
      </w:r>
      <w:proofErr w:type="spellEnd"/>
      <w:proofErr w:type="gramEnd"/>
      <w:r w:rsidRPr="006705ED">
        <w:rPr>
          <w:lang w:val="en-GB"/>
        </w:rPr>
        <w:t xml:space="preserve"> by confocal microscopy.</w:t>
      </w:r>
    </w:p>
    <w:p w14:paraId="7D63595D" w14:textId="77777777" w:rsidR="00DF1A34" w:rsidRPr="006705ED" w:rsidRDefault="00DF1A34">
      <w:pPr>
        <w:rPr>
          <w:lang w:val="en-GB"/>
        </w:rPr>
      </w:pPr>
    </w:p>
    <w:p w14:paraId="67684429" w14:textId="77777777" w:rsidR="00DF1A34" w:rsidRPr="006705ED" w:rsidRDefault="00DF1A34">
      <w:pPr>
        <w:rPr>
          <w:lang w:val="en-GB"/>
        </w:rPr>
      </w:pPr>
    </w:p>
    <w:p w14:paraId="260BD102" w14:textId="77777777" w:rsidR="00DF1A34" w:rsidRPr="006705ED" w:rsidRDefault="003C6E26">
      <w:pPr>
        <w:rPr>
          <w:b/>
          <w:lang w:val="en-GB"/>
        </w:rPr>
      </w:pPr>
      <w:r w:rsidRPr="006705ED">
        <w:rPr>
          <w:b/>
          <w:lang w:val="en-GB"/>
        </w:rPr>
        <w:t>1.8 Flow cytometry analysis of C5b-9 deposition on HUVEC</w:t>
      </w:r>
    </w:p>
    <w:p w14:paraId="2E5DF3B9" w14:textId="77777777" w:rsidR="00DF1A34" w:rsidRPr="006705ED" w:rsidRDefault="00DF1A34">
      <w:pPr>
        <w:rPr>
          <w:b/>
          <w:lang w:val="en-GB"/>
        </w:rPr>
      </w:pPr>
    </w:p>
    <w:p w14:paraId="655BCA4F" w14:textId="77777777" w:rsidR="00DF1A34" w:rsidRPr="006705ED" w:rsidRDefault="003C6E26">
      <w:pPr>
        <w:rPr>
          <w:lang w:val="en-GB"/>
        </w:rPr>
      </w:pPr>
      <w:r w:rsidRPr="006705ED">
        <w:rPr>
          <w:lang w:val="en-GB"/>
        </w:rPr>
        <w:t xml:space="preserve">The surface expression of C5b-9 on HUVECs exposed to HS#2337 vs NHS was quantified by flow cytometry (BD LSR II Flow Cytometer, BD, </w:t>
      </w:r>
      <w:proofErr w:type="gramStart"/>
      <w:r w:rsidRPr="006705ED">
        <w:rPr>
          <w:lang w:val="en-GB"/>
        </w:rPr>
        <w:t>Heidelberg</w:t>
      </w:r>
      <w:proofErr w:type="gramEnd"/>
      <w:r w:rsidRPr="006705ED">
        <w:rPr>
          <w:lang w:val="en-GB"/>
        </w:rPr>
        <w:t xml:space="preserve"> Germany).</w:t>
      </w:r>
    </w:p>
    <w:p w14:paraId="0D6D2B31" w14:textId="77777777" w:rsidR="00DF1A34" w:rsidRPr="006705ED" w:rsidRDefault="003C6E26">
      <w:pPr>
        <w:rPr>
          <w:lang w:val="en-GB"/>
        </w:rPr>
      </w:pPr>
      <w:r w:rsidRPr="006705ED">
        <w:rPr>
          <w:lang w:val="en-GB"/>
        </w:rPr>
        <w:t xml:space="preserve">Endothelial cells in suspension were incubated for 30 minutes at 37°C with 30% </w:t>
      </w:r>
      <w:proofErr w:type="gramStart"/>
      <w:r w:rsidRPr="006705ED">
        <w:rPr>
          <w:lang w:val="en-GB"/>
        </w:rPr>
        <w:t>of  #</w:t>
      </w:r>
      <w:proofErr w:type="gramEnd"/>
      <w:r w:rsidRPr="006705ED">
        <w:rPr>
          <w:lang w:val="en-GB"/>
        </w:rPr>
        <w:t xml:space="preserve">2337 patient serum and 30% of NHS. After washing (5 minutes with </w:t>
      </w:r>
      <w:proofErr w:type="gramStart"/>
      <w:r w:rsidRPr="006705ED">
        <w:rPr>
          <w:lang w:val="en-GB"/>
        </w:rPr>
        <w:t>PBS)</w:t>
      </w:r>
      <w:proofErr w:type="gramEnd"/>
      <w:r w:rsidRPr="006705ED">
        <w:rPr>
          <w:lang w:val="en-GB"/>
        </w:rPr>
        <w:t xml:space="preserve"> cells were stained with C5b-9 monoclonal antibody, and then Alexa Fluor®647-labeled (</w:t>
      </w:r>
      <w:proofErr w:type="spellStart"/>
      <w:r w:rsidRPr="006705ED">
        <w:rPr>
          <w:lang w:val="en-GB"/>
        </w:rPr>
        <w:t>Thermo</w:t>
      </w:r>
      <w:proofErr w:type="spellEnd"/>
      <w:r w:rsidRPr="006705ED">
        <w:rPr>
          <w:lang w:val="en-GB"/>
        </w:rPr>
        <w:t xml:space="preserve"> Fisher Scientific). In every step, cells </w:t>
      </w:r>
      <w:proofErr w:type="gramStart"/>
      <w:r w:rsidRPr="006705ED">
        <w:rPr>
          <w:lang w:val="en-GB"/>
        </w:rPr>
        <w:t>were washed</w:t>
      </w:r>
      <w:proofErr w:type="gramEnd"/>
      <w:r w:rsidRPr="006705ED">
        <w:rPr>
          <w:lang w:val="en-GB"/>
        </w:rPr>
        <w:t xml:space="preserve"> for 5 minutes with 500 </w:t>
      </w:r>
      <w:proofErr w:type="spellStart"/>
      <w:r w:rsidRPr="006705ED">
        <w:rPr>
          <w:lang w:val="en-GB"/>
        </w:rPr>
        <w:t>ul</w:t>
      </w:r>
      <w:proofErr w:type="spellEnd"/>
      <w:r w:rsidRPr="006705ED">
        <w:rPr>
          <w:lang w:val="en-GB"/>
        </w:rPr>
        <w:t xml:space="preserve"> of PBS. HUVEC exposed only to Ab control </w:t>
      </w:r>
      <w:proofErr w:type="gramStart"/>
      <w:r w:rsidRPr="006705ED">
        <w:rPr>
          <w:lang w:val="en-GB"/>
        </w:rPr>
        <w:t>were used</w:t>
      </w:r>
      <w:proofErr w:type="gramEnd"/>
      <w:r w:rsidRPr="006705ED">
        <w:rPr>
          <w:lang w:val="en-GB"/>
        </w:rPr>
        <w:t xml:space="preserve"> as blanks (unspecific binding). Data were </w:t>
      </w:r>
      <w:proofErr w:type="spellStart"/>
      <w:r w:rsidRPr="006705ED">
        <w:rPr>
          <w:lang w:val="en-GB"/>
        </w:rPr>
        <w:t>analyzed</w:t>
      </w:r>
      <w:proofErr w:type="spellEnd"/>
      <w:r w:rsidRPr="006705ED">
        <w:rPr>
          <w:lang w:val="en-GB"/>
        </w:rPr>
        <w:t xml:space="preserve"> by flow cytometry (BD LSR II Flow Cytometer, BD, </w:t>
      </w:r>
      <w:proofErr w:type="gramStart"/>
      <w:r w:rsidRPr="006705ED">
        <w:rPr>
          <w:lang w:val="en-GB"/>
        </w:rPr>
        <w:t>Heidelberg</w:t>
      </w:r>
      <w:proofErr w:type="gramEnd"/>
      <w:r w:rsidRPr="006705ED">
        <w:rPr>
          <w:lang w:val="en-GB"/>
        </w:rPr>
        <w:t xml:space="preserve"> Germany) and evaluated by </w:t>
      </w:r>
      <w:proofErr w:type="spellStart"/>
      <w:r w:rsidRPr="006705ED">
        <w:rPr>
          <w:lang w:val="en-GB"/>
        </w:rPr>
        <w:t>FlowJo</w:t>
      </w:r>
      <w:proofErr w:type="spellEnd"/>
      <w:r w:rsidRPr="006705ED">
        <w:rPr>
          <w:lang w:val="en-GB"/>
        </w:rPr>
        <w:t xml:space="preserve">. </w:t>
      </w:r>
    </w:p>
    <w:p w14:paraId="301EBF42" w14:textId="32627AD9" w:rsidR="00DF1A34" w:rsidRPr="006705ED" w:rsidRDefault="003C6E26">
      <w:pPr>
        <w:rPr>
          <w:lang w:val="en-GB"/>
        </w:rPr>
      </w:pPr>
      <w:r w:rsidRPr="006705ED">
        <w:rPr>
          <w:lang w:val="en-GB"/>
        </w:rPr>
        <w:t>To ev</w:t>
      </w:r>
      <w:r w:rsidR="0069440F">
        <w:rPr>
          <w:lang w:val="en-GB"/>
        </w:rPr>
        <w:t xml:space="preserve">aluate the inhibitor effect of </w:t>
      </w:r>
      <w:r w:rsidRPr="006705ED">
        <w:rPr>
          <w:lang w:val="en-GB"/>
        </w:rPr>
        <w:t xml:space="preserve">FHR2 on C5b-9 deposits on HUVEC, the experiment </w:t>
      </w:r>
      <w:proofErr w:type="gramStart"/>
      <w:r w:rsidRPr="006705ED">
        <w:rPr>
          <w:lang w:val="en-GB"/>
        </w:rPr>
        <w:t>was repeated</w:t>
      </w:r>
      <w:proofErr w:type="gramEnd"/>
      <w:r w:rsidRPr="006705ED">
        <w:rPr>
          <w:lang w:val="en-GB"/>
        </w:rPr>
        <w:t>. Hence, HUVEC were incubated with HS#2337 alone and premixed with inc</w:t>
      </w:r>
      <w:r w:rsidR="0069440F">
        <w:rPr>
          <w:lang w:val="en-GB"/>
        </w:rPr>
        <w:t xml:space="preserve">reasing amounts of recombinant </w:t>
      </w:r>
      <w:r w:rsidRPr="006705ED">
        <w:rPr>
          <w:lang w:val="en-GB"/>
        </w:rPr>
        <w:t xml:space="preserve">FHR2 (the same range as used for haemolytic assays) and the C5b-9 </w:t>
      </w:r>
      <w:proofErr w:type="spellStart"/>
      <w:r w:rsidRPr="006705ED">
        <w:rPr>
          <w:lang w:val="en-GB"/>
        </w:rPr>
        <w:t>signaling</w:t>
      </w:r>
      <w:proofErr w:type="spellEnd"/>
      <w:r w:rsidRPr="006705ED">
        <w:rPr>
          <w:lang w:val="en-GB"/>
        </w:rPr>
        <w:t xml:space="preserve"> was quantified using FACS. </w:t>
      </w:r>
    </w:p>
    <w:p w14:paraId="269C1341" w14:textId="77777777" w:rsidR="00DF1A34" w:rsidRPr="006705ED" w:rsidRDefault="00DF1A34">
      <w:pPr>
        <w:rPr>
          <w:lang w:val="en-GB"/>
        </w:rPr>
      </w:pPr>
    </w:p>
    <w:p w14:paraId="4C9B7B01" w14:textId="77777777" w:rsidR="00DF1A34" w:rsidRPr="006705ED" w:rsidRDefault="00DF1A34">
      <w:pPr>
        <w:rPr>
          <w:lang w:val="en-GB"/>
        </w:rPr>
      </w:pPr>
    </w:p>
    <w:p w14:paraId="03CABFC4" w14:textId="77777777" w:rsidR="00DF1A34" w:rsidRPr="006705ED" w:rsidRDefault="003C6E26">
      <w:pPr>
        <w:rPr>
          <w:b/>
          <w:lang w:val="en-GB"/>
        </w:rPr>
      </w:pPr>
      <w:r w:rsidRPr="006705ED">
        <w:rPr>
          <w:b/>
          <w:lang w:val="en-GB"/>
        </w:rPr>
        <w:t xml:space="preserve">1.9 In vitro effect of </w:t>
      </w:r>
      <w:proofErr w:type="spellStart"/>
      <w:r w:rsidRPr="006705ED">
        <w:rPr>
          <w:b/>
          <w:lang w:val="en-GB"/>
        </w:rPr>
        <w:t>Eculizumab</w:t>
      </w:r>
      <w:proofErr w:type="spellEnd"/>
      <w:r w:rsidRPr="006705ED">
        <w:rPr>
          <w:b/>
          <w:lang w:val="en-GB"/>
        </w:rPr>
        <w:t xml:space="preserve"> on C5b-9 generation </w:t>
      </w:r>
    </w:p>
    <w:p w14:paraId="142B72FC" w14:textId="77777777" w:rsidR="00DF1A34" w:rsidRPr="006705ED" w:rsidRDefault="00DF1A34">
      <w:pPr>
        <w:rPr>
          <w:b/>
          <w:lang w:val="en-GB"/>
        </w:rPr>
      </w:pPr>
    </w:p>
    <w:p w14:paraId="61E6EA89" w14:textId="77777777" w:rsidR="00DF1A34" w:rsidRPr="006705ED" w:rsidRDefault="003C6E26">
      <w:pPr>
        <w:rPr>
          <w:lang w:val="en-GB"/>
        </w:rPr>
      </w:pPr>
      <w:r w:rsidRPr="006705ED">
        <w:rPr>
          <w:lang w:val="en-GB"/>
        </w:rPr>
        <w:t xml:space="preserve">LPS (10 µg/ml in DPBS) was immobilized on a </w:t>
      </w:r>
      <w:proofErr w:type="spellStart"/>
      <w:r w:rsidRPr="006705ED">
        <w:rPr>
          <w:lang w:val="en-GB"/>
        </w:rPr>
        <w:t>microtiter</w:t>
      </w:r>
      <w:proofErr w:type="spellEnd"/>
      <w:r w:rsidRPr="006705ED">
        <w:rPr>
          <w:lang w:val="en-GB"/>
        </w:rPr>
        <w:t xml:space="preserve"> plate (o/n, 4°C) overnight. After washing and blocking (2% BSA in DPBS) steps, the wells </w:t>
      </w:r>
      <w:proofErr w:type="gramStart"/>
      <w:r w:rsidRPr="006705ED">
        <w:rPr>
          <w:lang w:val="en-GB"/>
        </w:rPr>
        <w:t>were incubated</w:t>
      </w:r>
      <w:proofErr w:type="gramEnd"/>
      <w:r w:rsidRPr="006705ED">
        <w:rPr>
          <w:lang w:val="en-GB"/>
        </w:rPr>
        <w:t xml:space="preserve"> with 20% of HS #2337 at </w:t>
      </w:r>
      <w:proofErr w:type="spellStart"/>
      <w:r w:rsidRPr="006705ED">
        <w:rPr>
          <w:lang w:val="en-GB"/>
        </w:rPr>
        <w:t>at</w:t>
      </w:r>
      <w:proofErr w:type="spellEnd"/>
      <w:r w:rsidRPr="006705ED">
        <w:rPr>
          <w:lang w:val="en-GB"/>
        </w:rPr>
        <w:t xml:space="preserve"> 37°C for 1 hour. The 20% HS #2337 </w:t>
      </w:r>
      <w:proofErr w:type="gramStart"/>
      <w:r w:rsidRPr="006705ED">
        <w:rPr>
          <w:lang w:val="en-GB"/>
        </w:rPr>
        <w:t>was added</w:t>
      </w:r>
      <w:proofErr w:type="gramEnd"/>
      <w:r w:rsidRPr="006705ED">
        <w:rPr>
          <w:lang w:val="en-GB"/>
        </w:rPr>
        <w:t xml:space="preserve"> to the LPS-coated wells alone and after premixing with increasing amounts of </w:t>
      </w:r>
      <w:proofErr w:type="spellStart"/>
      <w:r w:rsidRPr="006705ED">
        <w:rPr>
          <w:lang w:val="en-GB"/>
        </w:rPr>
        <w:t>Eculizumab</w:t>
      </w:r>
      <w:proofErr w:type="spellEnd"/>
      <w:r w:rsidRPr="006705ED">
        <w:rPr>
          <w:lang w:val="en-GB"/>
        </w:rPr>
        <w:t xml:space="preserve"> (13ng; 26ng; 52ng). After the </w:t>
      </w:r>
      <w:proofErr w:type="gramStart"/>
      <w:r w:rsidRPr="006705ED">
        <w:rPr>
          <w:lang w:val="en-GB"/>
        </w:rPr>
        <w:t>incubation</w:t>
      </w:r>
      <w:proofErr w:type="gramEnd"/>
      <w:r w:rsidRPr="006705ED">
        <w:rPr>
          <w:lang w:val="en-GB"/>
        </w:rPr>
        <w:t xml:space="preserve"> the ELISA plate was wash. Than the </w:t>
      </w:r>
      <w:proofErr w:type="gramStart"/>
      <w:r w:rsidRPr="006705ED">
        <w:rPr>
          <w:lang w:val="en-GB"/>
        </w:rPr>
        <w:t>mouse</w:t>
      </w:r>
      <w:proofErr w:type="gramEnd"/>
      <w:r w:rsidRPr="006705ED">
        <w:rPr>
          <w:lang w:val="en-GB"/>
        </w:rPr>
        <w:t xml:space="preserve"> monoclonal C5b-9 antibody was incubated for 1h at RT. The detection </w:t>
      </w:r>
      <w:proofErr w:type="gramStart"/>
      <w:r w:rsidRPr="006705ED">
        <w:rPr>
          <w:lang w:val="en-GB"/>
        </w:rPr>
        <w:t>was performed</w:t>
      </w:r>
      <w:proofErr w:type="gramEnd"/>
      <w:r w:rsidRPr="006705ED">
        <w:rPr>
          <w:lang w:val="en-GB"/>
        </w:rPr>
        <w:t xml:space="preserve"> using HRP- secondary antibody. OD values were measured at 450 nm (</w:t>
      </w:r>
      <w:proofErr w:type="spellStart"/>
      <w:r w:rsidRPr="006705ED">
        <w:rPr>
          <w:lang w:val="en-GB"/>
        </w:rPr>
        <w:t>Tecan</w:t>
      </w:r>
      <w:proofErr w:type="spellEnd"/>
      <w:r w:rsidRPr="006705ED">
        <w:rPr>
          <w:lang w:val="en-GB"/>
        </w:rPr>
        <w:t xml:space="preserve"> Safire2, </w:t>
      </w:r>
      <w:proofErr w:type="spellStart"/>
      <w:r w:rsidRPr="006705ED">
        <w:rPr>
          <w:lang w:val="en-GB"/>
        </w:rPr>
        <w:t>Tecan</w:t>
      </w:r>
      <w:proofErr w:type="spellEnd"/>
      <w:r w:rsidRPr="006705ED">
        <w:rPr>
          <w:lang w:val="en-GB"/>
        </w:rPr>
        <w:t xml:space="preserve">, </w:t>
      </w:r>
      <w:proofErr w:type="spellStart"/>
      <w:proofErr w:type="gramStart"/>
      <w:r w:rsidRPr="006705ED">
        <w:rPr>
          <w:lang w:val="en-GB"/>
        </w:rPr>
        <w:t>Männedorf</w:t>
      </w:r>
      <w:proofErr w:type="spellEnd"/>
      <w:proofErr w:type="gramEnd"/>
      <w:r w:rsidRPr="006705ED">
        <w:rPr>
          <w:lang w:val="en-GB"/>
        </w:rPr>
        <w:t xml:space="preserve"> Switzerland).</w:t>
      </w:r>
    </w:p>
    <w:p w14:paraId="72C0846D" w14:textId="77777777" w:rsidR="00DF1A34" w:rsidRPr="006705ED" w:rsidRDefault="00DF1A34">
      <w:pPr>
        <w:rPr>
          <w:lang w:val="en-GB"/>
        </w:rPr>
      </w:pPr>
    </w:p>
    <w:p w14:paraId="5EA530B3" w14:textId="77777777" w:rsidR="00DF1A34" w:rsidRPr="006705ED" w:rsidRDefault="00DF1A34">
      <w:pPr>
        <w:rPr>
          <w:lang w:val="en-GB"/>
        </w:rPr>
      </w:pPr>
    </w:p>
    <w:p w14:paraId="024A1A79" w14:textId="77777777" w:rsidR="00DF1A34" w:rsidRPr="006705ED" w:rsidRDefault="003C6E26">
      <w:pPr>
        <w:rPr>
          <w:b/>
          <w:lang w:val="en-GB"/>
        </w:rPr>
      </w:pPr>
      <w:r w:rsidRPr="006705ED">
        <w:rPr>
          <w:b/>
          <w:lang w:val="en-GB"/>
        </w:rPr>
        <w:t>1.10 Statistical analysis</w:t>
      </w:r>
    </w:p>
    <w:p w14:paraId="6FE64675" w14:textId="77777777" w:rsidR="00DF1A34" w:rsidRPr="006705ED" w:rsidRDefault="00DF1A34">
      <w:pPr>
        <w:rPr>
          <w:b/>
          <w:lang w:val="en-GB"/>
        </w:rPr>
      </w:pPr>
    </w:p>
    <w:p w14:paraId="7029E0AD" w14:textId="77777777" w:rsidR="00DF1A34" w:rsidRPr="006705ED" w:rsidRDefault="003C6E26">
      <w:pPr>
        <w:rPr>
          <w:lang w:val="en-GB"/>
        </w:rPr>
      </w:pPr>
      <w:r w:rsidRPr="006705ED">
        <w:rPr>
          <w:lang w:val="en-GB"/>
        </w:rPr>
        <w:t xml:space="preserve">Parametric variables, expressed as mean values and standard deviation (SD), </w:t>
      </w:r>
      <w:proofErr w:type="gramStart"/>
      <w:r w:rsidRPr="006705ED">
        <w:rPr>
          <w:lang w:val="en-GB"/>
        </w:rPr>
        <w:t>were compared</w:t>
      </w:r>
      <w:proofErr w:type="gramEnd"/>
      <w:r w:rsidRPr="006705ED">
        <w:rPr>
          <w:lang w:val="en-GB"/>
        </w:rPr>
        <w:t xml:space="preserve"> using Student t test (2 tailed). Every experiment was performed in triplicate and statistical significance was set at p values &lt;0.05 (*p&lt;0.05 **p&lt;0.01, ***p&lt;0.001).</w:t>
      </w:r>
    </w:p>
    <w:p w14:paraId="119D4C74" w14:textId="77777777" w:rsidR="00DF1A34" w:rsidRPr="006705ED" w:rsidRDefault="00DF1A34">
      <w:pPr>
        <w:rPr>
          <w:lang w:val="en-GB"/>
        </w:rPr>
      </w:pPr>
    </w:p>
    <w:p w14:paraId="5A8ABE81" w14:textId="77777777" w:rsidR="00DF1A34" w:rsidRPr="006705ED" w:rsidRDefault="00DF1A34">
      <w:pPr>
        <w:rPr>
          <w:lang w:val="en-GB"/>
        </w:rPr>
      </w:pPr>
    </w:p>
    <w:p w14:paraId="17BB35D4" w14:textId="77777777" w:rsidR="00DF1A34" w:rsidRPr="006705ED" w:rsidRDefault="00DF1A34">
      <w:pPr>
        <w:rPr>
          <w:lang w:val="en-GB"/>
        </w:rPr>
      </w:pPr>
    </w:p>
    <w:p w14:paraId="040CCD20" w14:textId="77777777" w:rsidR="00DF1A34" w:rsidRPr="006705ED" w:rsidRDefault="00DF1A34">
      <w:pPr>
        <w:rPr>
          <w:lang w:val="en-GB"/>
        </w:rPr>
      </w:pPr>
    </w:p>
    <w:p w14:paraId="7A26068F" w14:textId="77777777" w:rsidR="00DF1A34" w:rsidRDefault="003C6E26">
      <w:pPr>
        <w:pStyle w:val="Titolo1"/>
        <w:numPr>
          <w:ilvl w:val="0"/>
          <w:numId w:val="1"/>
        </w:numPr>
      </w:pPr>
      <w:r>
        <w:lastRenderedPageBreak/>
        <w:t>Supplementary Figures and Tables</w:t>
      </w:r>
    </w:p>
    <w:p w14:paraId="1FD69629" w14:textId="77777777" w:rsidR="00DF1A34" w:rsidRDefault="00DF1A34"/>
    <w:p w14:paraId="064B6044" w14:textId="77777777" w:rsidR="00DF1A34" w:rsidRDefault="003C6E26">
      <w:pPr>
        <w:pStyle w:val="Titolo2"/>
        <w:numPr>
          <w:ilvl w:val="1"/>
          <w:numId w:val="1"/>
        </w:numPr>
      </w:pPr>
      <w:r>
        <w:t>Supplementary Figures</w:t>
      </w:r>
    </w:p>
    <w:p w14:paraId="14B8BB1E" w14:textId="77777777" w:rsidR="00DF1A34" w:rsidRPr="006705ED" w:rsidRDefault="003C6E26">
      <w:pPr>
        <w:rPr>
          <w:color w:val="000000"/>
          <w:lang w:val="en-GB"/>
        </w:rPr>
      </w:pPr>
      <w:r w:rsidRPr="006705ED">
        <w:rPr>
          <w:b/>
          <w:lang w:val="en-GB"/>
        </w:rPr>
        <w:t>Figure S1</w:t>
      </w:r>
      <w:r w:rsidRPr="006705ED">
        <w:rPr>
          <w:lang w:val="en-GB"/>
        </w:rPr>
        <w:t>:</w:t>
      </w:r>
      <w:r w:rsidRPr="006705ED">
        <w:rPr>
          <w:rFonts w:ascii="Calibri" w:eastAsia="Calibri" w:hAnsi="Calibri" w:cs="Calibri"/>
          <w:b/>
          <w:color w:val="000000"/>
          <w:sz w:val="36"/>
          <w:szCs w:val="36"/>
          <w:lang w:val="en-GB"/>
        </w:rPr>
        <w:t xml:space="preserve"> </w:t>
      </w:r>
      <w:r w:rsidRPr="006705ED">
        <w:rPr>
          <w:b/>
          <w:lang w:val="en-GB"/>
        </w:rPr>
        <w:t>Results of the complement exploration performed on patient</w:t>
      </w:r>
      <w:r w:rsidRPr="006705ED">
        <w:rPr>
          <w:b/>
          <w:color w:val="000000"/>
          <w:lang w:val="en-GB"/>
        </w:rPr>
        <w:t xml:space="preserve">: A-C) </w:t>
      </w:r>
      <w:r w:rsidRPr="006705ED">
        <w:rPr>
          <w:color w:val="000000"/>
          <w:lang w:val="en-GB"/>
        </w:rPr>
        <w:t xml:space="preserve">Complement C3a </w:t>
      </w:r>
      <w:r w:rsidRPr="006705ED">
        <w:rPr>
          <w:b/>
          <w:color w:val="000000"/>
          <w:lang w:val="en-GB"/>
        </w:rPr>
        <w:t>(A)</w:t>
      </w:r>
      <w:r w:rsidRPr="006705ED">
        <w:rPr>
          <w:color w:val="000000"/>
          <w:lang w:val="en-GB"/>
        </w:rPr>
        <w:t xml:space="preserve">, Ba </w:t>
      </w:r>
      <w:r w:rsidRPr="006705ED">
        <w:rPr>
          <w:b/>
          <w:color w:val="000000"/>
          <w:lang w:val="en-GB"/>
        </w:rPr>
        <w:t>(B)</w:t>
      </w:r>
      <w:r w:rsidRPr="006705ED">
        <w:rPr>
          <w:color w:val="000000"/>
          <w:lang w:val="en-GB"/>
        </w:rPr>
        <w:t xml:space="preserve"> and sC5b-9 </w:t>
      </w:r>
      <w:r w:rsidRPr="006705ED">
        <w:rPr>
          <w:b/>
          <w:color w:val="000000"/>
          <w:lang w:val="en-GB"/>
        </w:rPr>
        <w:t>(C)</w:t>
      </w:r>
      <w:r w:rsidRPr="006705ED">
        <w:rPr>
          <w:color w:val="000000"/>
          <w:lang w:val="en-GB"/>
        </w:rPr>
        <w:t xml:space="preserve"> fragments in serum of the patient (#2337) collected during the </w:t>
      </w:r>
      <w:proofErr w:type="spellStart"/>
      <w:r w:rsidRPr="006705ED">
        <w:rPr>
          <w:color w:val="000000"/>
          <w:lang w:val="en-GB"/>
        </w:rPr>
        <w:t>aHUS</w:t>
      </w:r>
      <w:proofErr w:type="spellEnd"/>
      <w:r w:rsidRPr="006705ED">
        <w:rPr>
          <w:color w:val="000000"/>
          <w:lang w:val="en-GB"/>
        </w:rPr>
        <w:t xml:space="preserve"> onset (light grey boxes), compared to NHS (white boxes). The patient serum shows, an activation of initial and terminal step of CAP, with increased C3a serum levels (13</w:t>
      </w:r>
      <w:proofErr w:type="gramStart"/>
      <w:r w:rsidRPr="006705ED">
        <w:rPr>
          <w:color w:val="000000"/>
          <w:lang w:val="en-GB"/>
        </w:rPr>
        <w:t>,5</w:t>
      </w:r>
      <w:proofErr w:type="gramEnd"/>
      <w:r w:rsidRPr="006705ED">
        <w:rPr>
          <w:color w:val="000000"/>
          <w:lang w:val="en-GB"/>
        </w:rPr>
        <w:t xml:space="preserve"> </w:t>
      </w:r>
      <w:proofErr w:type="spellStart"/>
      <w:r w:rsidRPr="006705ED">
        <w:rPr>
          <w:color w:val="000000"/>
          <w:lang w:val="en-GB"/>
        </w:rPr>
        <w:t>ug</w:t>
      </w:r>
      <w:proofErr w:type="spellEnd"/>
      <w:r w:rsidRPr="006705ED">
        <w:rPr>
          <w:color w:val="000000"/>
          <w:lang w:val="en-GB"/>
        </w:rPr>
        <w:t xml:space="preserve">/ml), Ba serum levels (14,4 </w:t>
      </w:r>
      <w:proofErr w:type="spellStart"/>
      <w:r w:rsidRPr="006705ED">
        <w:rPr>
          <w:color w:val="000000"/>
          <w:lang w:val="en-GB"/>
        </w:rPr>
        <w:t>ug</w:t>
      </w:r>
      <w:proofErr w:type="spellEnd"/>
      <w:r w:rsidRPr="006705ED">
        <w:rPr>
          <w:color w:val="000000"/>
          <w:lang w:val="en-GB"/>
        </w:rPr>
        <w:t xml:space="preserve">/ml) and sC5b-9 serum levels (14,5 </w:t>
      </w:r>
      <w:proofErr w:type="spellStart"/>
      <w:r w:rsidRPr="006705ED">
        <w:rPr>
          <w:color w:val="000000"/>
          <w:lang w:val="en-GB"/>
        </w:rPr>
        <w:t>ug</w:t>
      </w:r>
      <w:proofErr w:type="spellEnd"/>
      <w:r w:rsidRPr="006705ED">
        <w:rPr>
          <w:color w:val="000000"/>
          <w:lang w:val="en-GB"/>
        </w:rPr>
        <w:t xml:space="preserve">/ml). Results </w:t>
      </w:r>
      <w:r w:rsidRPr="006705ED">
        <w:rPr>
          <w:lang w:val="en-GB"/>
        </w:rPr>
        <w:t>represent three</w:t>
      </w:r>
      <w:r w:rsidRPr="006705ED">
        <w:rPr>
          <w:color w:val="000000"/>
          <w:lang w:val="en-GB"/>
        </w:rPr>
        <w:t xml:space="preserve"> independent experiments. ***</w:t>
      </w:r>
      <w:r w:rsidRPr="006705ED">
        <w:rPr>
          <w:i/>
          <w:color w:val="000000"/>
          <w:lang w:val="en-GB"/>
        </w:rPr>
        <w:t>P</w:t>
      </w:r>
      <w:r w:rsidRPr="006705ED">
        <w:rPr>
          <w:color w:val="000000"/>
          <w:lang w:val="en-GB"/>
        </w:rPr>
        <w:t>&lt;0.001</w:t>
      </w:r>
    </w:p>
    <w:p w14:paraId="0DEF1A09" w14:textId="77777777" w:rsidR="00DF1A34" w:rsidRPr="006705ED" w:rsidRDefault="003C6E26">
      <w:pPr>
        <w:rPr>
          <w:color w:val="000000"/>
          <w:highlight w:val="white"/>
          <w:vertAlign w:val="superscript"/>
          <w:lang w:val="en-GB"/>
        </w:rPr>
      </w:pPr>
      <w:r w:rsidRPr="006705ED">
        <w:rPr>
          <w:b/>
          <w:lang w:val="en-GB"/>
        </w:rPr>
        <w:t xml:space="preserve">Figure S2 Personalized treatment strategy: </w:t>
      </w:r>
      <w:r w:rsidRPr="006705ED">
        <w:rPr>
          <w:lang w:val="en-GB"/>
        </w:rPr>
        <w:t xml:space="preserve">Timetable of the therapeutic strategy adopting for patient #2337 during his transplantation.  During pre-transplant phase plasma exchange (PEX: 2.5 volumes of fresh frozen plasma), thymoglobulin infusion (0.5 mg/Kg), steroids (500 mg) and one dose of </w:t>
      </w:r>
      <w:proofErr w:type="spellStart"/>
      <w:r w:rsidRPr="006705ED">
        <w:rPr>
          <w:lang w:val="en-GB"/>
        </w:rPr>
        <w:t>Eculizumab</w:t>
      </w:r>
      <w:proofErr w:type="spellEnd"/>
      <w:r w:rsidRPr="006705ED">
        <w:rPr>
          <w:lang w:val="en-GB"/>
        </w:rPr>
        <w:t xml:space="preserve"> (900mg), were administered in order to confer a high protection to the graft. During the post-transplant phase, Plasma Infusion prolonged the protection against complement activation. </w:t>
      </w:r>
      <w:proofErr w:type="spellStart"/>
      <w:r w:rsidRPr="006705ED">
        <w:rPr>
          <w:color w:val="000000"/>
          <w:highlight w:val="white"/>
          <w:lang w:val="en-GB"/>
        </w:rPr>
        <w:t>Calcineurin</w:t>
      </w:r>
      <w:proofErr w:type="spellEnd"/>
      <w:r w:rsidRPr="006705ED">
        <w:rPr>
          <w:color w:val="000000"/>
          <w:highlight w:val="white"/>
          <w:lang w:val="en-GB"/>
        </w:rPr>
        <w:t xml:space="preserve"> inhibitors </w:t>
      </w:r>
      <w:r w:rsidRPr="006705ED">
        <w:rPr>
          <w:color w:val="FF0000"/>
          <w:highlight w:val="white"/>
          <w:lang w:val="en-GB"/>
        </w:rPr>
        <w:t xml:space="preserve">(Tacrolimus 0.1mg/Kg/day) </w:t>
      </w:r>
      <w:r w:rsidRPr="006705ED">
        <w:rPr>
          <w:color w:val="000000"/>
          <w:highlight w:val="white"/>
          <w:lang w:val="en-GB"/>
        </w:rPr>
        <w:t xml:space="preserve">and Mycophenolic acid were introduced </w:t>
      </w:r>
      <w:r w:rsidRPr="006705ED">
        <w:rPr>
          <w:highlight w:val="white"/>
          <w:lang w:val="en-GB"/>
        </w:rPr>
        <w:t xml:space="preserve">on the </w:t>
      </w:r>
      <w:proofErr w:type="gramStart"/>
      <w:r w:rsidRPr="006705ED">
        <w:rPr>
          <w:highlight w:val="white"/>
          <w:lang w:val="en-GB"/>
        </w:rPr>
        <w:t>4th</w:t>
      </w:r>
      <w:proofErr w:type="gramEnd"/>
      <w:r w:rsidRPr="006705ED">
        <w:rPr>
          <w:color w:val="000000"/>
          <w:highlight w:val="white"/>
          <w:lang w:val="en-GB"/>
        </w:rPr>
        <w:t xml:space="preserve"> post-transplant day. There was a fast </w:t>
      </w:r>
      <w:r w:rsidRPr="006705ED">
        <w:rPr>
          <w:highlight w:val="white"/>
          <w:lang w:val="en-GB"/>
        </w:rPr>
        <w:t>steroid tapering</w:t>
      </w:r>
      <w:r w:rsidRPr="006705ED">
        <w:rPr>
          <w:color w:val="000000"/>
          <w:highlight w:val="white"/>
          <w:lang w:val="en-GB"/>
        </w:rPr>
        <w:t xml:space="preserve">, and the Thymoglobulin </w:t>
      </w:r>
      <w:r w:rsidRPr="006705ED">
        <w:rPr>
          <w:highlight w:val="white"/>
          <w:lang w:val="en-GB"/>
        </w:rPr>
        <w:t>was</w:t>
      </w:r>
      <w:r w:rsidRPr="006705ED">
        <w:rPr>
          <w:color w:val="000000"/>
          <w:highlight w:val="white"/>
          <w:lang w:val="en-GB"/>
        </w:rPr>
        <w:t xml:space="preserve"> maintained until the </w:t>
      </w:r>
      <w:proofErr w:type="gramStart"/>
      <w:r w:rsidRPr="006705ED">
        <w:rPr>
          <w:color w:val="000000"/>
          <w:highlight w:val="white"/>
          <w:lang w:val="en-GB"/>
        </w:rPr>
        <w:t>4</w:t>
      </w:r>
      <w:r w:rsidRPr="006705ED">
        <w:rPr>
          <w:color w:val="000000"/>
          <w:highlight w:val="white"/>
          <w:vertAlign w:val="superscript"/>
          <w:lang w:val="en-GB"/>
        </w:rPr>
        <w:t>th</w:t>
      </w:r>
      <w:proofErr w:type="gramEnd"/>
      <w:r w:rsidRPr="006705ED">
        <w:rPr>
          <w:color w:val="000000"/>
          <w:highlight w:val="white"/>
          <w:lang w:val="en-GB"/>
        </w:rPr>
        <w:t xml:space="preserve"> post-transplant day. A second </w:t>
      </w:r>
      <w:proofErr w:type="spellStart"/>
      <w:r w:rsidRPr="006705ED">
        <w:rPr>
          <w:color w:val="000000"/>
          <w:highlight w:val="white"/>
          <w:lang w:val="en-GB"/>
        </w:rPr>
        <w:t>Eculizumab</w:t>
      </w:r>
      <w:proofErr w:type="spellEnd"/>
      <w:r w:rsidRPr="006705ED">
        <w:rPr>
          <w:color w:val="000000"/>
          <w:highlight w:val="white"/>
          <w:lang w:val="en-GB"/>
        </w:rPr>
        <w:t xml:space="preserve"> (900mg) infusion was administered one week </w:t>
      </w:r>
      <w:r w:rsidRPr="006705ED">
        <w:rPr>
          <w:highlight w:val="white"/>
          <w:lang w:val="en-GB"/>
        </w:rPr>
        <w:t>after</w:t>
      </w:r>
      <w:r w:rsidRPr="006705ED">
        <w:rPr>
          <w:color w:val="000000"/>
          <w:highlight w:val="white"/>
          <w:lang w:val="en-GB"/>
        </w:rPr>
        <w:t xml:space="preserve"> the kidney transplantation, and then once a week for </w:t>
      </w:r>
      <w:r w:rsidRPr="006705ED">
        <w:rPr>
          <w:highlight w:val="white"/>
          <w:lang w:val="en-GB"/>
        </w:rPr>
        <w:t>another</w:t>
      </w:r>
      <w:r w:rsidRPr="006705ED">
        <w:rPr>
          <w:color w:val="000000"/>
          <w:highlight w:val="white"/>
          <w:lang w:val="en-GB"/>
        </w:rPr>
        <w:t xml:space="preserve"> two weeks, completing the attack scheme of </w:t>
      </w:r>
      <w:proofErr w:type="gramStart"/>
      <w:r w:rsidRPr="006705ED">
        <w:rPr>
          <w:color w:val="000000"/>
          <w:highlight w:val="white"/>
          <w:lang w:val="en-GB"/>
        </w:rPr>
        <w:t>4</w:t>
      </w:r>
      <w:proofErr w:type="gramEnd"/>
      <w:r w:rsidRPr="006705ED">
        <w:rPr>
          <w:color w:val="000000"/>
          <w:highlight w:val="white"/>
          <w:lang w:val="en-GB"/>
        </w:rPr>
        <w:t xml:space="preserve"> </w:t>
      </w:r>
      <w:proofErr w:type="spellStart"/>
      <w:r w:rsidRPr="006705ED">
        <w:rPr>
          <w:color w:val="000000"/>
          <w:highlight w:val="white"/>
          <w:lang w:val="en-GB"/>
        </w:rPr>
        <w:t>Eculizumab</w:t>
      </w:r>
      <w:proofErr w:type="spellEnd"/>
      <w:r w:rsidRPr="006705ED">
        <w:rPr>
          <w:color w:val="000000"/>
          <w:highlight w:val="white"/>
          <w:lang w:val="en-GB"/>
        </w:rPr>
        <w:t xml:space="preserve"> doses of 900 mg. </w:t>
      </w:r>
      <w:r w:rsidRPr="006705ED">
        <w:rPr>
          <w:highlight w:val="white"/>
          <w:lang w:val="en-GB"/>
        </w:rPr>
        <w:t>Then</w:t>
      </w:r>
      <w:r w:rsidRPr="006705ED">
        <w:rPr>
          <w:color w:val="000000"/>
          <w:highlight w:val="white"/>
          <w:lang w:val="en-GB"/>
        </w:rPr>
        <w:t xml:space="preserve"> the patient received </w:t>
      </w:r>
      <w:proofErr w:type="spellStart"/>
      <w:r w:rsidRPr="006705ED">
        <w:rPr>
          <w:color w:val="000000"/>
          <w:highlight w:val="white"/>
          <w:lang w:val="en-GB"/>
        </w:rPr>
        <w:t>Eculizumab</w:t>
      </w:r>
      <w:proofErr w:type="spellEnd"/>
      <w:r w:rsidRPr="006705ED">
        <w:rPr>
          <w:color w:val="000000"/>
          <w:highlight w:val="white"/>
          <w:lang w:val="en-GB"/>
        </w:rPr>
        <w:t xml:space="preserve"> 1200 mg every two weeks for </w:t>
      </w:r>
      <w:r w:rsidRPr="006705ED">
        <w:rPr>
          <w:highlight w:val="white"/>
          <w:lang w:val="en-GB"/>
        </w:rPr>
        <w:t>another</w:t>
      </w:r>
      <w:r w:rsidRPr="006705ED">
        <w:rPr>
          <w:color w:val="000000"/>
          <w:highlight w:val="white"/>
          <w:lang w:val="en-GB"/>
        </w:rPr>
        <w:t xml:space="preserve"> two months. After this </w:t>
      </w:r>
      <w:proofErr w:type="gramStart"/>
      <w:r w:rsidRPr="006705ED">
        <w:rPr>
          <w:color w:val="000000"/>
          <w:highlight w:val="white"/>
          <w:lang w:val="en-GB"/>
        </w:rPr>
        <w:t>time</w:t>
      </w:r>
      <w:proofErr w:type="gramEnd"/>
      <w:r w:rsidRPr="006705ED">
        <w:rPr>
          <w:color w:val="000000"/>
          <w:highlight w:val="white"/>
          <w:lang w:val="en-GB"/>
        </w:rPr>
        <w:t xml:space="preserve"> the </w:t>
      </w:r>
      <w:proofErr w:type="spellStart"/>
      <w:r w:rsidRPr="006705ED">
        <w:rPr>
          <w:color w:val="000000"/>
          <w:highlight w:val="white"/>
          <w:lang w:val="en-GB"/>
        </w:rPr>
        <w:t>Eculizumab</w:t>
      </w:r>
      <w:proofErr w:type="spellEnd"/>
      <w:r w:rsidRPr="006705ED">
        <w:rPr>
          <w:color w:val="000000"/>
          <w:highlight w:val="white"/>
          <w:lang w:val="en-GB"/>
        </w:rPr>
        <w:t xml:space="preserve"> administration was </w:t>
      </w:r>
      <w:r w:rsidRPr="006705ED">
        <w:rPr>
          <w:highlight w:val="white"/>
          <w:lang w:val="en-GB"/>
        </w:rPr>
        <w:t>interrupted</w:t>
      </w:r>
      <w:r w:rsidRPr="006705ED">
        <w:rPr>
          <w:color w:val="000000"/>
          <w:highlight w:val="white"/>
          <w:lang w:val="en-GB"/>
        </w:rPr>
        <w:t xml:space="preserve"> (August 2017). From August 2017 </w:t>
      </w:r>
      <w:proofErr w:type="gramStart"/>
      <w:r w:rsidRPr="006705ED">
        <w:rPr>
          <w:color w:val="000000"/>
          <w:highlight w:val="white"/>
          <w:lang w:val="en-GB"/>
        </w:rPr>
        <w:t>till</w:t>
      </w:r>
      <w:proofErr w:type="gramEnd"/>
      <w:r w:rsidRPr="006705ED">
        <w:rPr>
          <w:color w:val="000000"/>
          <w:highlight w:val="white"/>
          <w:lang w:val="en-GB"/>
        </w:rPr>
        <w:t xml:space="preserve"> now the patient has </w:t>
      </w:r>
      <w:r w:rsidRPr="006705ED">
        <w:rPr>
          <w:highlight w:val="white"/>
          <w:lang w:val="en-GB"/>
        </w:rPr>
        <w:t>shown</w:t>
      </w:r>
      <w:r w:rsidRPr="006705ED">
        <w:rPr>
          <w:color w:val="000000"/>
          <w:highlight w:val="white"/>
          <w:lang w:val="en-GB"/>
        </w:rPr>
        <w:t xml:space="preserve"> clinical stability, no disease recurrence, and a normal graft function.</w:t>
      </w:r>
    </w:p>
    <w:p w14:paraId="28C67E39" w14:textId="77777777" w:rsidR="00DF1A34" w:rsidRPr="006705ED" w:rsidRDefault="00DF1A34">
      <w:pPr>
        <w:rPr>
          <w:b/>
          <w:lang w:val="en-GB"/>
        </w:rPr>
      </w:pPr>
    </w:p>
    <w:p w14:paraId="61E517F6" w14:textId="77777777" w:rsidR="00DF1A34" w:rsidRDefault="003C6E26">
      <w:pPr>
        <w:rPr>
          <w:color w:val="000000"/>
        </w:rPr>
      </w:pPr>
      <w:r w:rsidRPr="006705ED">
        <w:rPr>
          <w:b/>
          <w:color w:val="000000"/>
          <w:lang w:val="en-GB"/>
        </w:rPr>
        <w:t xml:space="preserve">Figure S3 </w:t>
      </w:r>
      <w:r w:rsidRPr="006705ED">
        <w:rPr>
          <w:b/>
          <w:lang w:val="en-GB"/>
        </w:rPr>
        <w:t>Complement Activation Products</w:t>
      </w:r>
      <w:r w:rsidRPr="006705ED">
        <w:rPr>
          <w:b/>
          <w:color w:val="000000"/>
          <w:lang w:val="en-GB"/>
        </w:rPr>
        <w:t>:</w:t>
      </w:r>
      <w:r w:rsidRPr="006705ED">
        <w:rPr>
          <w:color w:val="000000"/>
          <w:lang w:val="en-GB"/>
        </w:rPr>
        <w:t xml:space="preserve"> </w:t>
      </w:r>
      <w:r w:rsidRPr="006705ED">
        <w:rPr>
          <w:b/>
          <w:color w:val="000000"/>
          <w:lang w:val="en-GB"/>
        </w:rPr>
        <w:t>A-C)</w:t>
      </w:r>
      <w:r w:rsidRPr="006705ED">
        <w:rPr>
          <w:color w:val="000000"/>
          <w:lang w:val="en-GB"/>
        </w:rPr>
        <w:t xml:space="preserve"> Complement C3a </w:t>
      </w:r>
      <w:r w:rsidRPr="006705ED">
        <w:rPr>
          <w:b/>
          <w:color w:val="000000"/>
          <w:lang w:val="en-GB"/>
        </w:rPr>
        <w:t>(A)</w:t>
      </w:r>
      <w:r w:rsidRPr="006705ED">
        <w:rPr>
          <w:color w:val="000000"/>
          <w:lang w:val="en-GB"/>
        </w:rPr>
        <w:t xml:space="preserve">, Ba </w:t>
      </w:r>
      <w:r w:rsidRPr="006705ED">
        <w:rPr>
          <w:b/>
          <w:color w:val="000000"/>
          <w:lang w:val="en-GB"/>
        </w:rPr>
        <w:t>(B)</w:t>
      </w:r>
      <w:r w:rsidRPr="006705ED">
        <w:rPr>
          <w:color w:val="000000"/>
          <w:lang w:val="en-GB"/>
        </w:rPr>
        <w:t xml:space="preserve"> and sC5b-9 </w:t>
      </w:r>
      <w:r w:rsidRPr="006705ED">
        <w:rPr>
          <w:b/>
          <w:color w:val="000000"/>
          <w:lang w:val="en-GB"/>
        </w:rPr>
        <w:t>(C)</w:t>
      </w:r>
      <w:r w:rsidRPr="006705ED">
        <w:rPr>
          <w:color w:val="000000"/>
          <w:lang w:val="en-GB"/>
        </w:rPr>
        <w:t xml:space="preserve"> fragments in serum of the patient (#2337 light </w:t>
      </w:r>
      <w:proofErr w:type="spellStart"/>
      <w:r w:rsidRPr="006705ED">
        <w:rPr>
          <w:lang w:val="en-GB"/>
        </w:rPr>
        <w:t>gray</w:t>
      </w:r>
      <w:proofErr w:type="spellEnd"/>
      <w:r w:rsidRPr="006705ED">
        <w:rPr>
          <w:color w:val="000000"/>
          <w:lang w:val="en-GB"/>
        </w:rPr>
        <w:t xml:space="preserve"> boxes) collected three days after the second </w:t>
      </w:r>
      <w:proofErr w:type="spellStart"/>
      <w:r w:rsidRPr="006705ED">
        <w:rPr>
          <w:color w:val="000000"/>
          <w:lang w:val="en-GB"/>
        </w:rPr>
        <w:t>Eculizumab</w:t>
      </w:r>
      <w:proofErr w:type="spellEnd"/>
      <w:r w:rsidRPr="006705ED">
        <w:rPr>
          <w:color w:val="000000"/>
          <w:lang w:val="en-GB"/>
        </w:rPr>
        <w:t xml:space="preserve"> dose (at the 10</w:t>
      </w:r>
      <w:r w:rsidRPr="006705ED">
        <w:rPr>
          <w:color w:val="000000"/>
          <w:vertAlign w:val="superscript"/>
          <w:lang w:val="en-GB"/>
        </w:rPr>
        <w:t xml:space="preserve">th </w:t>
      </w:r>
      <w:r w:rsidRPr="006705ED">
        <w:rPr>
          <w:color w:val="000000"/>
          <w:lang w:val="en-GB"/>
        </w:rPr>
        <w:t xml:space="preserve">post-transplant day), compared to NHS (white boxes). The C3a, Ba fragments in </w:t>
      </w:r>
      <w:proofErr w:type="gramStart"/>
      <w:r w:rsidRPr="006705ED">
        <w:rPr>
          <w:color w:val="000000"/>
          <w:lang w:val="en-GB"/>
        </w:rPr>
        <w:t>patient serum show values</w:t>
      </w:r>
      <w:proofErr w:type="gramEnd"/>
      <w:r w:rsidRPr="006705ED">
        <w:rPr>
          <w:color w:val="000000"/>
          <w:lang w:val="en-GB"/>
        </w:rPr>
        <w:t xml:space="preserve"> quite similar to NHS. Note that the sC5b-9 level in patient serum </w:t>
      </w:r>
      <w:r w:rsidRPr="006705ED">
        <w:rPr>
          <w:lang w:val="en-GB"/>
        </w:rPr>
        <w:t>comes</w:t>
      </w:r>
      <w:r w:rsidRPr="006705ED">
        <w:rPr>
          <w:color w:val="000000"/>
          <w:lang w:val="en-GB"/>
        </w:rPr>
        <w:t xml:space="preserve"> back to normal value under </w:t>
      </w:r>
      <w:proofErr w:type="spellStart"/>
      <w:r w:rsidRPr="006705ED">
        <w:rPr>
          <w:color w:val="000000"/>
          <w:lang w:val="en-GB"/>
        </w:rPr>
        <w:t>Eculizumab</w:t>
      </w:r>
      <w:proofErr w:type="spellEnd"/>
      <w:r w:rsidRPr="006705ED">
        <w:rPr>
          <w:color w:val="000000"/>
          <w:lang w:val="en-GB"/>
        </w:rPr>
        <w:t xml:space="preserve"> therapy. </w:t>
      </w:r>
      <w:proofErr w:type="spellStart"/>
      <w:r>
        <w:rPr>
          <w:color w:val="000000"/>
        </w:rPr>
        <w:t>Results</w:t>
      </w:r>
      <w:proofErr w:type="spellEnd"/>
      <w:r>
        <w:rPr>
          <w:color w:val="000000"/>
        </w:rPr>
        <w:t xml:space="preserve"> </w:t>
      </w:r>
      <w:proofErr w:type="spellStart"/>
      <w:r>
        <w:rPr>
          <w:color w:val="000000"/>
        </w:rPr>
        <w:t>represent</w:t>
      </w:r>
      <w:proofErr w:type="spellEnd"/>
      <w:r>
        <w:rPr>
          <w:color w:val="000000"/>
        </w:rPr>
        <w:t xml:space="preserve"> </w:t>
      </w:r>
      <w:proofErr w:type="spellStart"/>
      <w:r>
        <w:rPr>
          <w:color w:val="000000"/>
        </w:rPr>
        <w:t>mean</w:t>
      </w:r>
      <w:proofErr w:type="spellEnd"/>
      <w:r>
        <w:rPr>
          <w:color w:val="000000"/>
        </w:rPr>
        <w:t xml:space="preserve"> ±SD of </w:t>
      </w:r>
      <w:proofErr w:type="spellStart"/>
      <w:r>
        <w:rPr>
          <w:color w:val="000000"/>
        </w:rPr>
        <w:t>three</w:t>
      </w:r>
      <w:proofErr w:type="spellEnd"/>
      <w:r>
        <w:rPr>
          <w:color w:val="000000"/>
        </w:rPr>
        <w:t xml:space="preserve"> </w:t>
      </w:r>
      <w:proofErr w:type="spellStart"/>
      <w:r>
        <w:rPr>
          <w:color w:val="000000"/>
        </w:rPr>
        <w:t>independent</w:t>
      </w:r>
      <w:proofErr w:type="spellEnd"/>
      <w:r>
        <w:rPr>
          <w:color w:val="000000"/>
        </w:rPr>
        <w:t xml:space="preserve"> </w:t>
      </w:r>
      <w:proofErr w:type="spellStart"/>
      <w:r>
        <w:rPr>
          <w:color w:val="000000"/>
        </w:rPr>
        <w:t>experiments</w:t>
      </w:r>
      <w:proofErr w:type="spellEnd"/>
      <w:r>
        <w:rPr>
          <w:color w:val="000000"/>
        </w:rPr>
        <w:t>.</w:t>
      </w:r>
    </w:p>
    <w:p w14:paraId="2CD52E9B" w14:textId="77777777" w:rsidR="00DF1A34" w:rsidRDefault="00DF1A34">
      <w:pPr>
        <w:rPr>
          <w:color w:val="000000"/>
        </w:rPr>
      </w:pPr>
    </w:p>
    <w:p w14:paraId="0969BBEA" w14:textId="77777777" w:rsidR="00DF1A34" w:rsidRDefault="00DF1A34"/>
    <w:p w14:paraId="385ABE0D" w14:textId="77777777" w:rsidR="00DF1A34" w:rsidRDefault="00DF1A34">
      <w:pPr>
        <w:pStyle w:val="Titolo2"/>
        <w:ind w:left="567" w:hanging="567"/>
      </w:pPr>
    </w:p>
    <w:p w14:paraId="0C39BB7D" w14:textId="77777777" w:rsidR="00DF1A34" w:rsidRDefault="00DF1A34">
      <w:pPr>
        <w:pStyle w:val="Titolo2"/>
        <w:ind w:left="567" w:hanging="567"/>
      </w:pPr>
    </w:p>
    <w:p w14:paraId="1DDA57D2" w14:textId="77777777" w:rsidR="00DF1A34" w:rsidRDefault="00DF1A34">
      <w:pPr>
        <w:pStyle w:val="Titolo2"/>
        <w:ind w:left="567" w:hanging="567"/>
      </w:pPr>
    </w:p>
    <w:p w14:paraId="5C67C99C" w14:textId="77777777" w:rsidR="00DF1A34" w:rsidRDefault="00DF1A34">
      <w:pPr>
        <w:pStyle w:val="Titolo2"/>
        <w:ind w:left="567" w:hanging="567"/>
      </w:pPr>
    </w:p>
    <w:p w14:paraId="14AE59F7" w14:textId="77777777" w:rsidR="00DF1A34" w:rsidRDefault="00DF1A34">
      <w:pPr>
        <w:pStyle w:val="Titolo2"/>
        <w:ind w:left="567" w:hanging="567"/>
      </w:pPr>
    </w:p>
    <w:p w14:paraId="7FBE089B" w14:textId="77777777" w:rsidR="00DF1A34" w:rsidRDefault="00DF1A34">
      <w:pPr>
        <w:pStyle w:val="Titolo2"/>
        <w:ind w:left="567" w:hanging="567"/>
      </w:pPr>
    </w:p>
    <w:p w14:paraId="385D2522" w14:textId="77777777" w:rsidR="00DF1A34" w:rsidRDefault="00DF1A34">
      <w:pPr>
        <w:pStyle w:val="Titolo2"/>
        <w:ind w:left="567" w:hanging="567"/>
      </w:pPr>
    </w:p>
    <w:p w14:paraId="686668E2" w14:textId="77777777" w:rsidR="00DF1A34" w:rsidRDefault="00DF1A34">
      <w:pPr>
        <w:pStyle w:val="Titolo2"/>
        <w:ind w:left="567" w:hanging="567"/>
      </w:pPr>
    </w:p>
    <w:p w14:paraId="3BD296A5" w14:textId="77777777" w:rsidR="00DF1A34" w:rsidRDefault="003C6E26">
      <w:pPr>
        <w:pStyle w:val="Titolo2"/>
        <w:ind w:left="567" w:hanging="567"/>
        <w:jc w:val="center"/>
      </w:pPr>
      <w:r>
        <w:lastRenderedPageBreak/>
        <w:t>Supplementary Table 1</w:t>
      </w:r>
    </w:p>
    <w:p w14:paraId="18EA0B0A" w14:textId="77777777" w:rsidR="00DF1A34" w:rsidRDefault="003C6E26">
      <w:pPr>
        <w:jc w:val="center"/>
        <w:rPr>
          <w:b/>
        </w:rPr>
      </w:pPr>
      <w:proofErr w:type="spellStart"/>
      <w:r>
        <w:rPr>
          <w:b/>
        </w:rPr>
        <w:t>Table</w:t>
      </w:r>
      <w:proofErr w:type="spellEnd"/>
      <w:r>
        <w:rPr>
          <w:b/>
        </w:rPr>
        <w:t xml:space="preserve"> 1. </w:t>
      </w:r>
      <w:proofErr w:type="spellStart"/>
      <w:r>
        <w:rPr>
          <w:b/>
        </w:rPr>
        <w:t>Clinical</w:t>
      </w:r>
      <w:proofErr w:type="spellEnd"/>
      <w:r>
        <w:rPr>
          <w:b/>
        </w:rPr>
        <w:t xml:space="preserve"> </w:t>
      </w:r>
      <w:proofErr w:type="spellStart"/>
      <w:r>
        <w:rPr>
          <w:b/>
        </w:rPr>
        <w:t>presentation</w:t>
      </w:r>
      <w:proofErr w:type="spellEnd"/>
      <w:r>
        <w:rPr>
          <w:b/>
        </w:rPr>
        <w:t xml:space="preserve"> and </w:t>
      </w:r>
      <w:proofErr w:type="spellStart"/>
      <w:r>
        <w:rPr>
          <w:b/>
        </w:rPr>
        <w:t>outcome</w:t>
      </w:r>
      <w:proofErr w:type="spellEnd"/>
    </w:p>
    <w:p w14:paraId="65B642F7" w14:textId="77777777" w:rsidR="00DF1A34" w:rsidRDefault="00DF1A34">
      <w:pPr>
        <w:jc w:val="center"/>
        <w:rPr>
          <w:b/>
        </w:rPr>
      </w:pPr>
    </w:p>
    <w:p w14:paraId="1C33F0BF" w14:textId="77777777" w:rsidR="00DF1A34" w:rsidRDefault="00DF1A34">
      <w:pPr>
        <w:jc w:val="center"/>
        <w:rPr>
          <w:b/>
        </w:rPr>
      </w:pPr>
    </w:p>
    <w:p w14:paraId="0FA7A243" w14:textId="77777777" w:rsidR="00DF1A34" w:rsidRDefault="003C6E26">
      <w:pPr>
        <w:widowControl w:val="0"/>
        <w:spacing w:line="276" w:lineRule="auto"/>
        <w:jc w:val="center"/>
        <w:rPr>
          <w:rFonts w:ascii="Arial" w:eastAsia="Arial" w:hAnsi="Arial" w:cs="Arial"/>
          <w:sz w:val="22"/>
          <w:szCs w:val="22"/>
        </w:rPr>
      </w:pPr>
      <w:r>
        <w:rPr>
          <w:rFonts w:ascii="Arial" w:eastAsia="Arial" w:hAnsi="Arial" w:cs="Arial"/>
          <w:sz w:val="22"/>
          <w:szCs w:val="22"/>
        </w:rPr>
        <w:t xml:space="preserve"> </w:t>
      </w:r>
    </w:p>
    <w:tbl>
      <w:tblPr>
        <w:tblStyle w:val="a"/>
        <w:tblW w:w="8020" w:type="dxa"/>
        <w:jc w:val="center"/>
        <w:tblInd w:w="0" w:type="dxa"/>
        <w:tblBorders>
          <w:top w:val="single" w:sz="16" w:space="0" w:color="000000"/>
          <w:left w:val="single" w:sz="8" w:space="0" w:color="000000"/>
          <w:bottom w:val="single" w:sz="16"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080"/>
        <w:gridCol w:w="4940"/>
      </w:tblGrid>
      <w:tr w:rsidR="00DF1A34" w14:paraId="20BDB6E1" w14:textId="77777777" w:rsidTr="004E6E25">
        <w:trPr>
          <w:trHeight w:val="321"/>
          <w:tblHeader/>
          <w:jc w:val="center"/>
        </w:trPr>
        <w:tc>
          <w:tcPr>
            <w:tcW w:w="3080" w:type="dxa"/>
            <w:tcBorders>
              <w:bottom w:val="single" w:sz="8" w:space="0" w:color="000000"/>
            </w:tcBorders>
            <w:tcMar>
              <w:top w:w="20" w:type="dxa"/>
              <w:left w:w="20" w:type="dxa"/>
              <w:bottom w:w="0" w:type="dxa"/>
              <w:right w:w="20" w:type="dxa"/>
            </w:tcMar>
            <w:vAlign w:val="center"/>
          </w:tcPr>
          <w:p w14:paraId="2D0893C5" w14:textId="77777777" w:rsidR="00DF1A34" w:rsidRDefault="003C6E26">
            <w:pPr>
              <w:widowControl w:val="0"/>
              <w:spacing w:line="306" w:lineRule="auto"/>
              <w:jc w:val="center"/>
              <w:rPr>
                <w:rFonts w:ascii="Times" w:eastAsia="Times" w:hAnsi="Times" w:cs="Times"/>
                <w:b/>
                <w:sz w:val="21"/>
                <w:szCs w:val="21"/>
              </w:rPr>
            </w:pPr>
            <w:proofErr w:type="spellStart"/>
            <w:r>
              <w:rPr>
                <w:rFonts w:ascii="Times" w:eastAsia="Times" w:hAnsi="Times" w:cs="Times"/>
                <w:b/>
                <w:sz w:val="21"/>
                <w:szCs w:val="21"/>
              </w:rPr>
              <w:t>Patient</w:t>
            </w:r>
            <w:proofErr w:type="spellEnd"/>
          </w:p>
        </w:tc>
        <w:tc>
          <w:tcPr>
            <w:tcW w:w="4940" w:type="dxa"/>
            <w:tcBorders>
              <w:bottom w:val="single" w:sz="8" w:space="0" w:color="000000"/>
            </w:tcBorders>
            <w:tcMar>
              <w:top w:w="20" w:type="dxa"/>
              <w:left w:w="20" w:type="dxa"/>
              <w:bottom w:w="0" w:type="dxa"/>
              <w:right w:w="20" w:type="dxa"/>
            </w:tcMar>
            <w:vAlign w:val="center"/>
          </w:tcPr>
          <w:p w14:paraId="3D19C595" w14:textId="77777777" w:rsidR="00DF1A34" w:rsidRDefault="003C6E26">
            <w:pPr>
              <w:widowControl w:val="0"/>
              <w:spacing w:line="306" w:lineRule="auto"/>
              <w:jc w:val="center"/>
              <w:rPr>
                <w:rFonts w:ascii="Times" w:eastAsia="Times" w:hAnsi="Times" w:cs="Times"/>
                <w:b/>
                <w:sz w:val="21"/>
                <w:szCs w:val="21"/>
              </w:rPr>
            </w:pPr>
            <w:r>
              <w:rPr>
                <w:rFonts w:ascii="Times" w:eastAsia="Times" w:hAnsi="Times" w:cs="Times"/>
                <w:b/>
                <w:sz w:val="21"/>
                <w:szCs w:val="21"/>
              </w:rPr>
              <w:t>#2337</w:t>
            </w:r>
          </w:p>
        </w:tc>
      </w:tr>
      <w:tr w:rsidR="00DF1A34" w14:paraId="5949E08B" w14:textId="77777777" w:rsidTr="004E6E25">
        <w:trPr>
          <w:trHeight w:val="260"/>
          <w:tblHeader/>
          <w:jc w:val="center"/>
        </w:trPr>
        <w:tc>
          <w:tcPr>
            <w:tcW w:w="3080" w:type="dxa"/>
            <w:tcBorders>
              <w:top w:val="single" w:sz="8" w:space="0" w:color="000000"/>
              <w:bottom w:val="single" w:sz="8" w:space="0" w:color="000000"/>
            </w:tcBorders>
            <w:tcMar>
              <w:top w:w="20" w:type="dxa"/>
              <w:left w:w="20" w:type="dxa"/>
              <w:bottom w:w="0" w:type="dxa"/>
              <w:right w:w="20" w:type="dxa"/>
            </w:tcMar>
            <w:vAlign w:val="center"/>
          </w:tcPr>
          <w:p w14:paraId="291D8FBC"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Sex</w:t>
            </w:r>
          </w:p>
        </w:tc>
        <w:tc>
          <w:tcPr>
            <w:tcW w:w="4940" w:type="dxa"/>
            <w:tcBorders>
              <w:top w:val="single" w:sz="8" w:space="0" w:color="000000"/>
              <w:bottom w:val="single" w:sz="8" w:space="0" w:color="000000"/>
            </w:tcBorders>
            <w:tcMar>
              <w:top w:w="20" w:type="dxa"/>
              <w:left w:w="20" w:type="dxa"/>
              <w:bottom w:w="0" w:type="dxa"/>
              <w:right w:w="20" w:type="dxa"/>
            </w:tcMar>
            <w:vAlign w:val="center"/>
          </w:tcPr>
          <w:p w14:paraId="6E1FE966"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M</w:t>
            </w:r>
          </w:p>
        </w:tc>
      </w:tr>
      <w:tr w:rsidR="00DF1A34" w14:paraId="739B1DC8" w14:textId="77777777" w:rsidTr="004E6E25">
        <w:trPr>
          <w:trHeight w:val="260"/>
          <w:tblHeader/>
          <w:jc w:val="center"/>
        </w:trPr>
        <w:tc>
          <w:tcPr>
            <w:tcW w:w="3080" w:type="dxa"/>
            <w:tcBorders>
              <w:top w:val="single" w:sz="8" w:space="0" w:color="000000"/>
            </w:tcBorders>
            <w:tcMar>
              <w:top w:w="20" w:type="dxa"/>
              <w:left w:w="20" w:type="dxa"/>
              <w:bottom w:w="0" w:type="dxa"/>
              <w:right w:w="20" w:type="dxa"/>
            </w:tcMar>
            <w:vAlign w:val="center"/>
          </w:tcPr>
          <w:p w14:paraId="02382352"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 xml:space="preserve">Age </w:t>
            </w:r>
            <w:proofErr w:type="spellStart"/>
            <w:r>
              <w:rPr>
                <w:rFonts w:ascii="Times" w:eastAsia="Times" w:hAnsi="Times" w:cs="Times"/>
                <w:sz w:val="21"/>
                <w:szCs w:val="21"/>
              </w:rPr>
              <w:t>at</w:t>
            </w:r>
            <w:proofErr w:type="spellEnd"/>
            <w:r>
              <w:rPr>
                <w:rFonts w:ascii="Times" w:eastAsia="Times" w:hAnsi="Times" w:cs="Times"/>
                <w:sz w:val="21"/>
                <w:szCs w:val="21"/>
              </w:rPr>
              <w:t xml:space="preserve"> </w:t>
            </w:r>
            <w:proofErr w:type="spellStart"/>
            <w:r>
              <w:rPr>
                <w:rFonts w:ascii="Times" w:eastAsia="Times" w:hAnsi="Times" w:cs="Times"/>
                <w:sz w:val="21"/>
                <w:szCs w:val="21"/>
              </w:rPr>
              <w:t>onset</w:t>
            </w:r>
            <w:proofErr w:type="spellEnd"/>
            <w:r>
              <w:rPr>
                <w:rFonts w:ascii="Times" w:eastAsia="Times" w:hAnsi="Times" w:cs="Times"/>
                <w:sz w:val="21"/>
                <w:szCs w:val="21"/>
              </w:rPr>
              <w:t xml:space="preserve"> (</w:t>
            </w:r>
            <w:proofErr w:type="spellStart"/>
            <w:r>
              <w:rPr>
                <w:rFonts w:ascii="Times" w:eastAsia="Times" w:hAnsi="Times" w:cs="Times"/>
                <w:sz w:val="21"/>
                <w:szCs w:val="21"/>
              </w:rPr>
              <w:t>yr</w:t>
            </w:r>
            <w:proofErr w:type="spellEnd"/>
            <w:r>
              <w:rPr>
                <w:rFonts w:ascii="Times" w:eastAsia="Times" w:hAnsi="Times" w:cs="Times"/>
                <w:sz w:val="21"/>
                <w:szCs w:val="21"/>
              </w:rPr>
              <w:t>)</w:t>
            </w:r>
          </w:p>
        </w:tc>
        <w:tc>
          <w:tcPr>
            <w:tcW w:w="4940" w:type="dxa"/>
            <w:tcBorders>
              <w:top w:val="single" w:sz="8" w:space="0" w:color="000000"/>
            </w:tcBorders>
            <w:tcMar>
              <w:top w:w="20" w:type="dxa"/>
              <w:left w:w="20" w:type="dxa"/>
              <w:bottom w:w="0" w:type="dxa"/>
              <w:right w:w="20" w:type="dxa"/>
            </w:tcMar>
            <w:vAlign w:val="center"/>
          </w:tcPr>
          <w:p w14:paraId="3EAFA6B4"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22</w:t>
            </w:r>
          </w:p>
        </w:tc>
      </w:tr>
      <w:tr w:rsidR="00DF1A34" w14:paraId="18896CBB" w14:textId="77777777" w:rsidTr="004E6E25">
        <w:trPr>
          <w:trHeight w:val="260"/>
          <w:tblHeader/>
          <w:jc w:val="center"/>
        </w:trPr>
        <w:tc>
          <w:tcPr>
            <w:tcW w:w="3080" w:type="dxa"/>
            <w:tcMar>
              <w:top w:w="20" w:type="dxa"/>
              <w:left w:w="20" w:type="dxa"/>
              <w:bottom w:w="0" w:type="dxa"/>
              <w:right w:w="20" w:type="dxa"/>
            </w:tcMar>
            <w:vAlign w:val="center"/>
          </w:tcPr>
          <w:p w14:paraId="20D2830F"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Initial</w:t>
            </w:r>
            <w:proofErr w:type="spellEnd"/>
            <w:r>
              <w:rPr>
                <w:rFonts w:ascii="Times" w:eastAsia="Times" w:hAnsi="Times" w:cs="Times"/>
                <w:sz w:val="21"/>
                <w:szCs w:val="21"/>
              </w:rPr>
              <w:t xml:space="preserve"> </w:t>
            </w:r>
            <w:proofErr w:type="spellStart"/>
            <w:r>
              <w:rPr>
                <w:rFonts w:ascii="Times" w:eastAsia="Times" w:hAnsi="Times" w:cs="Times"/>
                <w:sz w:val="21"/>
                <w:szCs w:val="21"/>
              </w:rPr>
              <w:t>Diagnosis</w:t>
            </w:r>
            <w:proofErr w:type="spellEnd"/>
          </w:p>
        </w:tc>
        <w:tc>
          <w:tcPr>
            <w:tcW w:w="4940" w:type="dxa"/>
            <w:tcMar>
              <w:top w:w="20" w:type="dxa"/>
              <w:left w:w="20" w:type="dxa"/>
              <w:bottom w:w="0" w:type="dxa"/>
              <w:right w:w="20" w:type="dxa"/>
            </w:tcMar>
            <w:vAlign w:val="center"/>
          </w:tcPr>
          <w:p w14:paraId="46FAA499"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aHUS</w:t>
            </w:r>
            <w:proofErr w:type="spellEnd"/>
          </w:p>
        </w:tc>
      </w:tr>
      <w:tr w:rsidR="00DF1A34" w14:paraId="0428C38D" w14:textId="77777777" w:rsidTr="004E6E25">
        <w:trPr>
          <w:trHeight w:val="260"/>
          <w:tblHeader/>
          <w:jc w:val="center"/>
        </w:trPr>
        <w:tc>
          <w:tcPr>
            <w:tcW w:w="3080" w:type="dxa"/>
            <w:tcMar>
              <w:top w:w="20" w:type="dxa"/>
              <w:left w:w="20" w:type="dxa"/>
              <w:bottom w:w="0" w:type="dxa"/>
              <w:right w:w="20" w:type="dxa"/>
            </w:tcMar>
            <w:vAlign w:val="center"/>
          </w:tcPr>
          <w:p w14:paraId="6B1D1208"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Putative Trigger</w:t>
            </w:r>
          </w:p>
        </w:tc>
        <w:tc>
          <w:tcPr>
            <w:tcW w:w="4940" w:type="dxa"/>
            <w:tcMar>
              <w:top w:w="20" w:type="dxa"/>
              <w:left w:w="20" w:type="dxa"/>
              <w:bottom w:w="0" w:type="dxa"/>
              <w:right w:w="20" w:type="dxa"/>
            </w:tcMar>
            <w:vAlign w:val="center"/>
          </w:tcPr>
          <w:p w14:paraId="55499D6A"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infective</w:t>
            </w:r>
            <w:proofErr w:type="spellEnd"/>
          </w:p>
        </w:tc>
      </w:tr>
      <w:tr w:rsidR="00DF1A34" w:rsidRPr="0038536B" w14:paraId="4A5A1979" w14:textId="77777777" w:rsidTr="004E6E25">
        <w:trPr>
          <w:trHeight w:val="940"/>
          <w:tblHeader/>
          <w:jc w:val="center"/>
        </w:trPr>
        <w:tc>
          <w:tcPr>
            <w:tcW w:w="3080" w:type="dxa"/>
            <w:tcMar>
              <w:top w:w="20" w:type="dxa"/>
              <w:left w:w="20" w:type="dxa"/>
              <w:bottom w:w="0" w:type="dxa"/>
              <w:right w:w="20" w:type="dxa"/>
            </w:tcMar>
            <w:vAlign w:val="center"/>
          </w:tcPr>
          <w:p w14:paraId="2AE2BC1C" w14:textId="77777777" w:rsidR="00DF1A34" w:rsidRDefault="003C6E26">
            <w:pPr>
              <w:widowControl w:val="0"/>
              <w:spacing w:line="276" w:lineRule="auto"/>
              <w:jc w:val="center"/>
              <w:rPr>
                <w:rFonts w:ascii="Times" w:eastAsia="Times" w:hAnsi="Times" w:cs="Times"/>
                <w:sz w:val="21"/>
                <w:szCs w:val="21"/>
              </w:rPr>
            </w:pPr>
            <w:proofErr w:type="spellStart"/>
            <w:r>
              <w:rPr>
                <w:rFonts w:ascii="Times" w:eastAsia="Times" w:hAnsi="Times" w:cs="Times"/>
                <w:sz w:val="21"/>
                <w:szCs w:val="21"/>
              </w:rPr>
              <w:t>Onset</w:t>
            </w:r>
            <w:proofErr w:type="spellEnd"/>
            <w:r>
              <w:rPr>
                <w:rFonts w:ascii="Times" w:eastAsia="Times" w:hAnsi="Times" w:cs="Times"/>
                <w:sz w:val="21"/>
                <w:szCs w:val="21"/>
              </w:rPr>
              <w:t xml:space="preserve"> </w:t>
            </w:r>
            <w:proofErr w:type="spellStart"/>
            <w:r>
              <w:rPr>
                <w:rFonts w:ascii="Times" w:eastAsia="Times" w:hAnsi="Times" w:cs="Times"/>
                <w:sz w:val="21"/>
                <w:szCs w:val="21"/>
              </w:rPr>
              <w:t>Symptoms</w:t>
            </w:r>
            <w:proofErr w:type="spellEnd"/>
          </w:p>
        </w:tc>
        <w:tc>
          <w:tcPr>
            <w:tcW w:w="4940" w:type="dxa"/>
            <w:tcMar>
              <w:top w:w="20" w:type="dxa"/>
              <w:left w:w="20" w:type="dxa"/>
              <w:bottom w:w="0" w:type="dxa"/>
              <w:right w:w="20" w:type="dxa"/>
            </w:tcMar>
            <w:vAlign w:val="center"/>
          </w:tcPr>
          <w:p w14:paraId="57574760" w14:textId="77777777" w:rsidR="00DF1A34" w:rsidRPr="00683FC4" w:rsidRDefault="003C6E26">
            <w:pPr>
              <w:widowControl w:val="0"/>
              <w:spacing w:line="276" w:lineRule="auto"/>
              <w:jc w:val="center"/>
              <w:rPr>
                <w:rFonts w:ascii="Times" w:eastAsia="Times" w:hAnsi="Times" w:cs="Times"/>
                <w:sz w:val="21"/>
                <w:szCs w:val="21"/>
                <w:lang w:val="en-US"/>
              </w:rPr>
            </w:pPr>
            <w:r w:rsidRPr="00683FC4">
              <w:rPr>
                <w:rFonts w:ascii="Times" w:eastAsia="Times" w:hAnsi="Times" w:cs="Times"/>
                <w:sz w:val="21"/>
                <w:szCs w:val="21"/>
                <w:lang w:val="en-US"/>
              </w:rPr>
              <w:t xml:space="preserve">face and legs swelling; purpuric rash; epistaxis; chest pain; </w:t>
            </w:r>
            <w:r w:rsidRPr="00683FC4">
              <w:rPr>
                <w:rFonts w:ascii="Times" w:eastAsia="Times" w:hAnsi="Times" w:cs="Times"/>
                <w:sz w:val="21"/>
                <w:szCs w:val="21"/>
                <w:lang w:val="en-US"/>
              </w:rPr>
              <w:br/>
              <w:t>legs myalgia; postural instability</w:t>
            </w:r>
          </w:p>
        </w:tc>
      </w:tr>
      <w:tr w:rsidR="00DF1A34" w14:paraId="1D719A62" w14:textId="77777777" w:rsidTr="004E6E25">
        <w:trPr>
          <w:cnfStyle w:val="000000100000" w:firstRow="0" w:lastRow="0" w:firstColumn="0" w:lastColumn="0" w:oddVBand="0" w:evenVBand="0" w:oddHBand="1" w:evenHBand="0" w:firstRowFirstColumn="0" w:firstRowLastColumn="0" w:lastRowFirstColumn="0" w:lastRowLastColumn="0"/>
          <w:trHeight w:val="260"/>
          <w:jc w:val="center"/>
        </w:trPr>
        <w:tc>
          <w:tcPr>
            <w:tcW w:w="3080" w:type="dxa"/>
            <w:tcMar>
              <w:top w:w="20" w:type="dxa"/>
              <w:left w:w="20" w:type="dxa"/>
              <w:bottom w:w="0" w:type="dxa"/>
              <w:right w:w="20" w:type="dxa"/>
            </w:tcMar>
            <w:vAlign w:val="center"/>
          </w:tcPr>
          <w:p w14:paraId="7D900A80"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Serum</w:t>
            </w:r>
            <w:proofErr w:type="spellEnd"/>
            <w:r>
              <w:rPr>
                <w:rFonts w:ascii="Times" w:eastAsia="Times" w:hAnsi="Times" w:cs="Times"/>
                <w:sz w:val="21"/>
                <w:szCs w:val="21"/>
              </w:rPr>
              <w:t xml:space="preserve"> Creatinine (mg /dl)</w:t>
            </w:r>
          </w:p>
        </w:tc>
        <w:tc>
          <w:tcPr>
            <w:tcW w:w="4940" w:type="dxa"/>
            <w:tcMar>
              <w:top w:w="20" w:type="dxa"/>
              <w:left w:w="20" w:type="dxa"/>
              <w:bottom w:w="0" w:type="dxa"/>
              <w:right w:w="20" w:type="dxa"/>
            </w:tcMar>
            <w:vAlign w:val="center"/>
          </w:tcPr>
          <w:p w14:paraId="19EFBEA6"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16.85</w:t>
            </w:r>
          </w:p>
        </w:tc>
      </w:tr>
      <w:tr w:rsidR="00DF1A34" w14:paraId="63C3FE20" w14:textId="77777777" w:rsidTr="004E6E25">
        <w:trPr>
          <w:trHeight w:val="260"/>
          <w:jc w:val="center"/>
        </w:trPr>
        <w:tc>
          <w:tcPr>
            <w:tcW w:w="3080" w:type="dxa"/>
            <w:tcMar>
              <w:top w:w="20" w:type="dxa"/>
              <w:left w:w="20" w:type="dxa"/>
              <w:bottom w:w="0" w:type="dxa"/>
              <w:right w:w="20" w:type="dxa"/>
            </w:tcMar>
            <w:vAlign w:val="center"/>
          </w:tcPr>
          <w:p w14:paraId="2A3C5E4C"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Hemoglobin</w:t>
            </w:r>
            <w:proofErr w:type="spellEnd"/>
            <w:r>
              <w:rPr>
                <w:rFonts w:ascii="Times" w:eastAsia="Times" w:hAnsi="Times" w:cs="Times"/>
                <w:sz w:val="21"/>
                <w:szCs w:val="21"/>
              </w:rPr>
              <w:t xml:space="preserve"> (g/dl)</w:t>
            </w:r>
          </w:p>
        </w:tc>
        <w:tc>
          <w:tcPr>
            <w:tcW w:w="4940" w:type="dxa"/>
            <w:tcMar>
              <w:top w:w="20" w:type="dxa"/>
              <w:left w:w="20" w:type="dxa"/>
              <w:bottom w:w="0" w:type="dxa"/>
              <w:right w:w="20" w:type="dxa"/>
            </w:tcMar>
            <w:vAlign w:val="center"/>
          </w:tcPr>
          <w:p w14:paraId="68FA4207"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7.2</w:t>
            </w:r>
          </w:p>
        </w:tc>
      </w:tr>
      <w:tr w:rsidR="00DF1A34" w14:paraId="766B8E29" w14:textId="77777777" w:rsidTr="004E6E25">
        <w:trPr>
          <w:cnfStyle w:val="000000100000" w:firstRow="0" w:lastRow="0" w:firstColumn="0" w:lastColumn="0" w:oddVBand="0" w:evenVBand="0" w:oddHBand="1" w:evenHBand="0" w:firstRowFirstColumn="0" w:firstRowLastColumn="0" w:lastRowFirstColumn="0" w:lastRowLastColumn="0"/>
          <w:trHeight w:val="280"/>
          <w:jc w:val="center"/>
        </w:trPr>
        <w:tc>
          <w:tcPr>
            <w:tcW w:w="3080" w:type="dxa"/>
            <w:tcMar>
              <w:top w:w="20" w:type="dxa"/>
              <w:left w:w="20" w:type="dxa"/>
              <w:bottom w:w="0" w:type="dxa"/>
              <w:right w:w="20" w:type="dxa"/>
            </w:tcMar>
            <w:vAlign w:val="center"/>
          </w:tcPr>
          <w:p w14:paraId="70F90DEE" w14:textId="77777777" w:rsidR="00DF1A34" w:rsidRDefault="003C6E26">
            <w:pPr>
              <w:widowControl w:val="0"/>
              <w:spacing w:line="323" w:lineRule="auto"/>
              <w:jc w:val="center"/>
              <w:rPr>
                <w:rFonts w:ascii="Times" w:eastAsia="Times" w:hAnsi="Times" w:cs="Times"/>
                <w:sz w:val="21"/>
                <w:szCs w:val="21"/>
              </w:rPr>
            </w:pPr>
            <w:proofErr w:type="spellStart"/>
            <w:r>
              <w:rPr>
                <w:rFonts w:ascii="Times" w:eastAsia="Times" w:hAnsi="Times" w:cs="Times"/>
                <w:sz w:val="21"/>
                <w:szCs w:val="21"/>
              </w:rPr>
              <w:t>Platelets</w:t>
            </w:r>
            <w:proofErr w:type="spellEnd"/>
            <w:r>
              <w:rPr>
                <w:rFonts w:ascii="Times" w:eastAsia="Times" w:hAnsi="Times" w:cs="Times"/>
                <w:sz w:val="21"/>
                <w:szCs w:val="21"/>
              </w:rPr>
              <w:t xml:space="preserve"> (10</w:t>
            </w:r>
            <w:r>
              <w:rPr>
                <w:rFonts w:ascii="Times" w:eastAsia="Times" w:hAnsi="Times" w:cs="Times"/>
                <w:sz w:val="21"/>
                <w:szCs w:val="21"/>
                <w:vertAlign w:val="superscript"/>
              </w:rPr>
              <w:t>3</w:t>
            </w:r>
            <w:r>
              <w:rPr>
                <w:rFonts w:ascii="Times" w:eastAsia="Times" w:hAnsi="Times" w:cs="Times"/>
                <w:sz w:val="21"/>
                <w:szCs w:val="21"/>
              </w:rPr>
              <w:t xml:space="preserve"> /µl)</w:t>
            </w:r>
          </w:p>
        </w:tc>
        <w:tc>
          <w:tcPr>
            <w:tcW w:w="4940" w:type="dxa"/>
            <w:tcMar>
              <w:top w:w="20" w:type="dxa"/>
              <w:left w:w="20" w:type="dxa"/>
              <w:bottom w:w="0" w:type="dxa"/>
              <w:right w:w="20" w:type="dxa"/>
            </w:tcMar>
            <w:vAlign w:val="center"/>
          </w:tcPr>
          <w:p w14:paraId="1D984A6A" w14:textId="77777777" w:rsidR="00DF1A34" w:rsidRDefault="003C6E26">
            <w:pPr>
              <w:widowControl w:val="0"/>
              <w:spacing w:line="323" w:lineRule="auto"/>
              <w:jc w:val="center"/>
              <w:rPr>
                <w:rFonts w:ascii="Times" w:eastAsia="Times" w:hAnsi="Times" w:cs="Times"/>
                <w:sz w:val="21"/>
                <w:szCs w:val="21"/>
              </w:rPr>
            </w:pPr>
            <w:r>
              <w:rPr>
                <w:rFonts w:ascii="Times" w:eastAsia="Times" w:hAnsi="Times" w:cs="Times"/>
                <w:sz w:val="21"/>
                <w:szCs w:val="21"/>
              </w:rPr>
              <w:t>100</w:t>
            </w:r>
          </w:p>
        </w:tc>
      </w:tr>
      <w:tr w:rsidR="00DF1A34" w14:paraId="20F9EF49" w14:textId="77777777" w:rsidTr="004E6E25">
        <w:trPr>
          <w:trHeight w:val="280"/>
          <w:jc w:val="center"/>
        </w:trPr>
        <w:tc>
          <w:tcPr>
            <w:tcW w:w="3080" w:type="dxa"/>
            <w:tcMar>
              <w:top w:w="20" w:type="dxa"/>
              <w:left w:w="20" w:type="dxa"/>
              <w:bottom w:w="0" w:type="dxa"/>
              <w:right w:w="20" w:type="dxa"/>
            </w:tcMar>
            <w:vAlign w:val="center"/>
          </w:tcPr>
          <w:p w14:paraId="1739A9F1" w14:textId="77777777" w:rsidR="00DF1A34" w:rsidRDefault="003C6E26">
            <w:pPr>
              <w:widowControl w:val="0"/>
              <w:spacing w:line="323" w:lineRule="auto"/>
              <w:jc w:val="center"/>
              <w:rPr>
                <w:rFonts w:ascii="Times" w:eastAsia="Times" w:hAnsi="Times" w:cs="Times"/>
                <w:sz w:val="21"/>
                <w:szCs w:val="21"/>
              </w:rPr>
            </w:pPr>
            <w:r>
              <w:rPr>
                <w:rFonts w:ascii="Times" w:eastAsia="Times" w:hAnsi="Times" w:cs="Times"/>
                <w:sz w:val="21"/>
                <w:szCs w:val="21"/>
              </w:rPr>
              <w:t>LDH (U/L)</w:t>
            </w:r>
          </w:p>
        </w:tc>
        <w:tc>
          <w:tcPr>
            <w:tcW w:w="4940" w:type="dxa"/>
            <w:tcMar>
              <w:top w:w="20" w:type="dxa"/>
              <w:left w:w="20" w:type="dxa"/>
              <w:bottom w:w="0" w:type="dxa"/>
              <w:right w:w="20" w:type="dxa"/>
            </w:tcMar>
            <w:vAlign w:val="center"/>
          </w:tcPr>
          <w:p w14:paraId="1A393D86" w14:textId="77777777" w:rsidR="00DF1A34" w:rsidRDefault="003C6E26">
            <w:pPr>
              <w:widowControl w:val="0"/>
              <w:spacing w:line="323" w:lineRule="auto"/>
              <w:jc w:val="center"/>
              <w:rPr>
                <w:rFonts w:ascii="Times" w:eastAsia="Times" w:hAnsi="Times" w:cs="Times"/>
                <w:sz w:val="21"/>
                <w:szCs w:val="21"/>
              </w:rPr>
            </w:pPr>
            <w:r>
              <w:rPr>
                <w:rFonts w:ascii="Times" w:eastAsia="Times" w:hAnsi="Times" w:cs="Times"/>
                <w:sz w:val="21"/>
                <w:szCs w:val="21"/>
              </w:rPr>
              <w:t>1724</w:t>
            </w:r>
          </w:p>
        </w:tc>
      </w:tr>
      <w:tr w:rsidR="00DF1A34" w14:paraId="10FA5C51" w14:textId="77777777" w:rsidTr="004E6E25">
        <w:trPr>
          <w:cnfStyle w:val="000000100000" w:firstRow="0" w:lastRow="0" w:firstColumn="0" w:lastColumn="0" w:oddVBand="0" w:evenVBand="0" w:oddHBand="1" w:evenHBand="0" w:firstRowFirstColumn="0" w:firstRowLastColumn="0" w:lastRowFirstColumn="0" w:lastRowLastColumn="0"/>
          <w:trHeight w:val="280"/>
          <w:jc w:val="center"/>
        </w:trPr>
        <w:tc>
          <w:tcPr>
            <w:tcW w:w="3080" w:type="dxa"/>
            <w:tcMar>
              <w:top w:w="20" w:type="dxa"/>
              <w:left w:w="20" w:type="dxa"/>
              <w:bottom w:w="0" w:type="dxa"/>
              <w:right w:w="20" w:type="dxa"/>
            </w:tcMar>
            <w:vAlign w:val="center"/>
          </w:tcPr>
          <w:p w14:paraId="2F5D8070" w14:textId="77777777" w:rsidR="00DF1A34" w:rsidRDefault="003C6E26">
            <w:pPr>
              <w:widowControl w:val="0"/>
              <w:spacing w:line="323" w:lineRule="auto"/>
              <w:jc w:val="center"/>
              <w:rPr>
                <w:rFonts w:ascii="Times" w:eastAsia="Times" w:hAnsi="Times" w:cs="Times"/>
                <w:sz w:val="21"/>
                <w:szCs w:val="21"/>
              </w:rPr>
            </w:pPr>
            <w:proofErr w:type="spellStart"/>
            <w:r>
              <w:rPr>
                <w:rFonts w:ascii="Times" w:eastAsia="Times" w:hAnsi="Times" w:cs="Times"/>
                <w:sz w:val="21"/>
                <w:szCs w:val="21"/>
              </w:rPr>
              <w:t>Haptoglobin</w:t>
            </w:r>
            <w:proofErr w:type="spellEnd"/>
            <w:r>
              <w:rPr>
                <w:rFonts w:ascii="Times" w:eastAsia="Times" w:hAnsi="Times" w:cs="Times"/>
                <w:sz w:val="21"/>
                <w:szCs w:val="21"/>
              </w:rPr>
              <w:t xml:space="preserve"> (g/L)</w:t>
            </w:r>
          </w:p>
        </w:tc>
        <w:tc>
          <w:tcPr>
            <w:tcW w:w="4940" w:type="dxa"/>
            <w:tcMar>
              <w:top w:w="20" w:type="dxa"/>
              <w:left w:w="20" w:type="dxa"/>
              <w:bottom w:w="0" w:type="dxa"/>
              <w:right w:w="20" w:type="dxa"/>
            </w:tcMar>
            <w:vAlign w:val="center"/>
          </w:tcPr>
          <w:p w14:paraId="31151604" w14:textId="77777777" w:rsidR="00DF1A34" w:rsidRDefault="003C6E26">
            <w:pPr>
              <w:widowControl w:val="0"/>
              <w:spacing w:line="323" w:lineRule="auto"/>
              <w:jc w:val="center"/>
              <w:rPr>
                <w:rFonts w:ascii="Times" w:eastAsia="Times" w:hAnsi="Times" w:cs="Times"/>
                <w:sz w:val="21"/>
                <w:szCs w:val="21"/>
              </w:rPr>
            </w:pPr>
            <w:r>
              <w:rPr>
                <w:rFonts w:ascii="Times" w:eastAsia="Times" w:hAnsi="Times" w:cs="Times"/>
                <w:sz w:val="21"/>
                <w:szCs w:val="21"/>
              </w:rPr>
              <w:t>&lt;0.08</w:t>
            </w:r>
          </w:p>
        </w:tc>
      </w:tr>
      <w:tr w:rsidR="00DF1A34" w14:paraId="1CED515E" w14:textId="77777777" w:rsidTr="004E6E25">
        <w:trPr>
          <w:trHeight w:val="260"/>
          <w:jc w:val="center"/>
        </w:trPr>
        <w:tc>
          <w:tcPr>
            <w:tcW w:w="3080" w:type="dxa"/>
            <w:tcMar>
              <w:top w:w="20" w:type="dxa"/>
              <w:left w:w="20" w:type="dxa"/>
              <w:bottom w:w="0" w:type="dxa"/>
              <w:right w:w="20" w:type="dxa"/>
            </w:tcMar>
            <w:vAlign w:val="center"/>
          </w:tcPr>
          <w:p w14:paraId="6FB44020"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Schistocyte</w:t>
            </w:r>
            <w:proofErr w:type="spellEnd"/>
            <w:r>
              <w:rPr>
                <w:rFonts w:ascii="Times" w:eastAsia="Times" w:hAnsi="Times" w:cs="Times"/>
                <w:sz w:val="21"/>
                <w:szCs w:val="21"/>
              </w:rPr>
              <w:t xml:space="preserve"> (%)</w:t>
            </w:r>
          </w:p>
        </w:tc>
        <w:tc>
          <w:tcPr>
            <w:tcW w:w="4940" w:type="dxa"/>
            <w:tcMar>
              <w:top w:w="20" w:type="dxa"/>
              <w:left w:w="20" w:type="dxa"/>
              <w:bottom w:w="0" w:type="dxa"/>
              <w:right w:w="20" w:type="dxa"/>
            </w:tcMar>
            <w:vAlign w:val="center"/>
          </w:tcPr>
          <w:p w14:paraId="710D0E5F"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10%</w:t>
            </w:r>
          </w:p>
        </w:tc>
      </w:tr>
      <w:tr w:rsidR="00DF1A34" w14:paraId="432C976A" w14:textId="77777777" w:rsidTr="004E6E25">
        <w:trPr>
          <w:cnfStyle w:val="000000100000" w:firstRow="0" w:lastRow="0" w:firstColumn="0" w:lastColumn="0" w:oddVBand="0" w:evenVBand="0" w:oddHBand="1" w:evenHBand="0" w:firstRowFirstColumn="0" w:firstRowLastColumn="0" w:lastRowFirstColumn="0" w:lastRowLastColumn="0"/>
          <w:trHeight w:val="260"/>
          <w:jc w:val="center"/>
        </w:trPr>
        <w:tc>
          <w:tcPr>
            <w:tcW w:w="3080" w:type="dxa"/>
            <w:tcMar>
              <w:top w:w="20" w:type="dxa"/>
              <w:left w:w="20" w:type="dxa"/>
              <w:bottom w:w="0" w:type="dxa"/>
              <w:right w:w="20" w:type="dxa"/>
            </w:tcMar>
            <w:vAlign w:val="center"/>
          </w:tcPr>
          <w:p w14:paraId="57574A8E"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C3 (g/L)</w:t>
            </w:r>
          </w:p>
        </w:tc>
        <w:tc>
          <w:tcPr>
            <w:tcW w:w="4940" w:type="dxa"/>
            <w:tcMar>
              <w:top w:w="20" w:type="dxa"/>
              <w:left w:w="20" w:type="dxa"/>
              <w:bottom w:w="0" w:type="dxa"/>
              <w:right w:w="20" w:type="dxa"/>
            </w:tcMar>
            <w:vAlign w:val="center"/>
          </w:tcPr>
          <w:p w14:paraId="4AD40765"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 xml:space="preserve">0.5 </w:t>
            </w:r>
          </w:p>
        </w:tc>
      </w:tr>
      <w:tr w:rsidR="00DF1A34" w14:paraId="40388C3E" w14:textId="77777777" w:rsidTr="004E6E25">
        <w:trPr>
          <w:trHeight w:val="260"/>
          <w:jc w:val="center"/>
        </w:trPr>
        <w:tc>
          <w:tcPr>
            <w:tcW w:w="3080" w:type="dxa"/>
            <w:tcMar>
              <w:top w:w="20" w:type="dxa"/>
              <w:left w:w="20" w:type="dxa"/>
              <w:bottom w:w="0" w:type="dxa"/>
              <w:right w:w="20" w:type="dxa"/>
            </w:tcMar>
            <w:vAlign w:val="center"/>
          </w:tcPr>
          <w:p w14:paraId="20B9A2AA"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Serum</w:t>
            </w:r>
            <w:proofErr w:type="spellEnd"/>
            <w:r>
              <w:rPr>
                <w:rFonts w:ascii="Times" w:eastAsia="Times" w:hAnsi="Times" w:cs="Times"/>
                <w:sz w:val="21"/>
                <w:szCs w:val="21"/>
              </w:rPr>
              <w:t xml:space="preserve"> </w:t>
            </w:r>
            <w:proofErr w:type="spellStart"/>
            <w:r>
              <w:rPr>
                <w:rFonts w:ascii="Times" w:eastAsia="Times" w:hAnsi="Times" w:cs="Times"/>
                <w:sz w:val="21"/>
                <w:szCs w:val="21"/>
              </w:rPr>
              <w:t>Calcium</w:t>
            </w:r>
            <w:proofErr w:type="spellEnd"/>
            <w:r>
              <w:rPr>
                <w:rFonts w:ascii="Times" w:eastAsia="Times" w:hAnsi="Times" w:cs="Times"/>
                <w:sz w:val="21"/>
                <w:szCs w:val="21"/>
              </w:rPr>
              <w:t xml:space="preserve"> (mg/dl)</w:t>
            </w:r>
          </w:p>
        </w:tc>
        <w:tc>
          <w:tcPr>
            <w:tcW w:w="4940" w:type="dxa"/>
            <w:tcMar>
              <w:top w:w="20" w:type="dxa"/>
              <w:left w:w="20" w:type="dxa"/>
              <w:bottom w:w="0" w:type="dxa"/>
              <w:right w:w="20" w:type="dxa"/>
            </w:tcMar>
            <w:vAlign w:val="center"/>
          </w:tcPr>
          <w:p w14:paraId="0CA20F7B"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8.86</w:t>
            </w:r>
          </w:p>
        </w:tc>
      </w:tr>
      <w:tr w:rsidR="00DF1A34" w14:paraId="2021E546" w14:textId="77777777" w:rsidTr="004E6E25">
        <w:trPr>
          <w:cnfStyle w:val="000000100000" w:firstRow="0" w:lastRow="0" w:firstColumn="0" w:lastColumn="0" w:oddVBand="0" w:evenVBand="0" w:oddHBand="1" w:evenHBand="0" w:firstRowFirstColumn="0" w:firstRowLastColumn="0" w:lastRowFirstColumn="0" w:lastRowLastColumn="0"/>
          <w:trHeight w:val="260"/>
          <w:jc w:val="center"/>
        </w:trPr>
        <w:tc>
          <w:tcPr>
            <w:tcW w:w="3080" w:type="dxa"/>
            <w:tcMar>
              <w:top w:w="20" w:type="dxa"/>
              <w:left w:w="20" w:type="dxa"/>
              <w:bottom w:w="0" w:type="dxa"/>
              <w:right w:w="20" w:type="dxa"/>
            </w:tcMar>
            <w:vAlign w:val="center"/>
          </w:tcPr>
          <w:p w14:paraId="546906F5"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Serum</w:t>
            </w:r>
            <w:proofErr w:type="spellEnd"/>
            <w:r>
              <w:rPr>
                <w:rFonts w:ascii="Times" w:eastAsia="Times" w:hAnsi="Times" w:cs="Times"/>
                <w:sz w:val="21"/>
                <w:szCs w:val="21"/>
              </w:rPr>
              <w:t xml:space="preserve"> </w:t>
            </w:r>
            <w:proofErr w:type="spellStart"/>
            <w:r>
              <w:rPr>
                <w:rFonts w:ascii="Times" w:eastAsia="Times" w:hAnsi="Times" w:cs="Times"/>
                <w:sz w:val="21"/>
                <w:szCs w:val="21"/>
              </w:rPr>
              <w:t>Phosphate</w:t>
            </w:r>
            <w:proofErr w:type="spellEnd"/>
            <w:r>
              <w:rPr>
                <w:rFonts w:ascii="Times" w:eastAsia="Times" w:hAnsi="Times" w:cs="Times"/>
                <w:sz w:val="21"/>
                <w:szCs w:val="21"/>
              </w:rPr>
              <w:t xml:space="preserve"> (mg/dl)</w:t>
            </w:r>
          </w:p>
        </w:tc>
        <w:tc>
          <w:tcPr>
            <w:tcW w:w="4940" w:type="dxa"/>
            <w:tcMar>
              <w:top w:w="20" w:type="dxa"/>
              <w:left w:w="20" w:type="dxa"/>
              <w:bottom w:w="0" w:type="dxa"/>
              <w:right w:w="20" w:type="dxa"/>
            </w:tcMar>
            <w:vAlign w:val="center"/>
          </w:tcPr>
          <w:p w14:paraId="5C3CB613"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4.8</w:t>
            </w:r>
          </w:p>
        </w:tc>
      </w:tr>
      <w:tr w:rsidR="00DF1A34" w14:paraId="5E3296DE" w14:textId="77777777" w:rsidTr="004E6E25">
        <w:trPr>
          <w:trHeight w:val="260"/>
          <w:jc w:val="center"/>
        </w:trPr>
        <w:tc>
          <w:tcPr>
            <w:tcW w:w="3080" w:type="dxa"/>
            <w:tcMar>
              <w:top w:w="20" w:type="dxa"/>
              <w:left w:w="20" w:type="dxa"/>
              <w:bottom w:w="0" w:type="dxa"/>
              <w:right w:w="20" w:type="dxa"/>
            </w:tcMar>
            <w:vAlign w:val="center"/>
          </w:tcPr>
          <w:p w14:paraId="4F657742"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Nephrotic</w:t>
            </w:r>
            <w:proofErr w:type="spellEnd"/>
            <w:r>
              <w:rPr>
                <w:rFonts w:ascii="Times" w:eastAsia="Times" w:hAnsi="Times" w:cs="Times"/>
                <w:sz w:val="21"/>
                <w:szCs w:val="21"/>
              </w:rPr>
              <w:t xml:space="preserve"> </w:t>
            </w:r>
            <w:proofErr w:type="spellStart"/>
            <w:r>
              <w:rPr>
                <w:rFonts w:ascii="Times" w:eastAsia="Times" w:hAnsi="Times" w:cs="Times"/>
                <w:sz w:val="21"/>
                <w:szCs w:val="21"/>
              </w:rPr>
              <w:t>Syndrome</w:t>
            </w:r>
            <w:proofErr w:type="spellEnd"/>
          </w:p>
        </w:tc>
        <w:tc>
          <w:tcPr>
            <w:tcW w:w="4940" w:type="dxa"/>
            <w:tcMar>
              <w:top w:w="20" w:type="dxa"/>
              <w:left w:w="20" w:type="dxa"/>
              <w:bottom w:w="0" w:type="dxa"/>
              <w:right w:w="20" w:type="dxa"/>
            </w:tcMar>
            <w:vAlign w:val="center"/>
          </w:tcPr>
          <w:p w14:paraId="029D0E19"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w:t>
            </w:r>
          </w:p>
        </w:tc>
      </w:tr>
      <w:tr w:rsidR="00DF1A34" w14:paraId="6318ED6B" w14:textId="77777777" w:rsidTr="004E6E25">
        <w:trPr>
          <w:cnfStyle w:val="000000100000" w:firstRow="0" w:lastRow="0" w:firstColumn="0" w:lastColumn="0" w:oddVBand="0" w:evenVBand="0" w:oddHBand="1" w:evenHBand="0" w:firstRowFirstColumn="0" w:firstRowLastColumn="0" w:lastRowFirstColumn="0" w:lastRowLastColumn="0"/>
          <w:trHeight w:val="260"/>
          <w:jc w:val="center"/>
        </w:trPr>
        <w:tc>
          <w:tcPr>
            <w:tcW w:w="3080" w:type="dxa"/>
            <w:tcMar>
              <w:top w:w="20" w:type="dxa"/>
              <w:left w:w="20" w:type="dxa"/>
              <w:bottom w:w="0" w:type="dxa"/>
              <w:right w:w="20" w:type="dxa"/>
            </w:tcMar>
            <w:vAlign w:val="center"/>
          </w:tcPr>
          <w:p w14:paraId="55D2AEEC"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 xml:space="preserve">Acute </w:t>
            </w:r>
            <w:proofErr w:type="spellStart"/>
            <w:r>
              <w:rPr>
                <w:rFonts w:ascii="Times" w:eastAsia="Times" w:hAnsi="Times" w:cs="Times"/>
                <w:sz w:val="21"/>
                <w:szCs w:val="21"/>
              </w:rPr>
              <w:t>Hemodialysis</w:t>
            </w:r>
            <w:proofErr w:type="spellEnd"/>
          </w:p>
        </w:tc>
        <w:tc>
          <w:tcPr>
            <w:tcW w:w="4940" w:type="dxa"/>
            <w:tcMar>
              <w:top w:w="20" w:type="dxa"/>
              <w:left w:w="20" w:type="dxa"/>
              <w:bottom w:w="0" w:type="dxa"/>
              <w:right w:w="20" w:type="dxa"/>
            </w:tcMar>
            <w:vAlign w:val="center"/>
          </w:tcPr>
          <w:p w14:paraId="0E8D7046"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w:t>
            </w:r>
          </w:p>
        </w:tc>
      </w:tr>
      <w:tr w:rsidR="00DF1A34" w14:paraId="1B5F31FF" w14:textId="77777777" w:rsidTr="004E6E25">
        <w:trPr>
          <w:trHeight w:val="260"/>
          <w:jc w:val="center"/>
        </w:trPr>
        <w:tc>
          <w:tcPr>
            <w:tcW w:w="3080" w:type="dxa"/>
            <w:tcMar>
              <w:top w:w="20" w:type="dxa"/>
              <w:left w:w="20" w:type="dxa"/>
              <w:bottom w:w="0" w:type="dxa"/>
              <w:right w:w="20" w:type="dxa"/>
            </w:tcMar>
            <w:vAlign w:val="center"/>
          </w:tcPr>
          <w:p w14:paraId="4E59005B"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PEX/PI</w:t>
            </w:r>
          </w:p>
        </w:tc>
        <w:tc>
          <w:tcPr>
            <w:tcW w:w="4940" w:type="dxa"/>
            <w:tcMar>
              <w:top w:w="20" w:type="dxa"/>
              <w:left w:w="20" w:type="dxa"/>
              <w:bottom w:w="0" w:type="dxa"/>
              <w:right w:w="20" w:type="dxa"/>
            </w:tcMar>
            <w:vAlign w:val="center"/>
          </w:tcPr>
          <w:p w14:paraId="476F7EC5"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w:t>
            </w:r>
          </w:p>
        </w:tc>
      </w:tr>
      <w:tr w:rsidR="00DF1A34" w14:paraId="130ED8B3" w14:textId="77777777" w:rsidTr="004E6E25">
        <w:trPr>
          <w:cnfStyle w:val="000000100000" w:firstRow="0" w:lastRow="0" w:firstColumn="0" w:lastColumn="0" w:oddVBand="0" w:evenVBand="0" w:oddHBand="1" w:evenHBand="0" w:firstRowFirstColumn="0" w:firstRowLastColumn="0" w:lastRowFirstColumn="0" w:lastRowLastColumn="0"/>
          <w:trHeight w:val="260"/>
          <w:jc w:val="center"/>
        </w:trPr>
        <w:tc>
          <w:tcPr>
            <w:tcW w:w="3080" w:type="dxa"/>
            <w:tcMar>
              <w:top w:w="20" w:type="dxa"/>
              <w:left w:w="20" w:type="dxa"/>
              <w:bottom w:w="0" w:type="dxa"/>
              <w:right w:w="20" w:type="dxa"/>
            </w:tcMar>
            <w:vAlign w:val="center"/>
          </w:tcPr>
          <w:p w14:paraId="2E0DC2BA"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Immunosuppressive</w:t>
            </w:r>
            <w:proofErr w:type="spellEnd"/>
            <w:r>
              <w:rPr>
                <w:rFonts w:ascii="Times" w:eastAsia="Times" w:hAnsi="Times" w:cs="Times"/>
                <w:sz w:val="21"/>
                <w:szCs w:val="21"/>
              </w:rPr>
              <w:t xml:space="preserve"> </w:t>
            </w:r>
            <w:proofErr w:type="spellStart"/>
            <w:r>
              <w:rPr>
                <w:rFonts w:ascii="Times" w:eastAsia="Times" w:hAnsi="Times" w:cs="Times"/>
                <w:sz w:val="21"/>
                <w:szCs w:val="21"/>
              </w:rPr>
              <w:t>Drugs</w:t>
            </w:r>
            <w:proofErr w:type="spellEnd"/>
          </w:p>
        </w:tc>
        <w:tc>
          <w:tcPr>
            <w:tcW w:w="4940" w:type="dxa"/>
            <w:tcMar>
              <w:top w:w="20" w:type="dxa"/>
              <w:left w:w="20" w:type="dxa"/>
              <w:bottom w:w="0" w:type="dxa"/>
              <w:right w:w="20" w:type="dxa"/>
            </w:tcMar>
            <w:vAlign w:val="center"/>
          </w:tcPr>
          <w:p w14:paraId="60F43129"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w:t>
            </w:r>
          </w:p>
        </w:tc>
      </w:tr>
      <w:tr w:rsidR="00DF1A34" w14:paraId="3B28495A" w14:textId="77777777" w:rsidTr="004E6E25">
        <w:trPr>
          <w:trHeight w:val="260"/>
          <w:jc w:val="center"/>
        </w:trPr>
        <w:tc>
          <w:tcPr>
            <w:tcW w:w="3080" w:type="dxa"/>
            <w:tcMar>
              <w:top w:w="20" w:type="dxa"/>
              <w:left w:w="20" w:type="dxa"/>
              <w:bottom w:w="0" w:type="dxa"/>
              <w:right w:w="20" w:type="dxa"/>
            </w:tcMar>
            <w:vAlign w:val="center"/>
          </w:tcPr>
          <w:p w14:paraId="3B9C0699"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Eculizumab</w:t>
            </w:r>
            <w:proofErr w:type="spellEnd"/>
          </w:p>
        </w:tc>
        <w:tc>
          <w:tcPr>
            <w:tcW w:w="4940" w:type="dxa"/>
            <w:tcMar>
              <w:top w:w="20" w:type="dxa"/>
              <w:left w:w="20" w:type="dxa"/>
              <w:bottom w:w="0" w:type="dxa"/>
              <w:right w:w="20" w:type="dxa"/>
            </w:tcMar>
            <w:vAlign w:val="center"/>
          </w:tcPr>
          <w:p w14:paraId="6BB5DE91"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w:t>
            </w:r>
          </w:p>
        </w:tc>
      </w:tr>
      <w:tr w:rsidR="00DF1A34" w14:paraId="51C5F237" w14:textId="77777777" w:rsidTr="004E6E25">
        <w:trPr>
          <w:cnfStyle w:val="000000100000" w:firstRow="0" w:lastRow="0" w:firstColumn="0" w:lastColumn="0" w:oddVBand="0" w:evenVBand="0" w:oddHBand="1" w:evenHBand="0" w:firstRowFirstColumn="0" w:firstRowLastColumn="0" w:lastRowFirstColumn="0" w:lastRowLastColumn="0"/>
          <w:trHeight w:val="260"/>
          <w:jc w:val="center"/>
        </w:trPr>
        <w:tc>
          <w:tcPr>
            <w:tcW w:w="3080" w:type="dxa"/>
            <w:tcMar>
              <w:top w:w="20" w:type="dxa"/>
              <w:left w:w="20" w:type="dxa"/>
              <w:bottom w:w="0" w:type="dxa"/>
              <w:right w:w="20" w:type="dxa"/>
            </w:tcMar>
            <w:vAlign w:val="center"/>
          </w:tcPr>
          <w:p w14:paraId="1392D219"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Dialysis</w:t>
            </w:r>
            <w:proofErr w:type="spellEnd"/>
          </w:p>
        </w:tc>
        <w:tc>
          <w:tcPr>
            <w:tcW w:w="4940" w:type="dxa"/>
            <w:tcMar>
              <w:top w:w="20" w:type="dxa"/>
              <w:left w:w="20" w:type="dxa"/>
              <w:bottom w:w="0" w:type="dxa"/>
              <w:right w:w="20" w:type="dxa"/>
            </w:tcMar>
            <w:vAlign w:val="center"/>
          </w:tcPr>
          <w:p w14:paraId="0292B8BE"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w:t>
            </w:r>
          </w:p>
        </w:tc>
      </w:tr>
      <w:tr w:rsidR="00DF1A34" w14:paraId="36C558EC" w14:textId="77777777" w:rsidTr="004E6E25">
        <w:trPr>
          <w:trHeight w:val="260"/>
          <w:jc w:val="center"/>
        </w:trPr>
        <w:tc>
          <w:tcPr>
            <w:tcW w:w="3080" w:type="dxa"/>
            <w:tcMar>
              <w:top w:w="20" w:type="dxa"/>
              <w:left w:w="20" w:type="dxa"/>
              <w:bottom w:w="0" w:type="dxa"/>
              <w:right w:w="20" w:type="dxa"/>
            </w:tcMar>
            <w:vAlign w:val="center"/>
          </w:tcPr>
          <w:p w14:paraId="31EA13BB"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 xml:space="preserve">Time on </w:t>
            </w:r>
            <w:proofErr w:type="spellStart"/>
            <w:r>
              <w:rPr>
                <w:rFonts w:ascii="Times" w:eastAsia="Times" w:hAnsi="Times" w:cs="Times"/>
                <w:sz w:val="21"/>
                <w:szCs w:val="21"/>
              </w:rPr>
              <w:t>Dialysis</w:t>
            </w:r>
            <w:proofErr w:type="spellEnd"/>
            <w:r>
              <w:rPr>
                <w:rFonts w:ascii="Times" w:eastAsia="Times" w:hAnsi="Times" w:cs="Times"/>
                <w:sz w:val="21"/>
                <w:szCs w:val="21"/>
              </w:rPr>
              <w:t xml:space="preserve"> (</w:t>
            </w:r>
            <w:proofErr w:type="spellStart"/>
            <w:r>
              <w:rPr>
                <w:rFonts w:ascii="Times" w:eastAsia="Times" w:hAnsi="Times" w:cs="Times"/>
                <w:sz w:val="21"/>
                <w:szCs w:val="21"/>
              </w:rPr>
              <w:t>months</w:t>
            </w:r>
            <w:proofErr w:type="spellEnd"/>
            <w:r>
              <w:rPr>
                <w:rFonts w:ascii="Times" w:eastAsia="Times" w:hAnsi="Times" w:cs="Times"/>
                <w:sz w:val="21"/>
                <w:szCs w:val="21"/>
              </w:rPr>
              <w:t>)</w:t>
            </w:r>
          </w:p>
        </w:tc>
        <w:tc>
          <w:tcPr>
            <w:tcW w:w="4940" w:type="dxa"/>
            <w:tcMar>
              <w:top w:w="20" w:type="dxa"/>
              <w:left w:w="20" w:type="dxa"/>
              <w:bottom w:w="0" w:type="dxa"/>
              <w:right w:w="20" w:type="dxa"/>
            </w:tcMar>
            <w:vAlign w:val="center"/>
          </w:tcPr>
          <w:p w14:paraId="7C03BF0D"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23</w:t>
            </w:r>
          </w:p>
        </w:tc>
      </w:tr>
      <w:tr w:rsidR="00DF1A34" w14:paraId="73B3033A" w14:textId="77777777" w:rsidTr="004E6E25">
        <w:trPr>
          <w:cnfStyle w:val="000000100000" w:firstRow="0" w:lastRow="0" w:firstColumn="0" w:lastColumn="0" w:oddVBand="0" w:evenVBand="0" w:oddHBand="1" w:evenHBand="0" w:firstRowFirstColumn="0" w:firstRowLastColumn="0" w:lastRowFirstColumn="0" w:lastRowLastColumn="0"/>
          <w:trHeight w:val="260"/>
          <w:jc w:val="center"/>
        </w:trPr>
        <w:tc>
          <w:tcPr>
            <w:tcW w:w="3080" w:type="dxa"/>
            <w:tcMar>
              <w:top w:w="20" w:type="dxa"/>
              <w:left w:w="20" w:type="dxa"/>
              <w:bottom w:w="0" w:type="dxa"/>
              <w:right w:w="20" w:type="dxa"/>
            </w:tcMar>
            <w:vAlign w:val="center"/>
          </w:tcPr>
          <w:p w14:paraId="4BF131AC"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Renal</w:t>
            </w:r>
            <w:proofErr w:type="spellEnd"/>
            <w:r>
              <w:rPr>
                <w:rFonts w:ascii="Times" w:eastAsia="Times" w:hAnsi="Times" w:cs="Times"/>
                <w:sz w:val="21"/>
                <w:szCs w:val="21"/>
              </w:rPr>
              <w:t xml:space="preserve"> </w:t>
            </w:r>
            <w:proofErr w:type="spellStart"/>
            <w:r>
              <w:rPr>
                <w:rFonts w:ascii="Times" w:eastAsia="Times" w:hAnsi="Times" w:cs="Times"/>
                <w:sz w:val="21"/>
                <w:szCs w:val="21"/>
              </w:rPr>
              <w:t>Transplantation</w:t>
            </w:r>
            <w:proofErr w:type="spellEnd"/>
          </w:p>
        </w:tc>
        <w:tc>
          <w:tcPr>
            <w:tcW w:w="4940" w:type="dxa"/>
            <w:tcMar>
              <w:top w:w="20" w:type="dxa"/>
              <w:left w:w="20" w:type="dxa"/>
              <w:bottom w:w="0" w:type="dxa"/>
              <w:right w:w="20" w:type="dxa"/>
            </w:tcMar>
            <w:vAlign w:val="center"/>
          </w:tcPr>
          <w:p w14:paraId="7F0B6873"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1</w:t>
            </w:r>
          </w:p>
        </w:tc>
      </w:tr>
      <w:tr w:rsidR="00DF1A34" w14:paraId="503EDC05" w14:textId="77777777" w:rsidTr="004E6E25">
        <w:trPr>
          <w:trHeight w:val="560"/>
          <w:jc w:val="center"/>
        </w:trPr>
        <w:tc>
          <w:tcPr>
            <w:tcW w:w="3080" w:type="dxa"/>
            <w:tcMar>
              <w:top w:w="20" w:type="dxa"/>
              <w:left w:w="20" w:type="dxa"/>
              <w:bottom w:w="0" w:type="dxa"/>
              <w:right w:w="20" w:type="dxa"/>
            </w:tcMar>
            <w:vAlign w:val="center"/>
          </w:tcPr>
          <w:p w14:paraId="358FC739"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 xml:space="preserve">CHM </w:t>
            </w:r>
            <w:proofErr w:type="spellStart"/>
            <w:r>
              <w:rPr>
                <w:rFonts w:ascii="Times" w:eastAsia="Times" w:hAnsi="Times" w:cs="Times"/>
                <w:sz w:val="21"/>
                <w:szCs w:val="21"/>
              </w:rPr>
              <w:t>mismatches</w:t>
            </w:r>
            <w:proofErr w:type="spellEnd"/>
            <w:r>
              <w:rPr>
                <w:rFonts w:ascii="Times" w:eastAsia="Times" w:hAnsi="Times" w:cs="Times"/>
                <w:sz w:val="21"/>
                <w:szCs w:val="21"/>
              </w:rPr>
              <w:t xml:space="preserve"> class1</w:t>
            </w:r>
          </w:p>
        </w:tc>
        <w:tc>
          <w:tcPr>
            <w:tcW w:w="4940" w:type="dxa"/>
            <w:tcMar>
              <w:top w:w="20" w:type="dxa"/>
              <w:left w:w="20" w:type="dxa"/>
              <w:bottom w:w="0" w:type="dxa"/>
              <w:right w:w="20" w:type="dxa"/>
            </w:tcMar>
            <w:vAlign w:val="center"/>
          </w:tcPr>
          <w:p w14:paraId="67DAB8FC"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1</w:t>
            </w:r>
          </w:p>
          <w:p w14:paraId="4CF78F3C"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(A11-B18)</w:t>
            </w:r>
          </w:p>
        </w:tc>
      </w:tr>
      <w:tr w:rsidR="00DF1A34" w14:paraId="56C28061" w14:textId="77777777" w:rsidTr="004E6E25">
        <w:trPr>
          <w:cnfStyle w:val="000000100000" w:firstRow="0" w:lastRow="0" w:firstColumn="0" w:lastColumn="0" w:oddVBand="0" w:evenVBand="0" w:oddHBand="1" w:evenHBand="0" w:firstRowFirstColumn="0" w:firstRowLastColumn="0" w:lastRowFirstColumn="0" w:lastRowLastColumn="0"/>
          <w:trHeight w:val="560"/>
          <w:jc w:val="center"/>
        </w:trPr>
        <w:tc>
          <w:tcPr>
            <w:tcW w:w="3080" w:type="dxa"/>
            <w:tcMar>
              <w:top w:w="20" w:type="dxa"/>
              <w:left w:w="20" w:type="dxa"/>
              <w:bottom w:w="0" w:type="dxa"/>
              <w:right w:w="20" w:type="dxa"/>
            </w:tcMar>
            <w:vAlign w:val="center"/>
          </w:tcPr>
          <w:p w14:paraId="168B82E3"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 xml:space="preserve">CHM </w:t>
            </w:r>
            <w:proofErr w:type="spellStart"/>
            <w:r>
              <w:rPr>
                <w:rFonts w:ascii="Times" w:eastAsia="Times" w:hAnsi="Times" w:cs="Times"/>
                <w:sz w:val="21"/>
                <w:szCs w:val="21"/>
              </w:rPr>
              <w:t>mismatches</w:t>
            </w:r>
            <w:proofErr w:type="spellEnd"/>
            <w:r>
              <w:rPr>
                <w:rFonts w:ascii="Times" w:eastAsia="Times" w:hAnsi="Times" w:cs="Times"/>
                <w:sz w:val="21"/>
                <w:szCs w:val="21"/>
              </w:rPr>
              <w:t xml:space="preserve"> class2</w:t>
            </w:r>
          </w:p>
        </w:tc>
        <w:tc>
          <w:tcPr>
            <w:tcW w:w="4940" w:type="dxa"/>
            <w:tcMar>
              <w:top w:w="20" w:type="dxa"/>
              <w:left w:w="20" w:type="dxa"/>
              <w:bottom w:w="0" w:type="dxa"/>
              <w:right w:w="20" w:type="dxa"/>
            </w:tcMar>
            <w:vAlign w:val="center"/>
          </w:tcPr>
          <w:p w14:paraId="0128F47E"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0</w:t>
            </w:r>
          </w:p>
          <w:p w14:paraId="1B3837D4"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 </w:t>
            </w:r>
          </w:p>
        </w:tc>
      </w:tr>
      <w:tr w:rsidR="00DF1A34" w14:paraId="618ADE37" w14:textId="77777777" w:rsidTr="004E6E25">
        <w:trPr>
          <w:trHeight w:val="320"/>
          <w:jc w:val="center"/>
        </w:trPr>
        <w:tc>
          <w:tcPr>
            <w:tcW w:w="3080" w:type="dxa"/>
            <w:tcMar>
              <w:top w:w="20" w:type="dxa"/>
              <w:left w:w="20" w:type="dxa"/>
              <w:bottom w:w="0" w:type="dxa"/>
              <w:right w:w="20" w:type="dxa"/>
            </w:tcMar>
            <w:vAlign w:val="center"/>
          </w:tcPr>
          <w:p w14:paraId="7EC3EFB3" w14:textId="77777777" w:rsidR="00DF1A34" w:rsidRDefault="003C6E26">
            <w:pPr>
              <w:widowControl w:val="0"/>
              <w:spacing w:line="276" w:lineRule="auto"/>
              <w:jc w:val="center"/>
              <w:rPr>
                <w:rFonts w:ascii="Times" w:eastAsia="Times" w:hAnsi="Times" w:cs="Times"/>
                <w:sz w:val="21"/>
                <w:szCs w:val="21"/>
              </w:rPr>
            </w:pPr>
            <w:r>
              <w:rPr>
                <w:rFonts w:ascii="Times" w:eastAsia="Times" w:hAnsi="Times" w:cs="Times"/>
                <w:sz w:val="21"/>
                <w:szCs w:val="21"/>
              </w:rPr>
              <w:t xml:space="preserve">PRA </w:t>
            </w:r>
            <w:proofErr w:type="spellStart"/>
            <w:r>
              <w:rPr>
                <w:rFonts w:ascii="Times" w:eastAsia="Times" w:hAnsi="Times" w:cs="Times"/>
                <w:sz w:val="21"/>
                <w:szCs w:val="21"/>
              </w:rPr>
              <w:t>before</w:t>
            </w:r>
            <w:proofErr w:type="spellEnd"/>
            <w:r>
              <w:rPr>
                <w:rFonts w:ascii="Times" w:eastAsia="Times" w:hAnsi="Times" w:cs="Times"/>
                <w:sz w:val="21"/>
                <w:szCs w:val="21"/>
              </w:rPr>
              <w:t xml:space="preserve"> </w:t>
            </w:r>
            <w:proofErr w:type="spellStart"/>
            <w:r>
              <w:rPr>
                <w:rFonts w:ascii="Times" w:eastAsia="Times" w:hAnsi="Times" w:cs="Times"/>
                <w:sz w:val="21"/>
                <w:szCs w:val="21"/>
              </w:rPr>
              <w:t>Transplantation</w:t>
            </w:r>
            <w:proofErr w:type="spellEnd"/>
          </w:p>
        </w:tc>
        <w:tc>
          <w:tcPr>
            <w:tcW w:w="4940" w:type="dxa"/>
            <w:tcMar>
              <w:top w:w="20" w:type="dxa"/>
              <w:left w:w="20" w:type="dxa"/>
              <w:bottom w:w="0" w:type="dxa"/>
              <w:right w:w="20" w:type="dxa"/>
            </w:tcMar>
            <w:vAlign w:val="center"/>
          </w:tcPr>
          <w:p w14:paraId="3DCFA21C"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 xml:space="preserve">   0%</w:t>
            </w:r>
          </w:p>
        </w:tc>
      </w:tr>
      <w:tr w:rsidR="00DF1A34" w14:paraId="230E7C93" w14:textId="77777777" w:rsidTr="004E6E25">
        <w:trPr>
          <w:cnfStyle w:val="000000100000" w:firstRow="0" w:lastRow="0" w:firstColumn="0" w:lastColumn="0" w:oddVBand="0" w:evenVBand="0" w:oddHBand="1" w:evenHBand="0" w:firstRowFirstColumn="0" w:firstRowLastColumn="0" w:lastRowFirstColumn="0" w:lastRowLastColumn="0"/>
          <w:trHeight w:val="320"/>
          <w:jc w:val="center"/>
        </w:trPr>
        <w:tc>
          <w:tcPr>
            <w:tcW w:w="3080" w:type="dxa"/>
            <w:tcMar>
              <w:top w:w="20" w:type="dxa"/>
              <w:left w:w="20" w:type="dxa"/>
              <w:bottom w:w="0" w:type="dxa"/>
              <w:right w:w="20" w:type="dxa"/>
            </w:tcMar>
            <w:vAlign w:val="center"/>
          </w:tcPr>
          <w:p w14:paraId="277BE037" w14:textId="77777777" w:rsidR="00DF1A34" w:rsidRDefault="003C6E26">
            <w:pPr>
              <w:widowControl w:val="0"/>
              <w:spacing w:line="276" w:lineRule="auto"/>
              <w:jc w:val="center"/>
              <w:rPr>
                <w:rFonts w:ascii="Times" w:eastAsia="Times" w:hAnsi="Times" w:cs="Times"/>
                <w:sz w:val="21"/>
                <w:szCs w:val="21"/>
              </w:rPr>
            </w:pPr>
            <w:r>
              <w:rPr>
                <w:rFonts w:ascii="Times" w:eastAsia="Times" w:hAnsi="Times" w:cs="Times"/>
                <w:sz w:val="21"/>
                <w:szCs w:val="21"/>
              </w:rPr>
              <w:t>DSA</w:t>
            </w:r>
          </w:p>
        </w:tc>
        <w:tc>
          <w:tcPr>
            <w:tcW w:w="4940" w:type="dxa"/>
            <w:tcMar>
              <w:top w:w="20" w:type="dxa"/>
              <w:left w:w="20" w:type="dxa"/>
              <w:bottom w:w="0" w:type="dxa"/>
              <w:right w:w="20" w:type="dxa"/>
            </w:tcMar>
            <w:vAlign w:val="center"/>
          </w:tcPr>
          <w:p w14:paraId="56555799"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0</w:t>
            </w:r>
          </w:p>
        </w:tc>
      </w:tr>
      <w:tr w:rsidR="00DF1A34" w14:paraId="7066DE9F" w14:textId="77777777" w:rsidTr="004E6E25">
        <w:trPr>
          <w:trHeight w:val="260"/>
          <w:jc w:val="center"/>
        </w:trPr>
        <w:tc>
          <w:tcPr>
            <w:tcW w:w="3080" w:type="dxa"/>
            <w:tcMar>
              <w:top w:w="20" w:type="dxa"/>
              <w:left w:w="20" w:type="dxa"/>
              <w:bottom w:w="0" w:type="dxa"/>
              <w:right w:w="20" w:type="dxa"/>
            </w:tcMar>
            <w:vAlign w:val="center"/>
          </w:tcPr>
          <w:p w14:paraId="7DCDCDC5" w14:textId="77777777" w:rsidR="00DF1A34" w:rsidRDefault="003C6E26">
            <w:pPr>
              <w:widowControl w:val="0"/>
              <w:spacing w:line="289" w:lineRule="auto"/>
              <w:jc w:val="center"/>
              <w:rPr>
                <w:rFonts w:ascii="Times" w:eastAsia="Times" w:hAnsi="Times" w:cs="Times"/>
                <w:sz w:val="21"/>
                <w:szCs w:val="21"/>
              </w:rPr>
            </w:pPr>
            <w:proofErr w:type="spellStart"/>
            <w:r>
              <w:rPr>
                <w:rFonts w:ascii="Times" w:eastAsia="Times" w:hAnsi="Times" w:cs="Times"/>
                <w:sz w:val="21"/>
                <w:szCs w:val="21"/>
              </w:rPr>
              <w:t>Recurrence</w:t>
            </w:r>
            <w:proofErr w:type="spellEnd"/>
          </w:p>
        </w:tc>
        <w:tc>
          <w:tcPr>
            <w:tcW w:w="4940" w:type="dxa"/>
            <w:tcMar>
              <w:top w:w="20" w:type="dxa"/>
              <w:left w:w="20" w:type="dxa"/>
              <w:bottom w:w="0" w:type="dxa"/>
              <w:right w:w="20" w:type="dxa"/>
            </w:tcMar>
            <w:vAlign w:val="center"/>
          </w:tcPr>
          <w:p w14:paraId="5B5BEB83" w14:textId="77777777" w:rsidR="00DF1A34" w:rsidRDefault="003C6E26">
            <w:pPr>
              <w:widowControl w:val="0"/>
              <w:spacing w:line="289" w:lineRule="auto"/>
              <w:jc w:val="center"/>
              <w:rPr>
                <w:rFonts w:ascii="Times" w:eastAsia="Times" w:hAnsi="Times" w:cs="Times"/>
                <w:sz w:val="21"/>
                <w:szCs w:val="21"/>
              </w:rPr>
            </w:pPr>
            <w:r>
              <w:rPr>
                <w:rFonts w:ascii="Times" w:eastAsia="Times" w:hAnsi="Times" w:cs="Times"/>
                <w:sz w:val="21"/>
                <w:szCs w:val="21"/>
              </w:rPr>
              <w:t>-</w:t>
            </w:r>
          </w:p>
        </w:tc>
      </w:tr>
    </w:tbl>
    <w:p w14:paraId="35777864" w14:textId="77777777" w:rsidR="00DF1A34" w:rsidRPr="00683FC4" w:rsidRDefault="003C6E26">
      <w:pPr>
        <w:rPr>
          <w:lang w:val="en-US"/>
        </w:rPr>
      </w:pPr>
      <w:r w:rsidRPr="00683FC4">
        <w:rPr>
          <w:rFonts w:ascii="Calibri" w:eastAsia="Calibri" w:hAnsi="Calibri" w:cs="Calibri"/>
          <w:color w:val="000000"/>
          <w:sz w:val="22"/>
          <w:szCs w:val="22"/>
          <w:lang w:val="en-US"/>
        </w:rPr>
        <w:t xml:space="preserve">M= male; </w:t>
      </w:r>
      <w:proofErr w:type="spellStart"/>
      <w:r w:rsidRPr="00683FC4">
        <w:rPr>
          <w:rFonts w:ascii="Calibri" w:eastAsia="Calibri" w:hAnsi="Calibri" w:cs="Calibri"/>
          <w:color w:val="000000"/>
          <w:sz w:val="22"/>
          <w:szCs w:val="22"/>
          <w:lang w:val="en-US"/>
        </w:rPr>
        <w:t>aHUS</w:t>
      </w:r>
      <w:proofErr w:type="spellEnd"/>
      <w:r w:rsidRPr="00683FC4">
        <w:rPr>
          <w:rFonts w:ascii="Calibri" w:eastAsia="Calibri" w:hAnsi="Calibri" w:cs="Calibri"/>
          <w:color w:val="000000"/>
          <w:sz w:val="22"/>
          <w:szCs w:val="22"/>
          <w:lang w:val="en-US"/>
        </w:rPr>
        <w:t xml:space="preserve">= atypical Hemolytic Uremic Syndrome; </w:t>
      </w:r>
      <w:proofErr w:type="spellStart"/>
      <w:r w:rsidRPr="00683FC4">
        <w:rPr>
          <w:rFonts w:ascii="Calibri" w:eastAsia="Calibri" w:hAnsi="Calibri" w:cs="Calibri"/>
          <w:color w:val="000000"/>
          <w:sz w:val="22"/>
          <w:szCs w:val="22"/>
          <w:lang w:val="en-US"/>
        </w:rPr>
        <w:t>sCr</w:t>
      </w:r>
      <w:proofErr w:type="spellEnd"/>
      <w:r w:rsidRPr="00683FC4">
        <w:rPr>
          <w:rFonts w:ascii="Calibri" w:eastAsia="Calibri" w:hAnsi="Calibri" w:cs="Calibri"/>
          <w:color w:val="000000"/>
          <w:sz w:val="22"/>
          <w:szCs w:val="22"/>
          <w:lang w:val="en-US"/>
        </w:rPr>
        <w:t>= creatinine; PEX=plasma exchange; PI= plasma infusion; PRA=panel reactive antibody; DSA=</w:t>
      </w:r>
      <w:r w:rsidRPr="00683FC4">
        <w:rPr>
          <w:rFonts w:ascii="Arial" w:eastAsia="Arial" w:hAnsi="Arial" w:cs="Arial"/>
          <w:color w:val="202122"/>
          <w:sz w:val="21"/>
          <w:szCs w:val="21"/>
          <w:highlight w:val="white"/>
          <w:lang w:val="en-US"/>
        </w:rPr>
        <w:t xml:space="preserve"> Donor-specific antibodies</w:t>
      </w:r>
    </w:p>
    <w:p w14:paraId="43526D45" w14:textId="77777777" w:rsidR="00DF1A34" w:rsidRPr="00683FC4" w:rsidRDefault="003C6E26">
      <w:pPr>
        <w:pBdr>
          <w:top w:val="nil"/>
          <w:left w:val="nil"/>
          <w:bottom w:val="nil"/>
          <w:right w:val="nil"/>
          <w:between w:val="nil"/>
        </w:pBdr>
        <w:rPr>
          <w:rFonts w:ascii="Calibri" w:eastAsia="Calibri" w:hAnsi="Calibri" w:cs="Calibri"/>
          <w:color w:val="000000"/>
          <w:sz w:val="22"/>
          <w:szCs w:val="22"/>
          <w:lang w:val="en-US"/>
        </w:rPr>
      </w:pPr>
      <w:r w:rsidRPr="00683FC4">
        <w:rPr>
          <w:rFonts w:ascii="Calibri" w:eastAsia="Calibri" w:hAnsi="Calibri" w:cs="Calibri"/>
          <w:color w:val="000000"/>
          <w:sz w:val="22"/>
          <w:szCs w:val="22"/>
          <w:lang w:val="en-US"/>
        </w:rPr>
        <w:t>+ indicates yes; and – indicates no.</w:t>
      </w:r>
    </w:p>
    <w:p w14:paraId="4C36BAD8" w14:textId="77777777" w:rsidR="00DF1A34" w:rsidRPr="00683FC4" w:rsidRDefault="00DF1A34">
      <w:pPr>
        <w:rPr>
          <w:lang w:val="en-US"/>
        </w:rPr>
      </w:pPr>
    </w:p>
    <w:p w14:paraId="6AAAD4F2" w14:textId="77777777" w:rsidR="00DF1A34" w:rsidRPr="00683FC4" w:rsidRDefault="003C6E26">
      <w:pPr>
        <w:jc w:val="center"/>
        <w:rPr>
          <w:b/>
          <w:lang w:val="en-US"/>
        </w:rPr>
      </w:pPr>
      <w:r w:rsidRPr="00683FC4">
        <w:rPr>
          <w:b/>
          <w:lang w:val="en-US"/>
        </w:rPr>
        <w:lastRenderedPageBreak/>
        <w:t xml:space="preserve">Table </w:t>
      </w:r>
      <w:r w:rsidRPr="00683FC4">
        <w:rPr>
          <w:b/>
          <w:lang w:val="en-US"/>
        </w:rPr>
        <w:tab/>
      </w:r>
      <w:proofErr w:type="gramStart"/>
      <w:r w:rsidRPr="00683FC4">
        <w:rPr>
          <w:b/>
          <w:lang w:val="en-US"/>
        </w:rPr>
        <w:t>2</w:t>
      </w:r>
      <w:proofErr w:type="gramEnd"/>
      <w:r w:rsidRPr="00683FC4">
        <w:rPr>
          <w:b/>
          <w:lang w:val="en-US"/>
        </w:rPr>
        <w:t>. Patient’s biological parameters during the 5 years of post-transplant follow-up</w:t>
      </w:r>
    </w:p>
    <w:p w14:paraId="36B83802" w14:textId="77777777" w:rsidR="00DF1A34" w:rsidRPr="00683FC4" w:rsidRDefault="00DF1A34">
      <w:pPr>
        <w:jc w:val="center"/>
        <w:rPr>
          <w:color w:val="000000"/>
          <w:highlight w:val="white"/>
          <w:lang w:val="en-US"/>
        </w:rPr>
      </w:pPr>
    </w:p>
    <w:p w14:paraId="54497460" w14:textId="77777777" w:rsidR="00DF1A34" w:rsidRPr="00683FC4" w:rsidRDefault="00DF1A34">
      <w:pPr>
        <w:widowControl w:val="0"/>
        <w:spacing w:line="276" w:lineRule="auto"/>
        <w:rPr>
          <w:rFonts w:ascii="Arial" w:eastAsia="Arial" w:hAnsi="Arial" w:cs="Arial"/>
          <w:sz w:val="22"/>
          <w:szCs w:val="22"/>
          <w:lang w:val="en-US"/>
        </w:rPr>
      </w:pPr>
    </w:p>
    <w:tbl>
      <w:tblPr>
        <w:tblStyle w:val="a0"/>
        <w:tblW w:w="10880" w:type="dxa"/>
        <w:tblInd w:w="-613" w:type="dxa"/>
        <w:tblBorders>
          <w:top w:val="single" w:sz="16" w:space="0" w:color="000000"/>
          <w:left w:val="single" w:sz="8" w:space="0" w:color="000000"/>
          <w:bottom w:val="single" w:sz="16"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1060"/>
        <w:gridCol w:w="1060"/>
        <w:gridCol w:w="1060"/>
        <w:gridCol w:w="1060"/>
        <w:gridCol w:w="1060"/>
        <w:gridCol w:w="1060"/>
        <w:gridCol w:w="1060"/>
        <w:gridCol w:w="1060"/>
        <w:gridCol w:w="1060"/>
      </w:tblGrid>
      <w:tr w:rsidR="00DF1A34" w14:paraId="7BB29E28" w14:textId="77777777" w:rsidTr="00683FC4">
        <w:trPr>
          <w:trHeight w:val="540"/>
        </w:trPr>
        <w:tc>
          <w:tcPr>
            <w:tcW w:w="1340" w:type="dxa"/>
            <w:tcBorders>
              <w:bottom w:val="dotted" w:sz="8" w:space="0" w:color="000000"/>
            </w:tcBorders>
            <w:tcMar>
              <w:top w:w="0" w:type="dxa"/>
              <w:left w:w="40" w:type="dxa"/>
              <w:bottom w:w="0" w:type="dxa"/>
              <w:right w:w="40" w:type="dxa"/>
            </w:tcMar>
            <w:vAlign w:val="center"/>
          </w:tcPr>
          <w:p w14:paraId="210263F0" w14:textId="77777777" w:rsidR="00DF1A34" w:rsidRPr="00683FC4" w:rsidRDefault="00DF1A34">
            <w:pPr>
              <w:widowControl w:val="0"/>
              <w:jc w:val="center"/>
              <w:rPr>
                <w:rFonts w:ascii="Times" w:eastAsia="Times" w:hAnsi="Times" w:cs="Times"/>
                <w:sz w:val="18"/>
                <w:szCs w:val="18"/>
                <w:lang w:val="en-US"/>
              </w:rPr>
            </w:pPr>
          </w:p>
        </w:tc>
        <w:tc>
          <w:tcPr>
            <w:tcW w:w="1060" w:type="dxa"/>
            <w:tcBorders>
              <w:bottom w:val="dotted" w:sz="8" w:space="0" w:color="000000"/>
            </w:tcBorders>
            <w:tcMar>
              <w:top w:w="0" w:type="dxa"/>
              <w:left w:w="40" w:type="dxa"/>
              <w:bottom w:w="0" w:type="dxa"/>
              <w:right w:w="40" w:type="dxa"/>
            </w:tcMar>
            <w:vAlign w:val="center"/>
          </w:tcPr>
          <w:p w14:paraId="73C0B897" w14:textId="77777777" w:rsidR="00DF1A34" w:rsidRDefault="003C6E26">
            <w:pPr>
              <w:widowControl w:val="0"/>
              <w:jc w:val="center"/>
              <w:rPr>
                <w:rFonts w:ascii="Times" w:eastAsia="Times" w:hAnsi="Times" w:cs="Times"/>
                <w:b/>
                <w:sz w:val="18"/>
                <w:szCs w:val="18"/>
              </w:rPr>
            </w:pPr>
            <w:r>
              <w:rPr>
                <w:b/>
                <w:sz w:val="18"/>
                <w:szCs w:val="18"/>
              </w:rPr>
              <w:t>26/05/2022</w:t>
            </w:r>
          </w:p>
        </w:tc>
        <w:tc>
          <w:tcPr>
            <w:tcW w:w="1060" w:type="dxa"/>
            <w:tcBorders>
              <w:bottom w:val="dotted" w:sz="8" w:space="0" w:color="000000"/>
            </w:tcBorders>
            <w:tcMar>
              <w:top w:w="0" w:type="dxa"/>
              <w:left w:w="40" w:type="dxa"/>
              <w:bottom w:w="0" w:type="dxa"/>
              <w:right w:w="40" w:type="dxa"/>
            </w:tcMar>
            <w:vAlign w:val="center"/>
          </w:tcPr>
          <w:p w14:paraId="437660DB" w14:textId="77777777" w:rsidR="00DF1A34" w:rsidRDefault="003C6E26">
            <w:pPr>
              <w:widowControl w:val="0"/>
              <w:jc w:val="center"/>
              <w:rPr>
                <w:rFonts w:ascii="Times" w:eastAsia="Times" w:hAnsi="Times" w:cs="Times"/>
                <w:b/>
                <w:sz w:val="18"/>
                <w:szCs w:val="18"/>
              </w:rPr>
            </w:pPr>
            <w:r>
              <w:rPr>
                <w:b/>
                <w:sz w:val="18"/>
                <w:szCs w:val="18"/>
              </w:rPr>
              <w:t>22/02/2021</w:t>
            </w:r>
          </w:p>
        </w:tc>
        <w:tc>
          <w:tcPr>
            <w:tcW w:w="1060" w:type="dxa"/>
            <w:tcBorders>
              <w:bottom w:val="dotted" w:sz="8" w:space="0" w:color="000000"/>
            </w:tcBorders>
            <w:tcMar>
              <w:top w:w="0" w:type="dxa"/>
              <w:left w:w="40" w:type="dxa"/>
              <w:bottom w:w="0" w:type="dxa"/>
              <w:right w:w="40" w:type="dxa"/>
            </w:tcMar>
            <w:vAlign w:val="center"/>
          </w:tcPr>
          <w:p w14:paraId="2F6E8FE5" w14:textId="77777777" w:rsidR="00DF1A34" w:rsidRDefault="003C6E26">
            <w:pPr>
              <w:widowControl w:val="0"/>
              <w:jc w:val="center"/>
              <w:rPr>
                <w:rFonts w:ascii="Times" w:eastAsia="Times" w:hAnsi="Times" w:cs="Times"/>
                <w:b/>
                <w:sz w:val="18"/>
                <w:szCs w:val="18"/>
              </w:rPr>
            </w:pPr>
            <w:r>
              <w:rPr>
                <w:b/>
                <w:sz w:val="18"/>
                <w:szCs w:val="18"/>
              </w:rPr>
              <w:t>23/10/2020</w:t>
            </w:r>
          </w:p>
        </w:tc>
        <w:tc>
          <w:tcPr>
            <w:tcW w:w="1060" w:type="dxa"/>
            <w:tcBorders>
              <w:bottom w:val="dotted" w:sz="8" w:space="0" w:color="000000"/>
            </w:tcBorders>
            <w:tcMar>
              <w:top w:w="0" w:type="dxa"/>
              <w:left w:w="40" w:type="dxa"/>
              <w:bottom w:w="0" w:type="dxa"/>
              <w:right w:w="40" w:type="dxa"/>
            </w:tcMar>
            <w:vAlign w:val="center"/>
          </w:tcPr>
          <w:p w14:paraId="3F9311F8" w14:textId="77777777" w:rsidR="00DF1A34" w:rsidRDefault="003C6E26">
            <w:pPr>
              <w:widowControl w:val="0"/>
              <w:jc w:val="center"/>
              <w:rPr>
                <w:rFonts w:ascii="Times" w:eastAsia="Times" w:hAnsi="Times" w:cs="Times"/>
                <w:b/>
                <w:sz w:val="18"/>
                <w:szCs w:val="18"/>
              </w:rPr>
            </w:pPr>
            <w:r>
              <w:rPr>
                <w:b/>
                <w:sz w:val="18"/>
                <w:szCs w:val="18"/>
              </w:rPr>
              <w:t>05/03/2019</w:t>
            </w:r>
          </w:p>
        </w:tc>
        <w:tc>
          <w:tcPr>
            <w:tcW w:w="1060" w:type="dxa"/>
            <w:tcBorders>
              <w:bottom w:val="dotted" w:sz="8" w:space="0" w:color="000000"/>
            </w:tcBorders>
            <w:tcMar>
              <w:top w:w="0" w:type="dxa"/>
              <w:left w:w="40" w:type="dxa"/>
              <w:bottom w:w="0" w:type="dxa"/>
              <w:right w:w="40" w:type="dxa"/>
            </w:tcMar>
            <w:vAlign w:val="center"/>
          </w:tcPr>
          <w:p w14:paraId="08251F67" w14:textId="77777777" w:rsidR="00DF1A34" w:rsidRDefault="003C6E26">
            <w:pPr>
              <w:widowControl w:val="0"/>
              <w:jc w:val="center"/>
              <w:rPr>
                <w:rFonts w:ascii="Times" w:eastAsia="Times" w:hAnsi="Times" w:cs="Times"/>
                <w:b/>
                <w:sz w:val="18"/>
                <w:szCs w:val="18"/>
              </w:rPr>
            </w:pPr>
            <w:r>
              <w:rPr>
                <w:b/>
                <w:sz w:val="18"/>
                <w:szCs w:val="18"/>
              </w:rPr>
              <w:t>05/02/2018</w:t>
            </w:r>
          </w:p>
        </w:tc>
        <w:tc>
          <w:tcPr>
            <w:tcW w:w="1060" w:type="dxa"/>
            <w:tcBorders>
              <w:bottom w:val="dotted" w:sz="8" w:space="0" w:color="000000"/>
            </w:tcBorders>
            <w:tcMar>
              <w:top w:w="0" w:type="dxa"/>
              <w:left w:w="40" w:type="dxa"/>
              <w:bottom w:w="0" w:type="dxa"/>
              <w:right w:w="40" w:type="dxa"/>
            </w:tcMar>
            <w:vAlign w:val="center"/>
          </w:tcPr>
          <w:p w14:paraId="133270C3" w14:textId="77777777" w:rsidR="00DF1A34" w:rsidRDefault="003C6E26">
            <w:pPr>
              <w:widowControl w:val="0"/>
              <w:jc w:val="center"/>
              <w:rPr>
                <w:rFonts w:ascii="Times" w:eastAsia="Times" w:hAnsi="Times" w:cs="Times"/>
                <w:b/>
                <w:sz w:val="18"/>
                <w:szCs w:val="18"/>
              </w:rPr>
            </w:pPr>
            <w:r>
              <w:rPr>
                <w:b/>
                <w:sz w:val="18"/>
                <w:szCs w:val="18"/>
              </w:rPr>
              <w:t>11/09/2017</w:t>
            </w:r>
          </w:p>
        </w:tc>
        <w:tc>
          <w:tcPr>
            <w:tcW w:w="1060" w:type="dxa"/>
            <w:tcBorders>
              <w:bottom w:val="dotted" w:sz="8" w:space="0" w:color="000000"/>
            </w:tcBorders>
            <w:tcMar>
              <w:top w:w="0" w:type="dxa"/>
              <w:left w:w="40" w:type="dxa"/>
              <w:bottom w:w="0" w:type="dxa"/>
              <w:right w:w="40" w:type="dxa"/>
            </w:tcMar>
            <w:vAlign w:val="center"/>
          </w:tcPr>
          <w:p w14:paraId="111CA11D" w14:textId="77777777" w:rsidR="00DF1A34" w:rsidRDefault="003C6E26">
            <w:pPr>
              <w:widowControl w:val="0"/>
              <w:jc w:val="center"/>
              <w:rPr>
                <w:rFonts w:ascii="Times" w:eastAsia="Times" w:hAnsi="Times" w:cs="Times"/>
                <w:b/>
                <w:sz w:val="18"/>
                <w:szCs w:val="18"/>
              </w:rPr>
            </w:pPr>
            <w:r>
              <w:rPr>
                <w:b/>
                <w:sz w:val="18"/>
                <w:szCs w:val="18"/>
              </w:rPr>
              <w:t>20/07/2016</w:t>
            </w:r>
          </w:p>
        </w:tc>
        <w:tc>
          <w:tcPr>
            <w:tcW w:w="1060" w:type="dxa"/>
            <w:tcBorders>
              <w:bottom w:val="dotted" w:sz="8" w:space="0" w:color="000000"/>
            </w:tcBorders>
            <w:tcMar>
              <w:top w:w="0" w:type="dxa"/>
              <w:left w:w="40" w:type="dxa"/>
              <w:bottom w:w="0" w:type="dxa"/>
              <w:right w:w="40" w:type="dxa"/>
            </w:tcMar>
            <w:vAlign w:val="center"/>
          </w:tcPr>
          <w:p w14:paraId="125D98D3" w14:textId="77777777" w:rsidR="00DF1A34" w:rsidRDefault="003C6E26">
            <w:pPr>
              <w:widowControl w:val="0"/>
              <w:jc w:val="center"/>
              <w:rPr>
                <w:rFonts w:ascii="Times" w:eastAsia="Times" w:hAnsi="Times" w:cs="Times"/>
                <w:b/>
                <w:sz w:val="18"/>
                <w:szCs w:val="18"/>
              </w:rPr>
            </w:pPr>
            <w:r>
              <w:rPr>
                <w:b/>
                <w:sz w:val="18"/>
                <w:szCs w:val="18"/>
              </w:rPr>
              <w:t>09/11/2015</w:t>
            </w:r>
          </w:p>
        </w:tc>
        <w:tc>
          <w:tcPr>
            <w:tcW w:w="1060" w:type="dxa"/>
            <w:tcBorders>
              <w:bottom w:val="dotted" w:sz="8" w:space="0" w:color="000000"/>
            </w:tcBorders>
            <w:tcMar>
              <w:top w:w="0" w:type="dxa"/>
              <w:left w:w="40" w:type="dxa"/>
              <w:bottom w:w="0" w:type="dxa"/>
              <w:right w:w="40" w:type="dxa"/>
            </w:tcMar>
            <w:vAlign w:val="center"/>
          </w:tcPr>
          <w:p w14:paraId="2BBC8E7A" w14:textId="77777777" w:rsidR="00DF1A34" w:rsidRDefault="003C6E26">
            <w:pPr>
              <w:widowControl w:val="0"/>
              <w:jc w:val="center"/>
              <w:rPr>
                <w:rFonts w:ascii="Times" w:eastAsia="Times" w:hAnsi="Times" w:cs="Times"/>
                <w:b/>
                <w:sz w:val="18"/>
                <w:szCs w:val="18"/>
              </w:rPr>
            </w:pPr>
            <w:r>
              <w:rPr>
                <w:b/>
                <w:sz w:val="18"/>
                <w:szCs w:val="18"/>
              </w:rPr>
              <w:t>08/06/2015</w:t>
            </w:r>
          </w:p>
        </w:tc>
      </w:tr>
      <w:tr w:rsidR="00DF1A34" w14:paraId="0699E8CE" w14:textId="77777777" w:rsidTr="00683FC4">
        <w:trPr>
          <w:trHeight w:val="640"/>
        </w:trPr>
        <w:tc>
          <w:tcPr>
            <w:tcW w:w="1340" w:type="dxa"/>
            <w:tcBorders>
              <w:top w:val="dotted" w:sz="8" w:space="0" w:color="000000"/>
            </w:tcBorders>
            <w:shd w:val="clear" w:color="auto" w:fill="D8D8D8"/>
            <w:tcMar>
              <w:top w:w="0" w:type="dxa"/>
              <w:left w:w="40" w:type="dxa"/>
              <w:bottom w:w="0" w:type="dxa"/>
              <w:right w:w="40" w:type="dxa"/>
            </w:tcMar>
            <w:vAlign w:val="center"/>
          </w:tcPr>
          <w:p w14:paraId="0E6A5B72" w14:textId="77777777" w:rsidR="00DF1A34" w:rsidRDefault="003C6E26">
            <w:pPr>
              <w:widowControl w:val="0"/>
              <w:jc w:val="center"/>
              <w:rPr>
                <w:rFonts w:ascii="Times" w:eastAsia="Times" w:hAnsi="Times" w:cs="Times"/>
                <w:b/>
                <w:sz w:val="18"/>
                <w:szCs w:val="18"/>
              </w:rPr>
            </w:pPr>
            <w:proofErr w:type="spellStart"/>
            <w:r>
              <w:rPr>
                <w:b/>
                <w:sz w:val="18"/>
                <w:szCs w:val="18"/>
              </w:rPr>
              <w:t>Hemoglobin</w:t>
            </w:r>
            <w:proofErr w:type="spellEnd"/>
            <w:r>
              <w:rPr>
                <w:b/>
                <w:sz w:val="18"/>
                <w:szCs w:val="18"/>
              </w:rPr>
              <w:t xml:space="preserve"> (g/dl)</w:t>
            </w:r>
          </w:p>
        </w:tc>
        <w:tc>
          <w:tcPr>
            <w:tcW w:w="1060" w:type="dxa"/>
            <w:tcBorders>
              <w:top w:val="dotted" w:sz="8" w:space="0" w:color="000000"/>
            </w:tcBorders>
            <w:shd w:val="clear" w:color="auto" w:fill="D8D8D8"/>
            <w:tcMar>
              <w:top w:w="0" w:type="dxa"/>
              <w:left w:w="40" w:type="dxa"/>
              <w:bottom w:w="0" w:type="dxa"/>
              <w:right w:w="40" w:type="dxa"/>
            </w:tcMar>
            <w:vAlign w:val="center"/>
          </w:tcPr>
          <w:p w14:paraId="2142E215" w14:textId="77777777" w:rsidR="00DF1A34" w:rsidRDefault="003C6E26">
            <w:pPr>
              <w:widowControl w:val="0"/>
              <w:jc w:val="center"/>
              <w:rPr>
                <w:rFonts w:ascii="Times" w:eastAsia="Times" w:hAnsi="Times" w:cs="Times"/>
                <w:sz w:val="18"/>
                <w:szCs w:val="18"/>
              </w:rPr>
            </w:pPr>
            <w:r>
              <w:rPr>
                <w:sz w:val="18"/>
                <w:szCs w:val="18"/>
              </w:rPr>
              <w:t>16.5</w:t>
            </w:r>
          </w:p>
        </w:tc>
        <w:tc>
          <w:tcPr>
            <w:tcW w:w="1060" w:type="dxa"/>
            <w:tcBorders>
              <w:top w:val="dotted" w:sz="8" w:space="0" w:color="000000"/>
            </w:tcBorders>
            <w:shd w:val="clear" w:color="auto" w:fill="D8D8D8"/>
            <w:tcMar>
              <w:top w:w="0" w:type="dxa"/>
              <w:left w:w="40" w:type="dxa"/>
              <w:bottom w:w="0" w:type="dxa"/>
              <w:right w:w="40" w:type="dxa"/>
            </w:tcMar>
            <w:vAlign w:val="center"/>
          </w:tcPr>
          <w:p w14:paraId="1DE805EA" w14:textId="77777777" w:rsidR="00DF1A34" w:rsidRDefault="003C6E26">
            <w:pPr>
              <w:widowControl w:val="0"/>
              <w:jc w:val="center"/>
              <w:rPr>
                <w:rFonts w:ascii="Times" w:eastAsia="Times" w:hAnsi="Times" w:cs="Times"/>
                <w:sz w:val="18"/>
                <w:szCs w:val="18"/>
              </w:rPr>
            </w:pPr>
            <w:r>
              <w:rPr>
                <w:sz w:val="18"/>
                <w:szCs w:val="18"/>
              </w:rPr>
              <w:t>16.8</w:t>
            </w:r>
          </w:p>
        </w:tc>
        <w:tc>
          <w:tcPr>
            <w:tcW w:w="1060" w:type="dxa"/>
            <w:tcBorders>
              <w:top w:val="dotted" w:sz="8" w:space="0" w:color="000000"/>
            </w:tcBorders>
            <w:shd w:val="clear" w:color="auto" w:fill="D8D8D8"/>
            <w:tcMar>
              <w:top w:w="0" w:type="dxa"/>
              <w:left w:w="40" w:type="dxa"/>
              <w:bottom w:w="0" w:type="dxa"/>
              <w:right w:w="40" w:type="dxa"/>
            </w:tcMar>
            <w:vAlign w:val="center"/>
          </w:tcPr>
          <w:p w14:paraId="6937A404" w14:textId="77777777" w:rsidR="00DF1A34" w:rsidRDefault="003C6E26">
            <w:pPr>
              <w:widowControl w:val="0"/>
              <w:jc w:val="center"/>
              <w:rPr>
                <w:rFonts w:ascii="Times" w:eastAsia="Times" w:hAnsi="Times" w:cs="Times"/>
                <w:sz w:val="18"/>
                <w:szCs w:val="18"/>
              </w:rPr>
            </w:pPr>
            <w:r>
              <w:rPr>
                <w:sz w:val="18"/>
                <w:szCs w:val="18"/>
              </w:rPr>
              <w:t>16.9</w:t>
            </w:r>
          </w:p>
        </w:tc>
        <w:tc>
          <w:tcPr>
            <w:tcW w:w="1060" w:type="dxa"/>
            <w:tcBorders>
              <w:top w:val="dotted" w:sz="8" w:space="0" w:color="000000"/>
            </w:tcBorders>
            <w:shd w:val="clear" w:color="auto" w:fill="D8D8D8"/>
            <w:tcMar>
              <w:top w:w="0" w:type="dxa"/>
              <w:left w:w="40" w:type="dxa"/>
              <w:bottom w:w="0" w:type="dxa"/>
              <w:right w:w="40" w:type="dxa"/>
            </w:tcMar>
            <w:vAlign w:val="center"/>
          </w:tcPr>
          <w:p w14:paraId="169C2EA2" w14:textId="77777777" w:rsidR="00DF1A34" w:rsidRDefault="003C6E26">
            <w:pPr>
              <w:widowControl w:val="0"/>
              <w:jc w:val="center"/>
              <w:rPr>
                <w:rFonts w:ascii="Times" w:eastAsia="Times" w:hAnsi="Times" w:cs="Times"/>
                <w:sz w:val="18"/>
                <w:szCs w:val="18"/>
              </w:rPr>
            </w:pPr>
            <w:r>
              <w:rPr>
                <w:sz w:val="18"/>
                <w:szCs w:val="18"/>
              </w:rPr>
              <w:t>16.8</w:t>
            </w:r>
          </w:p>
        </w:tc>
        <w:tc>
          <w:tcPr>
            <w:tcW w:w="1060" w:type="dxa"/>
            <w:tcBorders>
              <w:top w:val="dotted" w:sz="8" w:space="0" w:color="000000"/>
            </w:tcBorders>
            <w:shd w:val="clear" w:color="auto" w:fill="D8D8D8"/>
            <w:tcMar>
              <w:top w:w="0" w:type="dxa"/>
              <w:left w:w="40" w:type="dxa"/>
              <w:bottom w:w="0" w:type="dxa"/>
              <w:right w:w="40" w:type="dxa"/>
            </w:tcMar>
            <w:vAlign w:val="center"/>
          </w:tcPr>
          <w:p w14:paraId="00B5B607" w14:textId="77777777" w:rsidR="00DF1A34" w:rsidRDefault="003C6E26">
            <w:pPr>
              <w:widowControl w:val="0"/>
              <w:jc w:val="center"/>
              <w:rPr>
                <w:rFonts w:ascii="Times" w:eastAsia="Times" w:hAnsi="Times" w:cs="Times"/>
                <w:sz w:val="18"/>
                <w:szCs w:val="18"/>
              </w:rPr>
            </w:pPr>
            <w:r>
              <w:rPr>
                <w:sz w:val="18"/>
                <w:szCs w:val="18"/>
              </w:rPr>
              <w:t>16.1</w:t>
            </w:r>
          </w:p>
        </w:tc>
        <w:tc>
          <w:tcPr>
            <w:tcW w:w="1060" w:type="dxa"/>
            <w:tcBorders>
              <w:top w:val="dotted" w:sz="8" w:space="0" w:color="000000"/>
            </w:tcBorders>
            <w:shd w:val="clear" w:color="auto" w:fill="D8D8D8"/>
            <w:tcMar>
              <w:top w:w="0" w:type="dxa"/>
              <w:left w:w="40" w:type="dxa"/>
              <w:bottom w:w="0" w:type="dxa"/>
              <w:right w:w="40" w:type="dxa"/>
            </w:tcMar>
            <w:vAlign w:val="center"/>
          </w:tcPr>
          <w:p w14:paraId="5614CE5C" w14:textId="77777777" w:rsidR="00DF1A34" w:rsidRDefault="003C6E26">
            <w:pPr>
              <w:widowControl w:val="0"/>
              <w:jc w:val="center"/>
              <w:rPr>
                <w:rFonts w:ascii="Times" w:eastAsia="Times" w:hAnsi="Times" w:cs="Times"/>
                <w:sz w:val="18"/>
                <w:szCs w:val="18"/>
              </w:rPr>
            </w:pPr>
            <w:r>
              <w:rPr>
                <w:sz w:val="18"/>
                <w:szCs w:val="18"/>
              </w:rPr>
              <w:t>15.3</w:t>
            </w:r>
          </w:p>
        </w:tc>
        <w:tc>
          <w:tcPr>
            <w:tcW w:w="1060" w:type="dxa"/>
            <w:tcBorders>
              <w:top w:val="dotted" w:sz="8" w:space="0" w:color="000000"/>
            </w:tcBorders>
            <w:shd w:val="clear" w:color="auto" w:fill="D8D8D8"/>
            <w:tcMar>
              <w:top w:w="0" w:type="dxa"/>
              <w:left w:w="40" w:type="dxa"/>
              <w:bottom w:w="0" w:type="dxa"/>
              <w:right w:w="40" w:type="dxa"/>
            </w:tcMar>
            <w:vAlign w:val="center"/>
          </w:tcPr>
          <w:p w14:paraId="773D7284" w14:textId="77777777" w:rsidR="00DF1A34" w:rsidRDefault="003C6E26">
            <w:pPr>
              <w:widowControl w:val="0"/>
              <w:jc w:val="center"/>
              <w:rPr>
                <w:rFonts w:ascii="Times" w:eastAsia="Times" w:hAnsi="Times" w:cs="Times"/>
                <w:sz w:val="18"/>
                <w:szCs w:val="18"/>
              </w:rPr>
            </w:pPr>
            <w:r>
              <w:rPr>
                <w:sz w:val="18"/>
                <w:szCs w:val="18"/>
              </w:rPr>
              <w:t>15.5</w:t>
            </w:r>
          </w:p>
        </w:tc>
        <w:tc>
          <w:tcPr>
            <w:tcW w:w="1060" w:type="dxa"/>
            <w:tcBorders>
              <w:top w:val="dotted" w:sz="8" w:space="0" w:color="000000"/>
            </w:tcBorders>
            <w:shd w:val="clear" w:color="auto" w:fill="D8D8D8"/>
            <w:tcMar>
              <w:top w:w="0" w:type="dxa"/>
              <w:left w:w="40" w:type="dxa"/>
              <w:bottom w:w="0" w:type="dxa"/>
              <w:right w:w="40" w:type="dxa"/>
            </w:tcMar>
            <w:vAlign w:val="center"/>
          </w:tcPr>
          <w:p w14:paraId="0B5F281E" w14:textId="77777777" w:rsidR="00DF1A34" w:rsidRDefault="003C6E26">
            <w:pPr>
              <w:widowControl w:val="0"/>
              <w:jc w:val="center"/>
              <w:rPr>
                <w:rFonts w:ascii="Times" w:eastAsia="Times" w:hAnsi="Times" w:cs="Times"/>
                <w:sz w:val="18"/>
                <w:szCs w:val="18"/>
              </w:rPr>
            </w:pPr>
            <w:r>
              <w:rPr>
                <w:sz w:val="18"/>
                <w:szCs w:val="18"/>
              </w:rPr>
              <w:t>15.7</w:t>
            </w:r>
          </w:p>
        </w:tc>
        <w:tc>
          <w:tcPr>
            <w:tcW w:w="1060" w:type="dxa"/>
            <w:tcBorders>
              <w:top w:val="dotted" w:sz="8" w:space="0" w:color="000000"/>
            </w:tcBorders>
            <w:shd w:val="clear" w:color="auto" w:fill="D8D8D8"/>
            <w:tcMar>
              <w:top w:w="0" w:type="dxa"/>
              <w:left w:w="40" w:type="dxa"/>
              <w:bottom w:w="0" w:type="dxa"/>
              <w:right w:w="40" w:type="dxa"/>
            </w:tcMar>
            <w:vAlign w:val="center"/>
          </w:tcPr>
          <w:p w14:paraId="5C92CB9B" w14:textId="77777777" w:rsidR="00DF1A34" w:rsidRDefault="003C6E26">
            <w:pPr>
              <w:widowControl w:val="0"/>
              <w:jc w:val="center"/>
              <w:rPr>
                <w:rFonts w:ascii="Times" w:eastAsia="Times" w:hAnsi="Times" w:cs="Times"/>
                <w:sz w:val="18"/>
                <w:szCs w:val="18"/>
              </w:rPr>
            </w:pPr>
            <w:r>
              <w:rPr>
                <w:sz w:val="18"/>
                <w:szCs w:val="18"/>
              </w:rPr>
              <w:t>13.5</w:t>
            </w:r>
          </w:p>
        </w:tc>
      </w:tr>
      <w:tr w:rsidR="00DF1A34" w14:paraId="6193CEC1" w14:textId="77777777" w:rsidTr="00683FC4">
        <w:trPr>
          <w:trHeight w:val="700"/>
        </w:trPr>
        <w:tc>
          <w:tcPr>
            <w:tcW w:w="1340" w:type="dxa"/>
            <w:tcMar>
              <w:top w:w="0" w:type="dxa"/>
              <w:left w:w="40" w:type="dxa"/>
              <w:bottom w:w="0" w:type="dxa"/>
              <w:right w:w="40" w:type="dxa"/>
            </w:tcMar>
            <w:vAlign w:val="center"/>
          </w:tcPr>
          <w:p w14:paraId="5984E51A" w14:textId="77777777" w:rsidR="00DF1A34" w:rsidRDefault="003C6E26">
            <w:pPr>
              <w:widowControl w:val="0"/>
              <w:jc w:val="center"/>
              <w:rPr>
                <w:b/>
                <w:sz w:val="18"/>
                <w:szCs w:val="18"/>
              </w:rPr>
            </w:pPr>
            <w:proofErr w:type="spellStart"/>
            <w:r>
              <w:rPr>
                <w:b/>
                <w:sz w:val="18"/>
                <w:szCs w:val="18"/>
              </w:rPr>
              <w:t>Platelets</w:t>
            </w:r>
            <w:proofErr w:type="spellEnd"/>
            <w:r>
              <w:rPr>
                <w:b/>
                <w:sz w:val="18"/>
                <w:szCs w:val="18"/>
              </w:rPr>
              <w:t xml:space="preserve"> </w:t>
            </w:r>
          </w:p>
          <w:p w14:paraId="5A55EE1C" w14:textId="77777777" w:rsidR="00DF1A34" w:rsidRDefault="003C6E26">
            <w:pPr>
              <w:widowControl w:val="0"/>
              <w:jc w:val="center"/>
              <w:rPr>
                <w:rFonts w:ascii="Times" w:eastAsia="Times" w:hAnsi="Times" w:cs="Times"/>
                <w:b/>
                <w:sz w:val="18"/>
                <w:szCs w:val="18"/>
              </w:rPr>
            </w:pPr>
            <w:r>
              <w:rPr>
                <w:b/>
                <w:sz w:val="18"/>
                <w:szCs w:val="18"/>
              </w:rPr>
              <w:t>(10^3 /µl)</w:t>
            </w:r>
          </w:p>
        </w:tc>
        <w:tc>
          <w:tcPr>
            <w:tcW w:w="1060" w:type="dxa"/>
            <w:tcMar>
              <w:top w:w="0" w:type="dxa"/>
              <w:left w:w="40" w:type="dxa"/>
              <w:bottom w:w="0" w:type="dxa"/>
              <w:right w:w="40" w:type="dxa"/>
            </w:tcMar>
            <w:vAlign w:val="center"/>
          </w:tcPr>
          <w:p w14:paraId="2D9C95F1" w14:textId="77777777" w:rsidR="00DF1A34" w:rsidRDefault="003C6E26">
            <w:pPr>
              <w:widowControl w:val="0"/>
              <w:jc w:val="center"/>
              <w:rPr>
                <w:rFonts w:ascii="Times" w:eastAsia="Times" w:hAnsi="Times" w:cs="Times"/>
                <w:sz w:val="18"/>
                <w:szCs w:val="18"/>
              </w:rPr>
            </w:pPr>
            <w:r>
              <w:rPr>
                <w:sz w:val="18"/>
                <w:szCs w:val="18"/>
              </w:rPr>
              <w:t>226</w:t>
            </w:r>
          </w:p>
        </w:tc>
        <w:tc>
          <w:tcPr>
            <w:tcW w:w="1060" w:type="dxa"/>
            <w:tcMar>
              <w:top w:w="0" w:type="dxa"/>
              <w:left w:w="40" w:type="dxa"/>
              <w:bottom w:w="0" w:type="dxa"/>
              <w:right w:w="40" w:type="dxa"/>
            </w:tcMar>
            <w:vAlign w:val="center"/>
          </w:tcPr>
          <w:p w14:paraId="6B311C5C" w14:textId="77777777" w:rsidR="00DF1A34" w:rsidRDefault="003C6E26">
            <w:pPr>
              <w:widowControl w:val="0"/>
              <w:jc w:val="center"/>
              <w:rPr>
                <w:rFonts w:ascii="Times" w:eastAsia="Times" w:hAnsi="Times" w:cs="Times"/>
                <w:sz w:val="18"/>
                <w:szCs w:val="18"/>
              </w:rPr>
            </w:pPr>
            <w:r>
              <w:rPr>
                <w:sz w:val="18"/>
                <w:szCs w:val="18"/>
              </w:rPr>
              <w:t>241</w:t>
            </w:r>
          </w:p>
        </w:tc>
        <w:tc>
          <w:tcPr>
            <w:tcW w:w="1060" w:type="dxa"/>
            <w:tcMar>
              <w:top w:w="0" w:type="dxa"/>
              <w:left w:w="40" w:type="dxa"/>
              <w:bottom w:w="0" w:type="dxa"/>
              <w:right w:w="40" w:type="dxa"/>
            </w:tcMar>
            <w:vAlign w:val="center"/>
          </w:tcPr>
          <w:p w14:paraId="5619DF25" w14:textId="77777777" w:rsidR="00DF1A34" w:rsidRDefault="003C6E26">
            <w:pPr>
              <w:widowControl w:val="0"/>
              <w:jc w:val="center"/>
              <w:rPr>
                <w:rFonts w:ascii="Times" w:eastAsia="Times" w:hAnsi="Times" w:cs="Times"/>
                <w:sz w:val="18"/>
                <w:szCs w:val="18"/>
              </w:rPr>
            </w:pPr>
            <w:r>
              <w:rPr>
                <w:sz w:val="18"/>
                <w:szCs w:val="18"/>
              </w:rPr>
              <w:t>225</w:t>
            </w:r>
          </w:p>
        </w:tc>
        <w:tc>
          <w:tcPr>
            <w:tcW w:w="1060" w:type="dxa"/>
            <w:tcMar>
              <w:top w:w="0" w:type="dxa"/>
              <w:left w:w="40" w:type="dxa"/>
              <w:bottom w:w="0" w:type="dxa"/>
              <w:right w:w="40" w:type="dxa"/>
            </w:tcMar>
            <w:vAlign w:val="center"/>
          </w:tcPr>
          <w:p w14:paraId="399273AC" w14:textId="77777777" w:rsidR="00DF1A34" w:rsidRDefault="003C6E26">
            <w:pPr>
              <w:widowControl w:val="0"/>
              <w:jc w:val="center"/>
              <w:rPr>
                <w:rFonts w:ascii="Times" w:eastAsia="Times" w:hAnsi="Times" w:cs="Times"/>
                <w:sz w:val="18"/>
                <w:szCs w:val="18"/>
              </w:rPr>
            </w:pPr>
            <w:r>
              <w:rPr>
                <w:sz w:val="18"/>
                <w:szCs w:val="18"/>
              </w:rPr>
              <w:t>196</w:t>
            </w:r>
          </w:p>
        </w:tc>
        <w:tc>
          <w:tcPr>
            <w:tcW w:w="1060" w:type="dxa"/>
            <w:tcMar>
              <w:top w:w="0" w:type="dxa"/>
              <w:left w:w="40" w:type="dxa"/>
              <w:bottom w:w="0" w:type="dxa"/>
              <w:right w:w="40" w:type="dxa"/>
            </w:tcMar>
            <w:vAlign w:val="center"/>
          </w:tcPr>
          <w:p w14:paraId="426C502C" w14:textId="77777777" w:rsidR="00DF1A34" w:rsidRDefault="003C6E26">
            <w:pPr>
              <w:widowControl w:val="0"/>
              <w:jc w:val="center"/>
              <w:rPr>
                <w:rFonts w:ascii="Times" w:eastAsia="Times" w:hAnsi="Times" w:cs="Times"/>
                <w:sz w:val="18"/>
                <w:szCs w:val="18"/>
              </w:rPr>
            </w:pPr>
            <w:r>
              <w:rPr>
                <w:sz w:val="18"/>
                <w:szCs w:val="18"/>
              </w:rPr>
              <w:t>195</w:t>
            </w:r>
          </w:p>
        </w:tc>
        <w:tc>
          <w:tcPr>
            <w:tcW w:w="1060" w:type="dxa"/>
            <w:tcMar>
              <w:top w:w="0" w:type="dxa"/>
              <w:left w:w="40" w:type="dxa"/>
              <w:bottom w:w="0" w:type="dxa"/>
              <w:right w:w="40" w:type="dxa"/>
            </w:tcMar>
            <w:vAlign w:val="center"/>
          </w:tcPr>
          <w:p w14:paraId="504C74C9" w14:textId="77777777" w:rsidR="00DF1A34" w:rsidRDefault="003C6E26">
            <w:pPr>
              <w:widowControl w:val="0"/>
              <w:jc w:val="center"/>
              <w:rPr>
                <w:rFonts w:ascii="Times" w:eastAsia="Times" w:hAnsi="Times" w:cs="Times"/>
                <w:sz w:val="18"/>
                <w:szCs w:val="18"/>
              </w:rPr>
            </w:pPr>
            <w:r>
              <w:rPr>
                <w:sz w:val="18"/>
                <w:szCs w:val="18"/>
              </w:rPr>
              <w:t>221</w:t>
            </w:r>
          </w:p>
        </w:tc>
        <w:tc>
          <w:tcPr>
            <w:tcW w:w="1060" w:type="dxa"/>
            <w:tcMar>
              <w:top w:w="0" w:type="dxa"/>
              <w:left w:w="40" w:type="dxa"/>
              <w:bottom w:w="0" w:type="dxa"/>
              <w:right w:w="40" w:type="dxa"/>
            </w:tcMar>
            <w:vAlign w:val="center"/>
          </w:tcPr>
          <w:p w14:paraId="202923D4" w14:textId="77777777" w:rsidR="00DF1A34" w:rsidRDefault="003C6E26">
            <w:pPr>
              <w:widowControl w:val="0"/>
              <w:jc w:val="center"/>
              <w:rPr>
                <w:rFonts w:ascii="Times" w:eastAsia="Times" w:hAnsi="Times" w:cs="Times"/>
                <w:sz w:val="18"/>
                <w:szCs w:val="18"/>
              </w:rPr>
            </w:pPr>
            <w:r>
              <w:rPr>
                <w:sz w:val="18"/>
                <w:szCs w:val="18"/>
              </w:rPr>
              <w:t>226</w:t>
            </w:r>
          </w:p>
        </w:tc>
        <w:tc>
          <w:tcPr>
            <w:tcW w:w="1060" w:type="dxa"/>
            <w:tcMar>
              <w:top w:w="0" w:type="dxa"/>
              <w:left w:w="40" w:type="dxa"/>
              <w:bottom w:w="0" w:type="dxa"/>
              <w:right w:w="40" w:type="dxa"/>
            </w:tcMar>
            <w:vAlign w:val="center"/>
          </w:tcPr>
          <w:p w14:paraId="65504991" w14:textId="77777777" w:rsidR="00DF1A34" w:rsidRDefault="003C6E26">
            <w:pPr>
              <w:widowControl w:val="0"/>
              <w:jc w:val="center"/>
              <w:rPr>
                <w:rFonts w:ascii="Times" w:eastAsia="Times" w:hAnsi="Times" w:cs="Times"/>
                <w:sz w:val="18"/>
                <w:szCs w:val="18"/>
              </w:rPr>
            </w:pPr>
            <w:r>
              <w:rPr>
                <w:sz w:val="18"/>
                <w:szCs w:val="18"/>
              </w:rPr>
              <w:t>219</w:t>
            </w:r>
          </w:p>
        </w:tc>
        <w:tc>
          <w:tcPr>
            <w:tcW w:w="1060" w:type="dxa"/>
            <w:tcMar>
              <w:top w:w="0" w:type="dxa"/>
              <w:left w:w="40" w:type="dxa"/>
              <w:bottom w:w="0" w:type="dxa"/>
              <w:right w:w="40" w:type="dxa"/>
            </w:tcMar>
            <w:vAlign w:val="center"/>
          </w:tcPr>
          <w:p w14:paraId="54231970" w14:textId="77777777" w:rsidR="00DF1A34" w:rsidRDefault="003C6E26">
            <w:pPr>
              <w:widowControl w:val="0"/>
              <w:jc w:val="center"/>
              <w:rPr>
                <w:rFonts w:ascii="Times" w:eastAsia="Times" w:hAnsi="Times" w:cs="Times"/>
                <w:sz w:val="18"/>
                <w:szCs w:val="18"/>
              </w:rPr>
            </w:pPr>
            <w:r>
              <w:rPr>
                <w:sz w:val="18"/>
                <w:szCs w:val="18"/>
              </w:rPr>
              <w:t>190</w:t>
            </w:r>
          </w:p>
        </w:tc>
      </w:tr>
      <w:tr w:rsidR="00DF1A34" w14:paraId="4783CD03" w14:textId="77777777" w:rsidTr="00683FC4">
        <w:trPr>
          <w:trHeight w:val="480"/>
        </w:trPr>
        <w:tc>
          <w:tcPr>
            <w:tcW w:w="1340" w:type="dxa"/>
            <w:shd w:val="clear" w:color="auto" w:fill="D8D8D8"/>
            <w:tcMar>
              <w:top w:w="0" w:type="dxa"/>
              <w:left w:w="40" w:type="dxa"/>
              <w:bottom w:w="0" w:type="dxa"/>
              <w:right w:w="40" w:type="dxa"/>
            </w:tcMar>
            <w:vAlign w:val="center"/>
          </w:tcPr>
          <w:p w14:paraId="7E6F9F9F" w14:textId="77777777" w:rsidR="00DF1A34" w:rsidRDefault="003C6E26">
            <w:pPr>
              <w:widowControl w:val="0"/>
              <w:jc w:val="center"/>
              <w:rPr>
                <w:rFonts w:ascii="Times" w:eastAsia="Times" w:hAnsi="Times" w:cs="Times"/>
                <w:b/>
                <w:sz w:val="18"/>
                <w:szCs w:val="18"/>
              </w:rPr>
            </w:pPr>
            <w:r>
              <w:rPr>
                <w:b/>
                <w:sz w:val="18"/>
                <w:szCs w:val="18"/>
              </w:rPr>
              <w:t>LDH (UI)</w:t>
            </w:r>
          </w:p>
        </w:tc>
        <w:tc>
          <w:tcPr>
            <w:tcW w:w="1060" w:type="dxa"/>
            <w:shd w:val="clear" w:color="auto" w:fill="D8D8D8"/>
            <w:tcMar>
              <w:top w:w="0" w:type="dxa"/>
              <w:left w:w="40" w:type="dxa"/>
              <w:bottom w:w="0" w:type="dxa"/>
              <w:right w:w="40" w:type="dxa"/>
            </w:tcMar>
            <w:vAlign w:val="center"/>
          </w:tcPr>
          <w:p w14:paraId="1B4B8AFA" w14:textId="77777777" w:rsidR="00DF1A34" w:rsidRDefault="003C6E26">
            <w:pPr>
              <w:widowControl w:val="0"/>
              <w:jc w:val="center"/>
              <w:rPr>
                <w:rFonts w:ascii="Times" w:eastAsia="Times" w:hAnsi="Times" w:cs="Times"/>
                <w:sz w:val="18"/>
                <w:szCs w:val="18"/>
              </w:rPr>
            </w:pPr>
            <w:r>
              <w:rPr>
                <w:sz w:val="18"/>
                <w:szCs w:val="18"/>
              </w:rPr>
              <w:t>201</w:t>
            </w:r>
          </w:p>
        </w:tc>
        <w:tc>
          <w:tcPr>
            <w:tcW w:w="1060" w:type="dxa"/>
            <w:shd w:val="clear" w:color="auto" w:fill="D8D8D8"/>
            <w:tcMar>
              <w:top w:w="0" w:type="dxa"/>
              <w:left w:w="40" w:type="dxa"/>
              <w:bottom w:w="0" w:type="dxa"/>
              <w:right w:w="40" w:type="dxa"/>
            </w:tcMar>
            <w:vAlign w:val="center"/>
          </w:tcPr>
          <w:p w14:paraId="3C1F682C" w14:textId="77777777" w:rsidR="00DF1A34" w:rsidRDefault="003C6E26">
            <w:pPr>
              <w:widowControl w:val="0"/>
              <w:jc w:val="center"/>
              <w:rPr>
                <w:rFonts w:ascii="Times" w:eastAsia="Times" w:hAnsi="Times" w:cs="Times"/>
                <w:sz w:val="18"/>
                <w:szCs w:val="18"/>
              </w:rPr>
            </w:pPr>
            <w:r>
              <w:rPr>
                <w:sz w:val="18"/>
                <w:szCs w:val="18"/>
              </w:rPr>
              <w:t>179</w:t>
            </w:r>
          </w:p>
        </w:tc>
        <w:tc>
          <w:tcPr>
            <w:tcW w:w="1060" w:type="dxa"/>
            <w:shd w:val="clear" w:color="auto" w:fill="D8D8D8"/>
            <w:tcMar>
              <w:top w:w="0" w:type="dxa"/>
              <w:left w:w="40" w:type="dxa"/>
              <w:bottom w:w="0" w:type="dxa"/>
              <w:right w:w="40" w:type="dxa"/>
            </w:tcMar>
            <w:vAlign w:val="center"/>
          </w:tcPr>
          <w:p w14:paraId="1BEC212D" w14:textId="77777777" w:rsidR="00DF1A34" w:rsidRDefault="003C6E26">
            <w:pPr>
              <w:widowControl w:val="0"/>
              <w:jc w:val="center"/>
              <w:rPr>
                <w:rFonts w:ascii="Times" w:eastAsia="Times" w:hAnsi="Times" w:cs="Times"/>
                <w:sz w:val="18"/>
                <w:szCs w:val="18"/>
              </w:rPr>
            </w:pPr>
            <w:r>
              <w:rPr>
                <w:sz w:val="18"/>
                <w:szCs w:val="18"/>
              </w:rPr>
              <w:t>198</w:t>
            </w:r>
          </w:p>
        </w:tc>
        <w:tc>
          <w:tcPr>
            <w:tcW w:w="1060" w:type="dxa"/>
            <w:shd w:val="clear" w:color="auto" w:fill="D8D8D8"/>
            <w:tcMar>
              <w:top w:w="0" w:type="dxa"/>
              <w:left w:w="40" w:type="dxa"/>
              <w:bottom w:w="0" w:type="dxa"/>
              <w:right w:w="40" w:type="dxa"/>
            </w:tcMar>
            <w:vAlign w:val="center"/>
          </w:tcPr>
          <w:p w14:paraId="4CC16FDF" w14:textId="77777777" w:rsidR="00DF1A34" w:rsidRDefault="003C6E26">
            <w:pPr>
              <w:widowControl w:val="0"/>
              <w:jc w:val="center"/>
              <w:rPr>
                <w:rFonts w:ascii="Times" w:eastAsia="Times" w:hAnsi="Times" w:cs="Times"/>
                <w:sz w:val="18"/>
                <w:szCs w:val="18"/>
              </w:rPr>
            </w:pPr>
            <w:r>
              <w:rPr>
                <w:sz w:val="18"/>
                <w:szCs w:val="18"/>
              </w:rPr>
              <w:t>200</w:t>
            </w:r>
          </w:p>
        </w:tc>
        <w:tc>
          <w:tcPr>
            <w:tcW w:w="1060" w:type="dxa"/>
            <w:shd w:val="clear" w:color="auto" w:fill="D8D8D8"/>
            <w:tcMar>
              <w:top w:w="0" w:type="dxa"/>
              <w:left w:w="40" w:type="dxa"/>
              <w:bottom w:w="0" w:type="dxa"/>
              <w:right w:w="40" w:type="dxa"/>
            </w:tcMar>
            <w:vAlign w:val="center"/>
          </w:tcPr>
          <w:p w14:paraId="33EDA484" w14:textId="77777777" w:rsidR="00DF1A34" w:rsidRDefault="003C6E26">
            <w:pPr>
              <w:widowControl w:val="0"/>
              <w:jc w:val="center"/>
              <w:rPr>
                <w:rFonts w:ascii="Times" w:eastAsia="Times" w:hAnsi="Times" w:cs="Times"/>
                <w:sz w:val="18"/>
                <w:szCs w:val="18"/>
              </w:rPr>
            </w:pPr>
            <w:r>
              <w:rPr>
                <w:sz w:val="18"/>
                <w:szCs w:val="18"/>
              </w:rPr>
              <w:t>187</w:t>
            </w:r>
          </w:p>
        </w:tc>
        <w:tc>
          <w:tcPr>
            <w:tcW w:w="1060" w:type="dxa"/>
            <w:shd w:val="clear" w:color="auto" w:fill="D8D8D8"/>
            <w:tcMar>
              <w:top w:w="0" w:type="dxa"/>
              <w:left w:w="40" w:type="dxa"/>
              <w:bottom w:w="0" w:type="dxa"/>
              <w:right w:w="40" w:type="dxa"/>
            </w:tcMar>
            <w:vAlign w:val="center"/>
          </w:tcPr>
          <w:p w14:paraId="3ECD2203" w14:textId="77777777" w:rsidR="00DF1A34" w:rsidRDefault="003C6E26">
            <w:pPr>
              <w:widowControl w:val="0"/>
              <w:jc w:val="center"/>
              <w:rPr>
                <w:rFonts w:ascii="Times" w:eastAsia="Times" w:hAnsi="Times" w:cs="Times"/>
                <w:sz w:val="18"/>
                <w:szCs w:val="18"/>
              </w:rPr>
            </w:pPr>
            <w:r>
              <w:rPr>
                <w:sz w:val="18"/>
                <w:szCs w:val="18"/>
              </w:rPr>
              <w:t>203</w:t>
            </w:r>
          </w:p>
        </w:tc>
        <w:tc>
          <w:tcPr>
            <w:tcW w:w="1060" w:type="dxa"/>
            <w:shd w:val="clear" w:color="auto" w:fill="D8D8D8"/>
            <w:tcMar>
              <w:top w:w="0" w:type="dxa"/>
              <w:left w:w="40" w:type="dxa"/>
              <w:bottom w:w="0" w:type="dxa"/>
              <w:right w:w="40" w:type="dxa"/>
            </w:tcMar>
            <w:vAlign w:val="center"/>
          </w:tcPr>
          <w:p w14:paraId="5E9EA08F" w14:textId="77777777" w:rsidR="00DF1A34" w:rsidRDefault="003C6E26">
            <w:pPr>
              <w:widowControl w:val="0"/>
              <w:jc w:val="center"/>
              <w:rPr>
                <w:rFonts w:ascii="Times" w:eastAsia="Times" w:hAnsi="Times" w:cs="Times"/>
                <w:sz w:val="18"/>
                <w:szCs w:val="18"/>
              </w:rPr>
            </w:pPr>
            <w:r>
              <w:rPr>
                <w:sz w:val="18"/>
                <w:szCs w:val="18"/>
              </w:rPr>
              <w:t>186</w:t>
            </w:r>
          </w:p>
        </w:tc>
        <w:tc>
          <w:tcPr>
            <w:tcW w:w="1060" w:type="dxa"/>
            <w:shd w:val="clear" w:color="auto" w:fill="D8D8D8"/>
            <w:tcMar>
              <w:top w:w="0" w:type="dxa"/>
              <w:left w:w="40" w:type="dxa"/>
              <w:bottom w:w="0" w:type="dxa"/>
              <w:right w:w="40" w:type="dxa"/>
            </w:tcMar>
            <w:vAlign w:val="center"/>
          </w:tcPr>
          <w:p w14:paraId="06827521" w14:textId="77777777" w:rsidR="00DF1A34" w:rsidRDefault="003C6E26">
            <w:pPr>
              <w:widowControl w:val="0"/>
              <w:jc w:val="center"/>
              <w:rPr>
                <w:rFonts w:ascii="Times" w:eastAsia="Times" w:hAnsi="Times" w:cs="Times"/>
                <w:sz w:val="18"/>
                <w:szCs w:val="18"/>
              </w:rPr>
            </w:pPr>
            <w:r>
              <w:rPr>
                <w:sz w:val="18"/>
                <w:szCs w:val="18"/>
              </w:rPr>
              <w:t>199</w:t>
            </w:r>
          </w:p>
        </w:tc>
        <w:tc>
          <w:tcPr>
            <w:tcW w:w="1060" w:type="dxa"/>
            <w:shd w:val="clear" w:color="auto" w:fill="D8D8D8"/>
            <w:tcMar>
              <w:top w:w="0" w:type="dxa"/>
              <w:left w:w="40" w:type="dxa"/>
              <w:bottom w:w="0" w:type="dxa"/>
              <w:right w:w="40" w:type="dxa"/>
            </w:tcMar>
            <w:vAlign w:val="center"/>
          </w:tcPr>
          <w:p w14:paraId="55D42B09" w14:textId="77777777" w:rsidR="00DF1A34" w:rsidRDefault="003C6E26">
            <w:pPr>
              <w:widowControl w:val="0"/>
              <w:jc w:val="center"/>
              <w:rPr>
                <w:rFonts w:ascii="Times" w:eastAsia="Times" w:hAnsi="Times" w:cs="Times"/>
                <w:sz w:val="18"/>
                <w:szCs w:val="18"/>
              </w:rPr>
            </w:pPr>
            <w:r>
              <w:rPr>
                <w:sz w:val="18"/>
                <w:szCs w:val="18"/>
              </w:rPr>
              <w:t>212</w:t>
            </w:r>
          </w:p>
        </w:tc>
      </w:tr>
      <w:tr w:rsidR="00DF1A34" w14:paraId="63E255B6" w14:textId="77777777" w:rsidTr="00683FC4">
        <w:trPr>
          <w:trHeight w:val="680"/>
        </w:trPr>
        <w:tc>
          <w:tcPr>
            <w:tcW w:w="1340" w:type="dxa"/>
            <w:tcMar>
              <w:top w:w="0" w:type="dxa"/>
              <w:left w:w="40" w:type="dxa"/>
              <w:bottom w:w="0" w:type="dxa"/>
              <w:right w:w="40" w:type="dxa"/>
            </w:tcMar>
            <w:vAlign w:val="center"/>
          </w:tcPr>
          <w:p w14:paraId="265CD6A4" w14:textId="77777777" w:rsidR="00DF1A34" w:rsidRDefault="003C6E26">
            <w:pPr>
              <w:widowControl w:val="0"/>
              <w:jc w:val="center"/>
              <w:rPr>
                <w:rFonts w:ascii="Times" w:eastAsia="Times" w:hAnsi="Times" w:cs="Times"/>
                <w:b/>
                <w:sz w:val="18"/>
                <w:szCs w:val="18"/>
              </w:rPr>
            </w:pPr>
            <w:proofErr w:type="spellStart"/>
            <w:r>
              <w:rPr>
                <w:b/>
                <w:sz w:val="18"/>
                <w:szCs w:val="18"/>
              </w:rPr>
              <w:t>Haptoglobin</w:t>
            </w:r>
            <w:proofErr w:type="spellEnd"/>
            <w:r>
              <w:rPr>
                <w:b/>
                <w:sz w:val="18"/>
                <w:szCs w:val="18"/>
              </w:rPr>
              <w:t xml:space="preserve"> (g/L)</w:t>
            </w:r>
          </w:p>
        </w:tc>
        <w:tc>
          <w:tcPr>
            <w:tcW w:w="1060" w:type="dxa"/>
            <w:tcMar>
              <w:top w:w="0" w:type="dxa"/>
              <w:left w:w="40" w:type="dxa"/>
              <w:bottom w:w="0" w:type="dxa"/>
              <w:right w:w="40" w:type="dxa"/>
            </w:tcMar>
            <w:vAlign w:val="center"/>
          </w:tcPr>
          <w:p w14:paraId="52A3104B" w14:textId="77777777" w:rsidR="00DF1A34" w:rsidRDefault="003C6E26">
            <w:pPr>
              <w:widowControl w:val="0"/>
              <w:jc w:val="center"/>
              <w:rPr>
                <w:rFonts w:ascii="Times" w:eastAsia="Times" w:hAnsi="Times" w:cs="Times"/>
                <w:sz w:val="18"/>
                <w:szCs w:val="18"/>
              </w:rPr>
            </w:pPr>
            <w:r>
              <w:rPr>
                <w:sz w:val="18"/>
                <w:szCs w:val="18"/>
              </w:rPr>
              <w:t>1.15</w:t>
            </w:r>
          </w:p>
        </w:tc>
        <w:tc>
          <w:tcPr>
            <w:tcW w:w="1060" w:type="dxa"/>
            <w:tcMar>
              <w:top w:w="0" w:type="dxa"/>
              <w:left w:w="40" w:type="dxa"/>
              <w:bottom w:w="0" w:type="dxa"/>
              <w:right w:w="40" w:type="dxa"/>
            </w:tcMar>
            <w:vAlign w:val="center"/>
          </w:tcPr>
          <w:p w14:paraId="54B4E85C" w14:textId="77777777" w:rsidR="00DF1A34" w:rsidRDefault="003C6E26">
            <w:pPr>
              <w:widowControl w:val="0"/>
              <w:jc w:val="center"/>
              <w:rPr>
                <w:rFonts w:ascii="Times" w:eastAsia="Times" w:hAnsi="Times" w:cs="Times"/>
                <w:sz w:val="18"/>
                <w:szCs w:val="18"/>
              </w:rPr>
            </w:pPr>
            <w:r>
              <w:rPr>
                <w:sz w:val="18"/>
                <w:szCs w:val="18"/>
              </w:rPr>
              <w:t>1.12</w:t>
            </w:r>
          </w:p>
        </w:tc>
        <w:tc>
          <w:tcPr>
            <w:tcW w:w="1060" w:type="dxa"/>
            <w:tcMar>
              <w:top w:w="0" w:type="dxa"/>
              <w:left w:w="40" w:type="dxa"/>
              <w:bottom w:w="0" w:type="dxa"/>
              <w:right w:w="40" w:type="dxa"/>
            </w:tcMar>
            <w:vAlign w:val="center"/>
          </w:tcPr>
          <w:p w14:paraId="3B42E677" w14:textId="77777777" w:rsidR="00DF1A34" w:rsidRDefault="003C6E26">
            <w:pPr>
              <w:widowControl w:val="0"/>
              <w:jc w:val="center"/>
              <w:rPr>
                <w:rFonts w:ascii="Times" w:eastAsia="Times" w:hAnsi="Times" w:cs="Times"/>
                <w:sz w:val="18"/>
                <w:szCs w:val="18"/>
              </w:rPr>
            </w:pPr>
            <w:r>
              <w:rPr>
                <w:sz w:val="18"/>
                <w:szCs w:val="18"/>
              </w:rPr>
              <w:t>1.13</w:t>
            </w:r>
          </w:p>
        </w:tc>
        <w:tc>
          <w:tcPr>
            <w:tcW w:w="1060" w:type="dxa"/>
            <w:tcMar>
              <w:top w:w="0" w:type="dxa"/>
              <w:left w:w="40" w:type="dxa"/>
              <w:bottom w:w="0" w:type="dxa"/>
              <w:right w:w="40" w:type="dxa"/>
            </w:tcMar>
            <w:vAlign w:val="center"/>
          </w:tcPr>
          <w:p w14:paraId="1090434B" w14:textId="77777777" w:rsidR="00DF1A34" w:rsidRDefault="003C6E26">
            <w:pPr>
              <w:widowControl w:val="0"/>
              <w:jc w:val="center"/>
              <w:rPr>
                <w:rFonts w:ascii="Times" w:eastAsia="Times" w:hAnsi="Times" w:cs="Times"/>
                <w:sz w:val="18"/>
                <w:szCs w:val="18"/>
              </w:rPr>
            </w:pPr>
            <w:r>
              <w:rPr>
                <w:sz w:val="18"/>
                <w:szCs w:val="18"/>
              </w:rPr>
              <w:t>1.1</w:t>
            </w:r>
          </w:p>
        </w:tc>
        <w:tc>
          <w:tcPr>
            <w:tcW w:w="1060" w:type="dxa"/>
            <w:tcMar>
              <w:top w:w="0" w:type="dxa"/>
              <w:left w:w="40" w:type="dxa"/>
              <w:bottom w:w="0" w:type="dxa"/>
              <w:right w:w="40" w:type="dxa"/>
            </w:tcMar>
            <w:vAlign w:val="center"/>
          </w:tcPr>
          <w:p w14:paraId="0972427B" w14:textId="77777777" w:rsidR="00DF1A34" w:rsidRDefault="003C6E26">
            <w:pPr>
              <w:widowControl w:val="0"/>
              <w:jc w:val="center"/>
              <w:rPr>
                <w:rFonts w:ascii="Times" w:eastAsia="Times" w:hAnsi="Times" w:cs="Times"/>
                <w:sz w:val="18"/>
                <w:szCs w:val="18"/>
              </w:rPr>
            </w:pPr>
            <w:r>
              <w:rPr>
                <w:sz w:val="18"/>
                <w:szCs w:val="18"/>
              </w:rPr>
              <w:t>1.14</w:t>
            </w:r>
          </w:p>
        </w:tc>
        <w:tc>
          <w:tcPr>
            <w:tcW w:w="1060" w:type="dxa"/>
            <w:tcMar>
              <w:top w:w="0" w:type="dxa"/>
              <w:left w:w="40" w:type="dxa"/>
              <w:bottom w:w="0" w:type="dxa"/>
              <w:right w:w="40" w:type="dxa"/>
            </w:tcMar>
            <w:vAlign w:val="center"/>
          </w:tcPr>
          <w:p w14:paraId="7F6D1EEE" w14:textId="77777777" w:rsidR="00DF1A34" w:rsidRDefault="003C6E26">
            <w:pPr>
              <w:widowControl w:val="0"/>
              <w:jc w:val="center"/>
              <w:rPr>
                <w:rFonts w:ascii="Times" w:eastAsia="Times" w:hAnsi="Times" w:cs="Times"/>
                <w:sz w:val="18"/>
                <w:szCs w:val="18"/>
              </w:rPr>
            </w:pPr>
            <w:r>
              <w:rPr>
                <w:sz w:val="18"/>
                <w:szCs w:val="18"/>
              </w:rPr>
              <w:t>1.15</w:t>
            </w:r>
          </w:p>
        </w:tc>
        <w:tc>
          <w:tcPr>
            <w:tcW w:w="1060" w:type="dxa"/>
            <w:tcMar>
              <w:top w:w="0" w:type="dxa"/>
              <w:left w:w="40" w:type="dxa"/>
              <w:bottom w:w="0" w:type="dxa"/>
              <w:right w:w="40" w:type="dxa"/>
            </w:tcMar>
            <w:vAlign w:val="center"/>
          </w:tcPr>
          <w:p w14:paraId="18487DC9" w14:textId="77777777" w:rsidR="00DF1A34" w:rsidRDefault="003C6E26">
            <w:pPr>
              <w:widowControl w:val="0"/>
              <w:jc w:val="center"/>
              <w:rPr>
                <w:rFonts w:ascii="Times" w:eastAsia="Times" w:hAnsi="Times" w:cs="Times"/>
                <w:sz w:val="18"/>
                <w:szCs w:val="18"/>
              </w:rPr>
            </w:pPr>
            <w:r>
              <w:rPr>
                <w:sz w:val="18"/>
                <w:szCs w:val="18"/>
              </w:rPr>
              <w:t>1.1</w:t>
            </w:r>
          </w:p>
        </w:tc>
        <w:tc>
          <w:tcPr>
            <w:tcW w:w="1060" w:type="dxa"/>
            <w:tcMar>
              <w:top w:w="0" w:type="dxa"/>
              <w:left w:w="40" w:type="dxa"/>
              <w:bottom w:w="0" w:type="dxa"/>
              <w:right w:w="40" w:type="dxa"/>
            </w:tcMar>
            <w:vAlign w:val="center"/>
          </w:tcPr>
          <w:p w14:paraId="300E3C19" w14:textId="77777777" w:rsidR="00DF1A34" w:rsidRDefault="003C6E26">
            <w:pPr>
              <w:widowControl w:val="0"/>
              <w:jc w:val="center"/>
              <w:rPr>
                <w:rFonts w:ascii="Times" w:eastAsia="Times" w:hAnsi="Times" w:cs="Times"/>
                <w:sz w:val="18"/>
                <w:szCs w:val="18"/>
              </w:rPr>
            </w:pPr>
            <w:r>
              <w:rPr>
                <w:sz w:val="18"/>
                <w:szCs w:val="18"/>
              </w:rPr>
              <w:t>1.13</w:t>
            </w:r>
          </w:p>
        </w:tc>
        <w:tc>
          <w:tcPr>
            <w:tcW w:w="1060" w:type="dxa"/>
            <w:tcMar>
              <w:top w:w="0" w:type="dxa"/>
              <w:left w:w="40" w:type="dxa"/>
              <w:bottom w:w="0" w:type="dxa"/>
              <w:right w:w="40" w:type="dxa"/>
            </w:tcMar>
            <w:vAlign w:val="center"/>
          </w:tcPr>
          <w:p w14:paraId="2D2447C7" w14:textId="77777777" w:rsidR="00DF1A34" w:rsidRDefault="003C6E26">
            <w:pPr>
              <w:widowControl w:val="0"/>
              <w:jc w:val="center"/>
              <w:rPr>
                <w:rFonts w:ascii="Times" w:eastAsia="Times" w:hAnsi="Times" w:cs="Times"/>
                <w:sz w:val="18"/>
                <w:szCs w:val="18"/>
              </w:rPr>
            </w:pPr>
            <w:r>
              <w:rPr>
                <w:sz w:val="18"/>
                <w:szCs w:val="18"/>
              </w:rPr>
              <w:t>1.15</w:t>
            </w:r>
          </w:p>
        </w:tc>
      </w:tr>
      <w:tr w:rsidR="00DF1A34" w14:paraId="49E57BD7" w14:textId="77777777" w:rsidTr="00683FC4">
        <w:trPr>
          <w:trHeight w:val="940"/>
        </w:trPr>
        <w:tc>
          <w:tcPr>
            <w:tcW w:w="1340" w:type="dxa"/>
            <w:shd w:val="clear" w:color="auto" w:fill="D8D8D8"/>
            <w:tcMar>
              <w:top w:w="0" w:type="dxa"/>
              <w:left w:w="40" w:type="dxa"/>
              <w:bottom w:w="0" w:type="dxa"/>
              <w:right w:w="40" w:type="dxa"/>
            </w:tcMar>
            <w:vAlign w:val="center"/>
          </w:tcPr>
          <w:p w14:paraId="7CFF1EB3" w14:textId="77777777" w:rsidR="00DF1A34" w:rsidRDefault="003C6E26">
            <w:pPr>
              <w:widowControl w:val="0"/>
              <w:jc w:val="center"/>
              <w:rPr>
                <w:rFonts w:ascii="Times" w:eastAsia="Times" w:hAnsi="Times" w:cs="Times"/>
                <w:b/>
                <w:sz w:val="18"/>
                <w:szCs w:val="18"/>
              </w:rPr>
            </w:pPr>
            <w:proofErr w:type="spellStart"/>
            <w:r>
              <w:rPr>
                <w:b/>
                <w:sz w:val="18"/>
                <w:szCs w:val="18"/>
              </w:rPr>
              <w:t>Schistocytes</w:t>
            </w:r>
            <w:proofErr w:type="spellEnd"/>
          </w:p>
        </w:tc>
        <w:tc>
          <w:tcPr>
            <w:tcW w:w="1060" w:type="dxa"/>
            <w:shd w:val="clear" w:color="auto" w:fill="D8D8D8"/>
            <w:tcMar>
              <w:top w:w="0" w:type="dxa"/>
              <w:left w:w="40" w:type="dxa"/>
              <w:bottom w:w="0" w:type="dxa"/>
              <w:right w:w="40" w:type="dxa"/>
            </w:tcMar>
            <w:vAlign w:val="center"/>
          </w:tcPr>
          <w:p w14:paraId="6249B555" w14:textId="77777777" w:rsidR="00DF1A34" w:rsidRDefault="003C6E26">
            <w:pPr>
              <w:widowControl w:val="0"/>
              <w:jc w:val="center"/>
              <w:rPr>
                <w:rFonts w:ascii="Times" w:eastAsia="Times" w:hAnsi="Times" w:cs="Times"/>
                <w:sz w:val="18"/>
                <w:szCs w:val="18"/>
              </w:rPr>
            </w:pPr>
            <w:r>
              <w:rPr>
                <w:sz w:val="18"/>
                <w:szCs w:val="18"/>
              </w:rPr>
              <w:t>-</w:t>
            </w:r>
          </w:p>
        </w:tc>
        <w:tc>
          <w:tcPr>
            <w:tcW w:w="1060" w:type="dxa"/>
            <w:shd w:val="clear" w:color="auto" w:fill="D8D8D8"/>
            <w:tcMar>
              <w:top w:w="0" w:type="dxa"/>
              <w:left w:w="40" w:type="dxa"/>
              <w:bottom w:w="0" w:type="dxa"/>
              <w:right w:w="40" w:type="dxa"/>
            </w:tcMar>
            <w:vAlign w:val="center"/>
          </w:tcPr>
          <w:p w14:paraId="40BE64E8" w14:textId="77777777" w:rsidR="00DF1A34" w:rsidRDefault="003C6E26">
            <w:pPr>
              <w:widowControl w:val="0"/>
              <w:jc w:val="center"/>
              <w:rPr>
                <w:rFonts w:ascii="Times" w:eastAsia="Times" w:hAnsi="Times" w:cs="Times"/>
                <w:sz w:val="18"/>
                <w:szCs w:val="18"/>
              </w:rPr>
            </w:pPr>
            <w:r>
              <w:rPr>
                <w:sz w:val="18"/>
                <w:szCs w:val="18"/>
              </w:rPr>
              <w:t>-</w:t>
            </w:r>
          </w:p>
        </w:tc>
        <w:tc>
          <w:tcPr>
            <w:tcW w:w="1060" w:type="dxa"/>
            <w:shd w:val="clear" w:color="auto" w:fill="D8D8D8"/>
            <w:tcMar>
              <w:top w:w="0" w:type="dxa"/>
              <w:left w:w="40" w:type="dxa"/>
              <w:bottom w:w="0" w:type="dxa"/>
              <w:right w:w="40" w:type="dxa"/>
            </w:tcMar>
            <w:vAlign w:val="center"/>
          </w:tcPr>
          <w:p w14:paraId="6331E8C1" w14:textId="77777777" w:rsidR="00DF1A34" w:rsidRDefault="003C6E26">
            <w:pPr>
              <w:widowControl w:val="0"/>
              <w:jc w:val="center"/>
              <w:rPr>
                <w:rFonts w:ascii="Times" w:eastAsia="Times" w:hAnsi="Times" w:cs="Times"/>
                <w:sz w:val="18"/>
                <w:szCs w:val="18"/>
              </w:rPr>
            </w:pPr>
            <w:r>
              <w:rPr>
                <w:sz w:val="18"/>
                <w:szCs w:val="18"/>
              </w:rPr>
              <w:t>-</w:t>
            </w:r>
          </w:p>
        </w:tc>
        <w:tc>
          <w:tcPr>
            <w:tcW w:w="1060" w:type="dxa"/>
            <w:shd w:val="clear" w:color="auto" w:fill="D8D8D8"/>
            <w:tcMar>
              <w:top w:w="0" w:type="dxa"/>
              <w:left w:w="40" w:type="dxa"/>
              <w:bottom w:w="0" w:type="dxa"/>
              <w:right w:w="40" w:type="dxa"/>
            </w:tcMar>
            <w:vAlign w:val="center"/>
          </w:tcPr>
          <w:p w14:paraId="0CBB111A" w14:textId="77777777" w:rsidR="00DF1A34" w:rsidRDefault="003C6E26">
            <w:pPr>
              <w:widowControl w:val="0"/>
              <w:jc w:val="center"/>
              <w:rPr>
                <w:rFonts w:ascii="Times" w:eastAsia="Times" w:hAnsi="Times" w:cs="Times"/>
                <w:sz w:val="18"/>
                <w:szCs w:val="18"/>
              </w:rPr>
            </w:pPr>
            <w:r>
              <w:rPr>
                <w:sz w:val="18"/>
                <w:szCs w:val="18"/>
              </w:rPr>
              <w:t>-</w:t>
            </w:r>
          </w:p>
        </w:tc>
        <w:tc>
          <w:tcPr>
            <w:tcW w:w="1060" w:type="dxa"/>
            <w:shd w:val="clear" w:color="auto" w:fill="D8D8D8"/>
            <w:tcMar>
              <w:top w:w="0" w:type="dxa"/>
              <w:left w:w="40" w:type="dxa"/>
              <w:bottom w:w="0" w:type="dxa"/>
              <w:right w:w="40" w:type="dxa"/>
            </w:tcMar>
            <w:vAlign w:val="center"/>
          </w:tcPr>
          <w:p w14:paraId="7F8BD5E1" w14:textId="77777777" w:rsidR="00DF1A34" w:rsidRDefault="003C6E26">
            <w:pPr>
              <w:widowControl w:val="0"/>
              <w:jc w:val="center"/>
              <w:rPr>
                <w:rFonts w:ascii="Times" w:eastAsia="Times" w:hAnsi="Times" w:cs="Times"/>
                <w:sz w:val="18"/>
                <w:szCs w:val="18"/>
              </w:rPr>
            </w:pPr>
            <w:r>
              <w:rPr>
                <w:sz w:val="18"/>
                <w:szCs w:val="18"/>
              </w:rPr>
              <w:t>-</w:t>
            </w:r>
          </w:p>
        </w:tc>
        <w:tc>
          <w:tcPr>
            <w:tcW w:w="1060" w:type="dxa"/>
            <w:shd w:val="clear" w:color="auto" w:fill="D8D8D8"/>
            <w:tcMar>
              <w:top w:w="0" w:type="dxa"/>
              <w:left w:w="40" w:type="dxa"/>
              <w:bottom w:w="0" w:type="dxa"/>
              <w:right w:w="40" w:type="dxa"/>
            </w:tcMar>
            <w:vAlign w:val="center"/>
          </w:tcPr>
          <w:p w14:paraId="329904DC" w14:textId="77777777" w:rsidR="00DF1A34" w:rsidRDefault="003C6E26">
            <w:pPr>
              <w:widowControl w:val="0"/>
              <w:jc w:val="center"/>
              <w:rPr>
                <w:rFonts w:ascii="Times" w:eastAsia="Times" w:hAnsi="Times" w:cs="Times"/>
                <w:sz w:val="18"/>
                <w:szCs w:val="18"/>
              </w:rPr>
            </w:pPr>
            <w:r>
              <w:rPr>
                <w:sz w:val="18"/>
                <w:szCs w:val="18"/>
              </w:rPr>
              <w:t>-</w:t>
            </w:r>
          </w:p>
        </w:tc>
        <w:tc>
          <w:tcPr>
            <w:tcW w:w="1060" w:type="dxa"/>
            <w:shd w:val="clear" w:color="auto" w:fill="D8D8D8"/>
            <w:tcMar>
              <w:top w:w="0" w:type="dxa"/>
              <w:left w:w="40" w:type="dxa"/>
              <w:bottom w:w="0" w:type="dxa"/>
              <w:right w:w="40" w:type="dxa"/>
            </w:tcMar>
            <w:vAlign w:val="center"/>
          </w:tcPr>
          <w:p w14:paraId="335C49F5" w14:textId="77777777" w:rsidR="00DF1A34" w:rsidRDefault="003C6E26">
            <w:pPr>
              <w:widowControl w:val="0"/>
              <w:jc w:val="center"/>
              <w:rPr>
                <w:rFonts w:ascii="Times" w:eastAsia="Times" w:hAnsi="Times" w:cs="Times"/>
                <w:sz w:val="18"/>
                <w:szCs w:val="18"/>
              </w:rPr>
            </w:pPr>
            <w:r>
              <w:rPr>
                <w:sz w:val="18"/>
                <w:szCs w:val="18"/>
              </w:rPr>
              <w:t>-</w:t>
            </w:r>
          </w:p>
        </w:tc>
        <w:tc>
          <w:tcPr>
            <w:tcW w:w="1060" w:type="dxa"/>
            <w:shd w:val="clear" w:color="auto" w:fill="D8D8D8"/>
            <w:tcMar>
              <w:top w:w="0" w:type="dxa"/>
              <w:left w:w="40" w:type="dxa"/>
              <w:bottom w:w="0" w:type="dxa"/>
              <w:right w:w="40" w:type="dxa"/>
            </w:tcMar>
            <w:vAlign w:val="center"/>
          </w:tcPr>
          <w:p w14:paraId="768E1444" w14:textId="77777777" w:rsidR="00DF1A34" w:rsidRDefault="003C6E26">
            <w:pPr>
              <w:widowControl w:val="0"/>
              <w:jc w:val="center"/>
              <w:rPr>
                <w:rFonts w:ascii="Times" w:eastAsia="Times" w:hAnsi="Times" w:cs="Times"/>
                <w:sz w:val="18"/>
                <w:szCs w:val="18"/>
              </w:rPr>
            </w:pPr>
            <w:r>
              <w:rPr>
                <w:sz w:val="18"/>
                <w:szCs w:val="18"/>
              </w:rPr>
              <w:t>-</w:t>
            </w:r>
          </w:p>
        </w:tc>
        <w:tc>
          <w:tcPr>
            <w:tcW w:w="1060" w:type="dxa"/>
            <w:shd w:val="clear" w:color="auto" w:fill="D8D8D8"/>
            <w:tcMar>
              <w:top w:w="0" w:type="dxa"/>
              <w:left w:w="40" w:type="dxa"/>
              <w:bottom w:w="0" w:type="dxa"/>
              <w:right w:w="40" w:type="dxa"/>
            </w:tcMar>
            <w:vAlign w:val="center"/>
          </w:tcPr>
          <w:p w14:paraId="43AC73DB" w14:textId="77777777" w:rsidR="00DF1A34" w:rsidRDefault="003C6E26">
            <w:pPr>
              <w:widowControl w:val="0"/>
              <w:jc w:val="center"/>
              <w:rPr>
                <w:rFonts w:ascii="Times" w:eastAsia="Times" w:hAnsi="Times" w:cs="Times"/>
                <w:sz w:val="18"/>
                <w:szCs w:val="18"/>
              </w:rPr>
            </w:pPr>
            <w:r>
              <w:rPr>
                <w:sz w:val="18"/>
                <w:szCs w:val="18"/>
              </w:rPr>
              <w:t>-</w:t>
            </w:r>
          </w:p>
        </w:tc>
      </w:tr>
      <w:tr w:rsidR="00DF1A34" w14:paraId="41F51412" w14:textId="77777777" w:rsidTr="00683FC4">
        <w:trPr>
          <w:trHeight w:val="480"/>
        </w:trPr>
        <w:tc>
          <w:tcPr>
            <w:tcW w:w="1340" w:type="dxa"/>
            <w:tcMar>
              <w:top w:w="0" w:type="dxa"/>
              <w:left w:w="40" w:type="dxa"/>
              <w:bottom w:w="0" w:type="dxa"/>
              <w:right w:w="40" w:type="dxa"/>
            </w:tcMar>
            <w:vAlign w:val="bottom"/>
          </w:tcPr>
          <w:p w14:paraId="03CCB46F" w14:textId="77777777" w:rsidR="00DF1A34" w:rsidRDefault="003C6E26">
            <w:pPr>
              <w:widowControl w:val="0"/>
              <w:jc w:val="center"/>
              <w:rPr>
                <w:rFonts w:ascii="Times" w:eastAsia="Times" w:hAnsi="Times" w:cs="Times"/>
                <w:b/>
                <w:sz w:val="18"/>
                <w:szCs w:val="18"/>
              </w:rPr>
            </w:pPr>
            <w:r>
              <w:rPr>
                <w:b/>
                <w:sz w:val="18"/>
                <w:szCs w:val="18"/>
              </w:rPr>
              <w:t>C3 (g/l)</w:t>
            </w:r>
          </w:p>
        </w:tc>
        <w:tc>
          <w:tcPr>
            <w:tcW w:w="1060" w:type="dxa"/>
            <w:tcMar>
              <w:top w:w="0" w:type="dxa"/>
              <w:left w:w="40" w:type="dxa"/>
              <w:bottom w:w="0" w:type="dxa"/>
              <w:right w:w="40" w:type="dxa"/>
            </w:tcMar>
            <w:vAlign w:val="center"/>
          </w:tcPr>
          <w:p w14:paraId="5F32CB2F" w14:textId="77777777" w:rsidR="00DF1A34" w:rsidRDefault="003C6E26">
            <w:pPr>
              <w:widowControl w:val="0"/>
              <w:jc w:val="center"/>
              <w:rPr>
                <w:rFonts w:ascii="Times" w:eastAsia="Times" w:hAnsi="Times" w:cs="Times"/>
                <w:sz w:val="18"/>
                <w:szCs w:val="18"/>
              </w:rPr>
            </w:pPr>
            <w:r>
              <w:rPr>
                <w:sz w:val="18"/>
                <w:szCs w:val="18"/>
              </w:rPr>
              <w:t>1.37</w:t>
            </w:r>
          </w:p>
        </w:tc>
        <w:tc>
          <w:tcPr>
            <w:tcW w:w="1060" w:type="dxa"/>
            <w:tcMar>
              <w:top w:w="0" w:type="dxa"/>
              <w:left w:w="40" w:type="dxa"/>
              <w:bottom w:w="0" w:type="dxa"/>
              <w:right w:w="40" w:type="dxa"/>
            </w:tcMar>
            <w:vAlign w:val="center"/>
          </w:tcPr>
          <w:p w14:paraId="3AA9A124" w14:textId="77777777" w:rsidR="00DF1A34" w:rsidRDefault="003C6E26">
            <w:pPr>
              <w:widowControl w:val="0"/>
              <w:jc w:val="center"/>
              <w:rPr>
                <w:rFonts w:ascii="Times" w:eastAsia="Times" w:hAnsi="Times" w:cs="Times"/>
                <w:sz w:val="18"/>
                <w:szCs w:val="18"/>
              </w:rPr>
            </w:pPr>
            <w:r>
              <w:rPr>
                <w:sz w:val="18"/>
                <w:szCs w:val="18"/>
              </w:rPr>
              <w:t>1.2</w:t>
            </w:r>
          </w:p>
        </w:tc>
        <w:tc>
          <w:tcPr>
            <w:tcW w:w="1060" w:type="dxa"/>
            <w:tcMar>
              <w:top w:w="0" w:type="dxa"/>
              <w:left w:w="40" w:type="dxa"/>
              <w:bottom w:w="0" w:type="dxa"/>
              <w:right w:w="40" w:type="dxa"/>
            </w:tcMar>
            <w:vAlign w:val="center"/>
          </w:tcPr>
          <w:p w14:paraId="1897BE78" w14:textId="77777777" w:rsidR="00DF1A34" w:rsidRDefault="003C6E26">
            <w:pPr>
              <w:widowControl w:val="0"/>
              <w:jc w:val="center"/>
              <w:rPr>
                <w:rFonts w:ascii="Times" w:eastAsia="Times" w:hAnsi="Times" w:cs="Times"/>
                <w:sz w:val="18"/>
                <w:szCs w:val="18"/>
              </w:rPr>
            </w:pPr>
            <w:r>
              <w:rPr>
                <w:sz w:val="18"/>
                <w:szCs w:val="18"/>
              </w:rPr>
              <w:t>1.38</w:t>
            </w:r>
          </w:p>
        </w:tc>
        <w:tc>
          <w:tcPr>
            <w:tcW w:w="1060" w:type="dxa"/>
            <w:tcMar>
              <w:top w:w="0" w:type="dxa"/>
              <w:left w:w="40" w:type="dxa"/>
              <w:bottom w:w="0" w:type="dxa"/>
              <w:right w:w="40" w:type="dxa"/>
            </w:tcMar>
            <w:vAlign w:val="center"/>
          </w:tcPr>
          <w:p w14:paraId="1072B3A6" w14:textId="77777777" w:rsidR="00DF1A34" w:rsidRDefault="003C6E26">
            <w:pPr>
              <w:widowControl w:val="0"/>
              <w:jc w:val="center"/>
              <w:rPr>
                <w:rFonts w:ascii="Times" w:eastAsia="Times" w:hAnsi="Times" w:cs="Times"/>
                <w:sz w:val="18"/>
                <w:szCs w:val="18"/>
              </w:rPr>
            </w:pPr>
            <w:r>
              <w:rPr>
                <w:sz w:val="18"/>
                <w:szCs w:val="18"/>
              </w:rPr>
              <w:t>1.37</w:t>
            </w:r>
          </w:p>
        </w:tc>
        <w:tc>
          <w:tcPr>
            <w:tcW w:w="1060" w:type="dxa"/>
            <w:tcMar>
              <w:top w:w="0" w:type="dxa"/>
              <w:left w:w="40" w:type="dxa"/>
              <w:bottom w:w="0" w:type="dxa"/>
              <w:right w:w="40" w:type="dxa"/>
            </w:tcMar>
            <w:vAlign w:val="center"/>
          </w:tcPr>
          <w:p w14:paraId="1B62A7AC" w14:textId="77777777" w:rsidR="00DF1A34" w:rsidRDefault="003C6E26">
            <w:pPr>
              <w:widowControl w:val="0"/>
              <w:jc w:val="center"/>
              <w:rPr>
                <w:rFonts w:ascii="Times" w:eastAsia="Times" w:hAnsi="Times" w:cs="Times"/>
                <w:sz w:val="18"/>
                <w:szCs w:val="18"/>
              </w:rPr>
            </w:pPr>
            <w:r>
              <w:rPr>
                <w:sz w:val="18"/>
                <w:szCs w:val="18"/>
              </w:rPr>
              <w:t>1</w:t>
            </w:r>
          </w:p>
        </w:tc>
        <w:tc>
          <w:tcPr>
            <w:tcW w:w="1060" w:type="dxa"/>
            <w:tcMar>
              <w:top w:w="0" w:type="dxa"/>
              <w:left w:w="40" w:type="dxa"/>
              <w:bottom w:w="0" w:type="dxa"/>
              <w:right w:w="40" w:type="dxa"/>
            </w:tcMar>
            <w:vAlign w:val="center"/>
          </w:tcPr>
          <w:p w14:paraId="32C72616" w14:textId="77777777" w:rsidR="00DF1A34" w:rsidRDefault="003C6E26">
            <w:pPr>
              <w:widowControl w:val="0"/>
              <w:jc w:val="center"/>
              <w:rPr>
                <w:rFonts w:ascii="Times" w:eastAsia="Times" w:hAnsi="Times" w:cs="Times"/>
                <w:sz w:val="18"/>
                <w:szCs w:val="18"/>
              </w:rPr>
            </w:pPr>
            <w:r>
              <w:rPr>
                <w:sz w:val="18"/>
                <w:szCs w:val="18"/>
              </w:rPr>
              <w:t>1.39</w:t>
            </w:r>
          </w:p>
        </w:tc>
        <w:tc>
          <w:tcPr>
            <w:tcW w:w="1060" w:type="dxa"/>
            <w:tcMar>
              <w:top w:w="0" w:type="dxa"/>
              <w:left w:w="40" w:type="dxa"/>
              <w:bottom w:w="0" w:type="dxa"/>
              <w:right w:w="40" w:type="dxa"/>
            </w:tcMar>
            <w:vAlign w:val="center"/>
          </w:tcPr>
          <w:p w14:paraId="1D0CE11A" w14:textId="77777777" w:rsidR="00DF1A34" w:rsidRDefault="003C6E26">
            <w:pPr>
              <w:widowControl w:val="0"/>
              <w:jc w:val="center"/>
              <w:rPr>
                <w:rFonts w:ascii="Times" w:eastAsia="Times" w:hAnsi="Times" w:cs="Times"/>
                <w:sz w:val="18"/>
                <w:szCs w:val="18"/>
              </w:rPr>
            </w:pPr>
            <w:r>
              <w:rPr>
                <w:sz w:val="18"/>
                <w:szCs w:val="18"/>
              </w:rPr>
              <w:t>1.2</w:t>
            </w:r>
          </w:p>
        </w:tc>
        <w:tc>
          <w:tcPr>
            <w:tcW w:w="1060" w:type="dxa"/>
            <w:tcMar>
              <w:top w:w="0" w:type="dxa"/>
              <w:left w:w="40" w:type="dxa"/>
              <w:bottom w:w="0" w:type="dxa"/>
              <w:right w:w="40" w:type="dxa"/>
            </w:tcMar>
            <w:vAlign w:val="center"/>
          </w:tcPr>
          <w:p w14:paraId="12246463" w14:textId="77777777" w:rsidR="00DF1A34" w:rsidRDefault="003C6E26">
            <w:pPr>
              <w:widowControl w:val="0"/>
              <w:jc w:val="center"/>
              <w:rPr>
                <w:rFonts w:ascii="Times" w:eastAsia="Times" w:hAnsi="Times" w:cs="Times"/>
                <w:sz w:val="18"/>
                <w:szCs w:val="18"/>
              </w:rPr>
            </w:pPr>
            <w:r>
              <w:rPr>
                <w:sz w:val="18"/>
                <w:szCs w:val="18"/>
              </w:rPr>
              <w:t>1.37</w:t>
            </w:r>
          </w:p>
        </w:tc>
        <w:tc>
          <w:tcPr>
            <w:tcW w:w="1060" w:type="dxa"/>
            <w:tcMar>
              <w:top w:w="0" w:type="dxa"/>
              <w:left w:w="40" w:type="dxa"/>
              <w:bottom w:w="0" w:type="dxa"/>
              <w:right w:w="40" w:type="dxa"/>
            </w:tcMar>
            <w:vAlign w:val="center"/>
          </w:tcPr>
          <w:p w14:paraId="192BD773" w14:textId="77777777" w:rsidR="00DF1A34" w:rsidRDefault="003C6E26">
            <w:pPr>
              <w:widowControl w:val="0"/>
              <w:jc w:val="center"/>
              <w:rPr>
                <w:rFonts w:ascii="Times" w:eastAsia="Times" w:hAnsi="Times" w:cs="Times"/>
                <w:sz w:val="18"/>
                <w:szCs w:val="18"/>
              </w:rPr>
            </w:pPr>
            <w:r>
              <w:rPr>
                <w:sz w:val="18"/>
                <w:szCs w:val="18"/>
              </w:rPr>
              <w:t>1.38</w:t>
            </w:r>
          </w:p>
        </w:tc>
      </w:tr>
      <w:tr w:rsidR="00DF1A34" w14:paraId="3C0370F5" w14:textId="77777777" w:rsidTr="00683FC4">
        <w:trPr>
          <w:trHeight w:val="480"/>
        </w:trPr>
        <w:tc>
          <w:tcPr>
            <w:tcW w:w="1340" w:type="dxa"/>
            <w:shd w:val="clear" w:color="auto" w:fill="D8D8D8"/>
            <w:tcMar>
              <w:top w:w="0" w:type="dxa"/>
              <w:left w:w="40" w:type="dxa"/>
              <w:bottom w:w="0" w:type="dxa"/>
              <w:right w:w="40" w:type="dxa"/>
            </w:tcMar>
            <w:vAlign w:val="bottom"/>
          </w:tcPr>
          <w:p w14:paraId="720FC057" w14:textId="77777777" w:rsidR="00DF1A34" w:rsidRDefault="003C6E26">
            <w:pPr>
              <w:widowControl w:val="0"/>
              <w:jc w:val="center"/>
              <w:rPr>
                <w:rFonts w:ascii="Times" w:eastAsia="Times" w:hAnsi="Times" w:cs="Times"/>
                <w:b/>
                <w:sz w:val="18"/>
                <w:szCs w:val="18"/>
              </w:rPr>
            </w:pPr>
            <w:r>
              <w:rPr>
                <w:b/>
                <w:sz w:val="18"/>
                <w:szCs w:val="18"/>
              </w:rPr>
              <w:t>C4 (g/l)</w:t>
            </w:r>
          </w:p>
        </w:tc>
        <w:tc>
          <w:tcPr>
            <w:tcW w:w="1060" w:type="dxa"/>
            <w:shd w:val="clear" w:color="auto" w:fill="D8D8D8"/>
            <w:tcMar>
              <w:top w:w="0" w:type="dxa"/>
              <w:left w:w="40" w:type="dxa"/>
              <w:bottom w:w="0" w:type="dxa"/>
              <w:right w:w="40" w:type="dxa"/>
            </w:tcMar>
            <w:vAlign w:val="center"/>
          </w:tcPr>
          <w:p w14:paraId="6152C696" w14:textId="77777777" w:rsidR="00DF1A34" w:rsidRDefault="003C6E26">
            <w:pPr>
              <w:widowControl w:val="0"/>
              <w:jc w:val="center"/>
              <w:rPr>
                <w:rFonts w:ascii="Times" w:eastAsia="Times" w:hAnsi="Times" w:cs="Times"/>
                <w:sz w:val="18"/>
                <w:szCs w:val="18"/>
              </w:rPr>
            </w:pPr>
            <w:r>
              <w:rPr>
                <w:sz w:val="18"/>
                <w:szCs w:val="18"/>
              </w:rPr>
              <w:t>0.32</w:t>
            </w:r>
          </w:p>
        </w:tc>
        <w:tc>
          <w:tcPr>
            <w:tcW w:w="1060" w:type="dxa"/>
            <w:shd w:val="clear" w:color="auto" w:fill="D8D8D8"/>
            <w:tcMar>
              <w:top w:w="0" w:type="dxa"/>
              <w:left w:w="40" w:type="dxa"/>
              <w:bottom w:w="0" w:type="dxa"/>
              <w:right w:w="40" w:type="dxa"/>
            </w:tcMar>
            <w:vAlign w:val="center"/>
          </w:tcPr>
          <w:p w14:paraId="3F99416F" w14:textId="77777777" w:rsidR="00DF1A34" w:rsidRDefault="003C6E26">
            <w:pPr>
              <w:widowControl w:val="0"/>
              <w:jc w:val="center"/>
              <w:rPr>
                <w:rFonts w:ascii="Times" w:eastAsia="Times" w:hAnsi="Times" w:cs="Times"/>
                <w:sz w:val="18"/>
                <w:szCs w:val="18"/>
              </w:rPr>
            </w:pPr>
            <w:r>
              <w:rPr>
                <w:sz w:val="18"/>
                <w:szCs w:val="18"/>
              </w:rPr>
              <w:t>0.34</w:t>
            </w:r>
          </w:p>
        </w:tc>
        <w:tc>
          <w:tcPr>
            <w:tcW w:w="1060" w:type="dxa"/>
            <w:shd w:val="clear" w:color="auto" w:fill="D8D8D8"/>
            <w:tcMar>
              <w:top w:w="0" w:type="dxa"/>
              <w:left w:w="40" w:type="dxa"/>
              <w:bottom w:w="0" w:type="dxa"/>
              <w:right w:w="40" w:type="dxa"/>
            </w:tcMar>
            <w:vAlign w:val="center"/>
          </w:tcPr>
          <w:p w14:paraId="75700A1A" w14:textId="77777777" w:rsidR="00DF1A34" w:rsidRDefault="003C6E26">
            <w:pPr>
              <w:widowControl w:val="0"/>
              <w:jc w:val="center"/>
              <w:rPr>
                <w:rFonts w:ascii="Times" w:eastAsia="Times" w:hAnsi="Times" w:cs="Times"/>
                <w:sz w:val="18"/>
                <w:szCs w:val="18"/>
              </w:rPr>
            </w:pPr>
            <w:r>
              <w:rPr>
                <w:sz w:val="18"/>
                <w:szCs w:val="18"/>
              </w:rPr>
              <w:t>0.36</w:t>
            </w:r>
          </w:p>
        </w:tc>
        <w:tc>
          <w:tcPr>
            <w:tcW w:w="1060" w:type="dxa"/>
            <w:shd w:val="clear" w:color="auto" w:fill="D8D8D8"/>
            <w:tcMar>
              <w:top w:w="0" w:type="dxa"/>
              <w:left w:w="40" w:type="dxa"/>
              <w:bottom w:w="0" w:type="dxa"/>
              <w:right w:w="40" w:type="dxa"/>
            </w:tcMar>
            <w:vAlign w:val="center"/>
          </w:tcPr>
          <w:p w14:paraId="66406BEC" w14:textId="77777777" w:rsidR="00DF1A34" w:rsidRDefault="003C6E26">
            <w:pPr>
              <w:widowControl w:val="0"/>
              <w:jc w:val="center"/>
              <w:rPr>
                <w:rFonts w:ascii="Times" w:eastAsia="Times" w:hAnsi="Times" w:cs="Times"/>
                <w:sz w:val="18"/>
                <w:szCs w:val="18"/>
              </w:rPr>
            </w:pPr>
            <w:r>
              <w:rPr>
                <w:sz w:val="18"/>
                <w:szCs w:val="18"/>
              </w:rPr>
              <w:t>0.32</w:t>
            </w:r>
          </w:p>
        </w:tc>
        <w:tc>
          <w:tcPr>
            <w:tcW w:w="1060" w:type="dxa"/>
            <w:shd w:val="clear" w:color="auto" w:fill="D8D8D8"/>
            <w:tcMar>
              <w:top w:w="0" w:type="dxa"/>
              <w:left w:w="40" w:type="dxa"/>
              <w:bottom w:w="0" w:type="dxa"/>
              <w:right w:w="40" w:type="dxa"/>
            </w:tcMar>
            <w:vAlign w:val="center"/>
          </w:tcPr>
          <w:p w14:paraId="50792CE7" w14:textId="77777777" w:rsidR="00DF1A34" w:rsidRDefault="003C6E26">
            <w:pPr>
              <w:widowControl w:val="0"/>
              <w:jc w:val="center"/>
              <w:rPr>
                <w:rFonts w:ascii="Times" w:eastAsia="Times" w:hAnsi="Times" w:cs="Times"/>
                <w:sz w:val="18"/>
                <w:szCs w:val="18"/>
              </w:rPr>
            </w:pPr>
            <w:r>
              <w:rPr>
                <w:sz w:val="18"/>
                <w:szCs w:val="18"/>
              </w:rPr>
              <w:t>0.4</w:t>
            </w:r>
          </w:p>
        </w:tc>
        <w:tc>
          <w:tcPr>
            <w:tcW w:w="1060" w:type="dxa"/>
            <w:shd w:val="clear" w:color="auto" w:fill="D8D8D8"/>
            <w:tcMar>
              <w:top w:w="0" w:type="dxa"/>
              <w:left w:w="40" w:type="dxa"/>
              <w:bottom w:w="0" w:type="dxa"/>
              <w:right w:w="40" w:type="dxa"/>
            </w:tcMar>
            <w:vAlign w:val="center"/>
          </w:tcPr>
          <w:p w14:paraId="53BC7089" w14:textId="77777777" w:rsidR="00DF1A34" w:rsidRDefault="003C6E26">
            <w:pPr>
              <w:widowControl w:val="0"/>
              <w:jc w:val="center"/>
              <w:rPr>
                <w:rFonts w:ascii="Times" w:eastAsia="Times" w:hAnsi="Times" w:cs="Times"/>
                <w:sz w:val="18"/>
                <w:szCs w:val="18"/>
              </w:rPr>
            </w:pPr>
            <w:r>
              <w:rPr>
                <w:sz w:val="18"/>
                <w:szCs w:val="18"/>
              </w:rPr>
              <w:t>0.33</w:t>
            </w:r>
          </w:p>
        </w:tc>
        <w:tc>
          <w:tcPr>
            <w:tcW w:w="1060" w:type="dxa"/>
            <w:shd w:val="clear" w:color="auto" w:fill="D8D8D8"/>
            <w:tcMar>
              <w:top w:w="0" w:type="dxa"/>
              <w:left w:w="40" w:type="dxa"/>
              <w:bottom w:w="0" w:type="dxa"/>
              <w:right w:w="40" w:type="dxa"/>
            </w:tcMar>
            <w:vAlign w:val="center"/>
          </w:tcPr>
          <w:p w14:paraId="7F3610B5" w14:textId="77777777" w:rsidR="00DF1A34" w:rsidRDefault="003C6E26">
            <w:pPr>
              <w:widowControl w:val="0"/>
              <w:jc w:val="center"/>
              <w:rPr>
                <w:rFonts w:ascii="Times" w:eastAsia="Times" w:hAnsi="Times" w:cs="Times"/>
                <w:sz w:val="18"/>
                <w:szCs w:val="18"/>
              </w:rPr>
            </w:pPr>
            <w:r>
              <w:rPr>
                <w:sz w:val="18"/>
                <w:szCs w:val="18"/>
              </w:rPr>
              <w:t>0.32</w:t>
            </w:r>
          </w:p>
        </w:tc>
        <w:tc>
          <w:tcPr>
            <w:tcW w:w="1060" w:type="dxa"/>
            <w:shd w:val="clear" w:color="auto" w:fill="D8D8D8"/>
            <w:tcMar>
              <w:top w:w="0" w:type="dxa"/>
              <w:left w:w="40" w:type="dxa"/>
              <w:bottom w:w="0" w:type="dxa"/>
              <w:right w:w="40" w:type="dxa"/>
            </w:tcMar>
            <w:vAlign w:val="center"/>
          </w:tcPr>
          <w:p w14:paraId="582BE0E5" w14:textId="77777777" w:rsidR="00DF1A34" w:rsidRDefault="003C6E26">
            <w:pPr>
              <w:widowControl w:val="0"/>
              <w:jc w:val="center"/>
              <w:rPr>
                <w:rFonts w:ascii="Times" w:eastAsia="Times" w:hAnsi="Times" w:cs="Times"/>
                <w:sz w:val="18"/>
                <w:szCs w:val="18"/>
              </w:rPr>
            </w:pPr>
            <w:r>
              <w:rPr>
                <w:sz w:val="18"/>
                <w:szCs w:val="18"/>
              </w:rPr>
              <w:t>0.32</w:t>
            </w:r>
          </w:p>
        </w:tc>
        <w:tc>
          <w:tcPr>
            <w:tcW w:w="1060" w:type="dxa"/>
            <w:shd w:val="clear" w:color="auto" w:fill="D8D8D8"/>
            <w:tcMar>
              <w:top w:w="0" w:type="dxa"/>
              <w:left w:w="40" w:type="dxa"/>
              <w:bottom w:w="0" w:type="dxa"/>
              <w:right w:w="40" w:type="dxa"/>
            </w:tcMar>
            <w:vAlign w:val="center"/>
          </w:tcPr>
          <w:p w14:paraId="265F95D2" w14:textId="77777777" w:rsidR="00DF1A34" w:rsidRDefault="003C6E26">
            <w:pPr>
              <w:widowControl w:val="0"/>
              <w:jc w:val="center"/>
              <w:rPr>
                <w:rFonts w:ascii="Times" w:eastAsia="Times" w:hAnsi="Times" w:cs="Times"/>
                <w:sz w:val="18"/>
                <w:szCs w:val="18"/>
              </w:rPr>
            </w:pPr>
            <w:r>
              <w:rPr>
                <w:sz w:val="18"/>
                <w:szCs w:val="18"/>
              </w:rPr>
              <w:t>0.34</w:t>
            </w:r>
          </w:p>
        </w:tc>
      </w:tr>
      <w:tr w:rsidR="00DF1A34" w14:paraId="03665213" w14:textId="77777777" w:rsidTr="00683FC4">
        <w:trPr>
          <w:trHeight w:val="480"/>
        </w:trPr>
        <w:tc>
          <w:tcPr>
            <w:tcW w:w="1340" w:type="dxa"/>
            <w:tcMar>
              <w:top w:w="0" w:type="dxa"/>
              <w:left w:w="40" w:type="dxa"/>
              <w:bottom w:w="0" w:type="dxa"/>
              <w:right w:w="40" w:type="dxa"/>
            </w:tcMar>
            <w:vAlign w:val="bottom"/>
          </w:tcPr>
          <w:p w14:paraId="6B112E69" w14:textId="77777777" w:rsidR="00DF1A34" w:rsidRDefault="003C6E26">
            <w:pPr>
              <w:widowControl w:val="0"/>
              <w:jc w:val="center"/>
              <w:rPr>
                <w:rFonts w:ascii="Times" w:eastAsia="Times" w:hAnsi="Times" w:cs="Times"/>
                <w:b/>
                <w:sz w:val="18"/>
                <w:szCs w:val="18"/>
              </w:rPr>
            </w:pPr>
            <w:proofErr w:type="spellStart"/>
            <w:r>
              <w:rPr>
                <w:b/>
                <w:sz w:val="18"/>
                <w:szCs w:val="18"/>
              </w:rPr>
              <w:t>Serum</w:t>
            </w:r>
            <w:proofErr w:type="spellEnd"/>
            <w:r>
              <w:rPr>
                <w:b/>
                <w:sz w:val="18"/>
                <w:szCs w:val="18"/>
              </w:rPr>
              <w:t xml:space="preserve"> Creatinine (mg/dl)</w:t>
            </w:r>
          </w:p>
        </w:tc>
        <w:tc>
          <w:tcPr>
            <w:tcW w:w="1060" w:type="dxa"/>
            <w:tcMar>
              <w:top w:w="0" w:type="dxa"/>
              <w:left w:w="40" w:type="dxa"/>
              <w:bottom w:w="0" w:type="dxa"/>
              <w:right w:w="40" w:type="dxa"/>
            </w:tcMar>
            <w:vAlign w:val="center"/>
          </w:tcPr>
          <w:p w14:paraId="0D2E4FF5" w14:textId="77777777" w:rsidR="00DF1A34" w:rsidRDefault="003C6E26">
            <w:pPr>
              <w:widowControl w:val="0"/>
              <w:jc w:val="center"/>
              <w:rPr>
                <w:rFonts w:ascii="Times" w:eastAsia="Times" w:hAnsi="Times" w:cs="Times"/>
                <w:sz w:val="18"/>
                <w:szCs w:val="18"/>
              </w:rPr>
            </w:pPr>
            <w:r>
              <w:rPr>
                <w:sz w:val="18"/>
                <w:szCs w:val="18"/>
              </w:rPr>
              <w:t>1.29</w:t>
            </w:r>
          </w:p>
        </w:tc>
        <w:tc>
          <w:tcPr>
            <w:tcW w:w="1060" w:type="dxa"/>
            <w:tcMar>
              <w:top w:w="0" w:type="dxa"/>
              <w:left w:w="40" w:type="dxa"/>
              <w:bottom w:w="0" w:type="dxa"/>
              <w:right w:w="40" w:type="dxa"/>
            </w:tcMar>
            <w:vAlign w:val="center"/>
          </w:tcPr>
          <w:p w14:paraId="44BE2D5D" w14:textId="77777777" w:rsidR="00DF1A34" w:rsidRDefault="003C6E26">
            <w:pPr>
              <w:widowControl w:val="0"/>
              <w:jc w:val="center"/>
              <w:rPr>
                <w:rFonts w:ascii="Times" w:eastAsia="Times" w:hAnsi="Times" w:cs="Times"/>
                <w:sz w:val="18"/>
                <w:szCs w:val="18"/>
              </w:rPr>
            </w:pPr>
            <w:r>
              <w:rPr>
                <w:sz w:val="18"/>
                <w:szCs w:val="18"/>
              </w:rPr>
              <w:t>1.12</w:t>
            </w:r>
          </w:p>
        </w:tc>
        <w:tc>
          <w:tcPr>
            <w:tcW w:w="1060" w:type="dxa"/>
            <w:tcMar>
              <w:top w:w="0" w:type="dxa"/>
              <w:left w:w="40" w:type="dxa"/>
              <w:bottom w:w="0" w:type="dxa"/>
              <w:right w:w="40" w:type="dxa"/>
            </w:tcMar>
            <w:vAlign w:val="center"/>
          </w:tcPr>
          <w:p w14:paraId="4EDF2DF0" w14:textId="77777777" w:rsidR="00DF1A34" w:rsidRDefault="003C6E26">
            <w:pPr>
              <w:widowControl w:val="0"/>
              <w:jc w:val="center"/>
              <w:rPr>
                <w:rFonts w:ascii="Times" w:eastAsia="Times" w:hAnsi="Times" w:cs="Times"/>
                <w:sz w:val="18"/>
                <w:szCs w:val="18"/>
              </w:rPr>
            </w:pPr>
            <w:r>
              <w:rPr>
                <w:sz w:val="18"/>
                <w:szCs w:val="18"/>
              </w:rPr>
              <w:t>1.16</w:t>
            </w:r>
          </w:p>
        </w:tc>
        <w:tc>
          <w:tcPr>
            <w:tcW w:w="1060" w:type="dxa"/>
            <w:tcMar>
              <w:top w:w="0" w:type="dxa"/>
              <w:left w:w="40" w:type="dxa"/>
              <w:bottom w:w="0" w:type="dxa"/>
              <w:right w:w="40" w:type="dxa"/>
            </w:tcMar>
            <w:vAlign w:val="center"/>
          </w:tcPr>
          <w:p w14:paraId="62F23244" w14:textId="77777777" w:rsidR="00DF1A34" w:rsidRDefault="003C6E26">
            <w:pPr>
              <w:widowControl w:val="0"/>
              <w:jc w:val="center"/>
              <w:rPr>
                <w:rFonts w:ascii="Times" w:eastAsia="Times" w:hAnsi="Times" w:cs="Times"/>
                <w:sz w:val="18"/>
                <w:szCs w:val="18"/>
              </w:rPr>
            </w:pPr>
            <w:r>
              <w:rPr>
                <w:sz w:val="18"/>
                <w:szCs w:val="18"/>
              </w:rPr>
              <w:t>1.08</w:t>
            </w:r>
          </w:p>
        </w:tc>
        <w:tc>
          <w:tcPr>
            <w:tcW w:w="1060" w:type="dxa"/>
            <w:tcMar>
              <w:top w:w="0" w:type="dxa"/>
              <w:left w:w="40" w:type="dxa"/>
              <w:bottom w:w="0" w:type="dxa"/>
              <w:right w:w="40" w:type="dxa"/>
            </w:tcMar>
            <w:vAlign w:val="center"/>
          </w:tcPr>
          <w:p w14:paraId="007F51FE" w14:textId="77777777" w:rsidR="00DF1A34" w:rsidRDefault="003C6E26">
            <w:pPr>
              <w:widowControl w:val="0"/>
              <w:jc w:val="center"/>
              <w:rPr>
                <w:rFonts w:ascii="Times" w:eastAsia="Times" w:hAnsi="Times" w:cs="Times"/>
                <w:sz w:val="18"/>
                <w:szCs w:val="18"/>
              </w:rPr>
            </w:pPr>
            <w:r>
              <w:rPr>
                <w:sz w:val="18"/>
                <w:szCs w:val="18"/>
              </w:rPr>
              <w:t>1.37</w:t>
            </w:r>
          </w:p>
        </w:tc>
        <w:tc>
          <w:tcPr>
            <w:tcW w:w="1060" w:type="dxa"/>
            <w:tcMar>
              <w:top w:w="0" w:type="dxa"/>
              <w:left w:w="40" w:type="dxa"/>
              <w:bottom w:w="0" w:type="dxa"/>
              <w:right w:w="40" w:type="dxa"/>
            </w:tcMar>
            <w:vAlign w:val="center"/>
          </w:tcPr>
          <w:p w14:paraId="2F793758" w14:textId="77777777" w:rsidR="00DF1A34" w:rsidRDefault="003C6E26">
            <w:pPr>
              <w:widowControl w:val="0"/>
              <w:jc w:val="center"/>
              <w:rPr>
                <w:rFonts w:ascii="Times" w:eastAsia="Times" w:hAnsi="Times" w:cs="Times"/>
                <w:sz w:val="18"/>
                <w:szCs w:val="18"/>
              </w:rPr>
            </w:pPr>
            <w:r>
              <w:rPr>
                <w:sz w:val="18"/>
                <w:szCs w:val="18"/>
              </w:rPr>
              <w:t>1.19</w:t>
            </w:r>
          </w:p>
        </w:tc>
        <w:tc>
          <w:tcPr>
            <w:tcW w:w="1060" w:type="dxa"/>
            <w:tcMar>
              <w:top w:w="0" w:type="dxa"/>
              <w:left w:w="40" w:type="dxa"/>
              <w:bottom w:w="0" w:type="dxa"/>
              <w:right w:w="40" w:type="dxa"/>
            </w:tcMar>
            <w:vAlign w:val="center"/>
          </w:tcPr>
          <w:p w14:paraId="584CFC0B" w14:textId="77777777" w:rsidR="00DF1A34" w:rsidRDefault="003C6E26">
            <w:pPr>
              <w:widowControl w:val="0"/>
              <w:jc w:val="center"/>
              <w:rPr>
                <w:rFonts w:ascii="Times" w:eastAsia="Times" w:hAnsi="Times" w:cs="Times"/>
                <w:sz w:val="18"/>
                <w:szCs w:val="18"/>
              </w:rPr>
            </w:pPr>
            <w:r>
              <w:rPr>
                <w:sz w:val="18"/>
                <w:szCs w:val="18"/>
              </w:rPr>
              <w:t>1.14</w:t>
            </w:r>
          </w:p>
        </w:tc>
        <w:tc>
          <w:tcPr>
            <w:tcW w:w="1060" w:type="dxa"/>
            <w:tcMar>
              <w:top w:w="0" w:type="dxa"/>
              <w:left w:w="40" w:type="dxa"/>
              <w:bottom w:w="0" w:type="dxa"/>
              <w:right w:w="40" w:type="dxa"/>
            </w:tcMar>
            <w:vAlign w:val="center"/>
          </w:tcPr>
          <w:p w14:paraId="1C6E0582" w14:textId="77777777" w:rsidR="00DF1A34" w:rsidRDefault="003C6E26">
            <w:pPr>
              <w:widowControl w:val="0"/>
              <w:jc w:val="center"/>
              <w:rPr>
                <w:rFonts w:ascii="Times" w:eastAsia="Times" w:hAnsi="Times" w:cs="Times"/>
                <w:sz w:val="18"/>
                <w:szCs w:val="18"/>
              </w:rPr>
            </w:pPr>
            <w:r>
              <w:rPr>
                <w:sz w:val="18"/>
                <w:szCs w:val="18"/>
              </w:rPr>
              <w:t>1.29</w:t>
            </w:r>
          </w:p>
        </w:tc>
        <w:tc>
          <w:tcPr>
            <w:tcW w:w="1060" w:type="dxa"/>
            <w:tcMar>
              <w:top w:w="0" w:type="dxa"/>
              <w:left w:w="40" w:type="dxa"/>
              <w:bottom w:w="0" w:type="dxa"/>
              <w:right w:w="40" w:type="dxa"/>
            </w:tcMar>
            <w:vAlign w:val="center"/>
          </w:tcPr>
          <w:p w14:paraId="43D5FD61" w14:textId="77777777" w:rsidR="00DF1A34" w:rsidRDefault="003C6E26">
            <w:pPr>
              <w:widowControl w:val="0"/>
              <w:jc w:val="center"/>
              <w:rPr>
                <w:rFonts w:ascii="Times" w:eastAsia="Times" w:hAnsi="Times" w:cs="Times"/>
                <w:sz w:val="18"/>
                <w:szCs w:val="18"/>
              </w:rPr>
            </w:pPr>
            <w:r>
              <w:rPr>
                <w:sz w:val="18"/>
                <w:szCs w:val="18"/>
              </w:rPr>
              <w:t>1.3</w:t>
            </w:r>
          </w:p>
        </w:tc>
      </w:tr>
      <w:tr w:rsidR="00DF1A34" w14:paraId="0E6237C8" w14:textId="77777777" w:rsidTr="00683FC4">
        <w:trPr>
          <w:trHeight w:val="740"/>
        </w:trPr>
        <w:tc>
          <w:tcPr>
            <w:tcW w:w="1340" w:type="dxa"/>
            <w:shd w:val="clear" w:color="auto" w:fill="D8D8D8"/>
            <w:tcMar>
              <w:top w:w="0" w:type="dxa"/>
              <w:left w:w="40" w:type="dxa"/>
              <w:bottom w:w="0" w:type="dxa"/>
              <w:right w:w="40" w:type="dxa"/>
            </w:tcMar>
            <w:vAlign w:val="center"/>
          </w:tcPr>
          <w:p w14:paraId="07676298" w14:textId="77777777" w:rsidR="00DF1A34" w:rsidRDefault="003C6E26">
            <w:pPr>
              <w:widowControl w:val="0"/>
              <w:jc w:val="center"/>
              <w:rPr>
                <w:rFonts w:ascii="Times" w:eastAsia="Times" w:hAnsi="Times" w:cs="Times"/>
                <w:b/>
                <w:sz w:val="18"/>
                <w:szCs w:val="18"/>
              </w:rPr>
            </w:pPr>
            <w:r>
              <w:rPr>
                <w:b/>
                <w:sz w:val="18"/>
                <w:szCs w:val="18"/>
              </w:rPr>
              <w:t xml:space="preserve">Creatinine </w:t>
            </w:r>
            <w:proofErr w:type="spellStart"/>
            <w:r>
              <w:rPr>
                <w:b/>
                <w:sz w:val="18"/>
                <w:szCs w:val="18"/>
              </w:rPr>
              <w:t>Clereance</w:t>
            </w:r>
            <w:proofErr w:type="spellEnd"/>
            <w:r>
              <w:rPr>
                <w:b/>
                <w:sz w:val="18"/>
                <w:szCs w:val="18"/>
              </w:rPr>
              <w:t xml:space="preserve"> (ml/</w:t>
            </w:r>
            <w:proofErr w:type="spellStart"/>
            <w:r>
              <w:rPr>
                <w:b/>
                <w:sz w:val="18"/>
                <w:szCs w:val="18"/>
              </w:rPr>
              <w:t>min</w:t>
            </w:r>
            <w:proofErr w:type="spellEnd"/>
            <w:r>
              <w:rPr>
                <w:b/>
                <w:sz w:val="18"/>
                <w:szCs w:val="18"/>
              </w:rPr>
              <w:t>)</w:t>
            </w:r>
          </w:p>
        </w:tc>
        <w:tc>
          <w:tcPr>
            <w:tcW w:w="1060" w:type="dxa"/>
            <w:shd w:val="clear" w:color="auto" w:fill="D8D8D8"/>
            <w:tcMar>
              <w:top w:w="0" w:type="dxa"/>
              <w:left w:w="40" w:type="dxa"/>
              <w:bottom w:w="0" w:type="dxa"/>
              <w:right w:w="40" w:type="dxa"/>
            </w:tcMar>
            <w:vAlign w:val="center"/>
          </w:tcPr>
          <w:p w14:paraId="243E23D5" w14:textId="77777777" w:rsidR="00DF1A34" w:rsidRDefault="003C6E26">
            <w:pPr>
              <w:widowControl w:val="0"/>
              <w:jc w:val="center"/>
              <w:rPr>
                <w:rFonts w:ascii="Times" w:eastAsia="Times" w:hAnsi="Times" w:cs="Times"/>
                <w:sz w:val="18"/>
                <w:szCs w:val="18"/>
              </w:rPr>
            </w:pPr>
            <w:r>
              <w:rPr>
                <w:sz w:val="18"/>
                <w:szCs w:val="18"/>
              </w:rPr>
              <w:t>127</w:t>
            </w:r>
          </w:p>
        </w:tc>
        <w:tc>
          <w:tcPr>
            <w:tcW w:w="1060" w:type="dxa"/>
            <w:shd w:val="clear" w:color="auto" w:fill="D8D8D8"/>
            <w:tcMar>
              <w:top w:w="0" w:type="dxa"/>
              <w:left w:w="40" w:type="dxa"/>
              <w:bottom w:w="0" w:type="dxa"/>
              <w:right w:w="40" w:type="dxa"/>
            </w:tcMar>
            <w:vAlign w:val="center"/>
          </w:tcPr>
          <w:p w14:paraId="7EF16835" w14:textId="77777777" w:rsidR="00DF1A34" w:rsidRDefault="003C6E26">
            <w:pPr>
              <w:widowControl w:val="0"/>
              <w:jc w:val="center"/>
              <w:rPr>
                <w:rFonts w:ascii="Times" w:eastAsia="Times" w:hAnsi="Times" w:cs="Times"/>
                <w:sz w:val="18"/>
                <w:szCs w:val="18"/>
              </w:rPr>
            </w:pPr>
            <w:r>
              <w:rPr>
                <w:sz w:val="18"/>
                <w:szCs w:val="18"/>
              </w:rPr>
              <w:t>139</w:t>
            </w:r>
          </w:p>
        </w:tc>
        <w:tc>
          <w:tcPr>
            <w:tcW w:w="1060" w:type="dxa"/>
            <w:shd w:val="clear" w:color="auto" w:fill="D8D8D8"/>
            <w:tcMar>
              <w:top w:w="0" w:type="dxa"/>
              <w:left w:w="40" w:type="dxa"/>
              <w:bottom w:w="0" w:type="dxa"/>
              <w:right w:w="40" w:type="dxa"/>
            </w:tcMar>
            <w:vAlign w:val="center"/>
          </w:tcPr>
          <w:p w14:paraId="0E37C48D" w14:textId="77777777" w:rsidR="00DF1A34" w:rsidRDefault="003C6E26">
            <w:pPr>
              <w:widowControl w:val="0"/>
              <w:jc w:val="center"/>
              <w:rPr>
                <w:rFonts w:ascii="Times" w:eastAsia="Times" w:hAnsi="Times" w:cs="Times"/>
                <w:sz w:val="18"/>
                <w:szCs w:val="18"/>
              </w:rPr>
            </w:pPr>
            <w:r>
              <w:rPr>
                <w:sz w:val="18"/>
                <w:szCs w:val="18"/>
              </w:rPr>
              <w:t>111</w:t>
            </w:r>
          </w:p>
        </w:tc>
        <w:tc>
          <w:tcPr>
            <w:tcW w:w="1060" w:type="dxa"/>
            <w:shd w:val="clear" w:color="auto" w:fill="D8D8D8"/>
            <w:tcMar>
              <w:top w:w="0" w:type="dxa"/>
              <w:left w:w="40" w:type="dxa"/>
              <w:bottom w:w="0" w:type="dxa"/>
              <w:right w:w="40" w:type="dxa"/>
            </w:tcMar>
            <w:vAlign w:val="center"/>
          </w:tcPr>
          <w:p w14:paraId="0C7BFC1D" w14:textId="77777777" w:rsidR="00DF1A34" w:rsidRDefault="003C6E26">
            <w:pPr>
              <w:widowControl w:val="0"/>
              <w:jc w:val="center"/>
              <w:rPr>
                <w:rFonts w:ascii="Times" w:eastAsia="Times" w:hAnsi="Times" w:cs="Times"/>
                <w:sz w:val="18"/>
                <w:szCs w:val="18"/>
              </w:rPr>
            </w:pPr>
            <w:r>
              <w:rPr>
                <w:sz w:val="18"/>
                <w:szCs w:val="18"/>
              </w:rPr>
              <w:t>108</w:t>
            </w:r>
          </w:p>
        </w:tc>
        <w:tc>
          <w:tcPr>
            <w:tcW w:w="1060" w:type="dxa"/>
            <w:shd w:val="clear" w:color="auto" w:fill="D8D8D8"/>
            <w:tcMar>
              <w:top w:w="0" w:type="dxa"/>
              <w:left w:w="40" w:type="dxa"/>
              <w:bottom w:w="0" w:type="dxa"/>
              <w:right w:w="40" w:type="dxa"/>
            </w:tcMar>
            <w:vAlign w:val="center"/>
          </w:tcPr>
          <w:p w14:paraId="0B83A26E" w14:textId="77777777" w:rsidR="00DF1A34" w:rsidRDefault="003C6E26">
            <w:pPr>
              <w:widowControl w:val="0"/>
              <w:jc w:val="center"/>
              <w:rPr>
                <w:rFonts w:ascii="Times" w:eastAsia="Times" w:hAnsi="Times" w:cs="Times"/>
                <w:sz w:val="18"/>
                <w:szCs w:val="18"/>
              </w:rPr>
            </w:pPr>
            <w:r>
              <w:rPr>
                <w:sz w:val="18"/>
                <w:szCs w:val="18"/>
              </w:rPr>
              <w:t>115</w:t>
            </w:r>
          </w:p>
        </w:tc>
        <w:tc>
          <w:tcPr>
            <w:tcW w:w="1060" w:type="dxa"/>
            <w:shd w:val="clear" w:color="auto" w:fill="D8D8D8"/>
            <w:tcMar>
              <w:top w:w="0" w:type="dxa"/>
              <w:left w:w="40" w:type="dxa"/>
              <w:bottom w:w="0" w:type="dxa"/>
              <w:right w:w="40" w:type="dxa"/>
            </w:tcMar>
            <w:vAlign w:val="center"/>
          </w:tcPr>
          <w:p w14:paraId="53FB0AC9" w14:textId="77777777" w:rsidR="00DF1A34" w:rsidRDefault="003C6E26">
            <w:pPr>
              <w:widowControl w:val="0"/>
              <w:jc w:val="center"/>
              <w:rPr>
                <w:rFonts w:ascii="Times" w:eastAsia="Times" w:hAnsi="Times" w:cs="Times"/>
                <w:sz w:val="18"/>
                <w:szCs w:val="18"/>
              </w:rPr>
            </w:pPr>
            <w:r>
              <w:rPr>
                <w:sz w:val="18"/>
                <w:szCs w:val="18"/>
              </w:rPr>
              <w:t>140</w:t>
            </w:r>
          </w:p>
        </w:tc>
        <w:tc>
          <w:tcPr>
            <w:tcW w:w="1060" w:type="dxa"/>
            <w:shd w:val="clear" w:color="auto" w:fill="D8D8D8"/>
            <w:tcMar>
              <w:top w:w="0" w:type="dxa"/>
              <w:left w:w="40" w:type="dxa"/>
              <w:bottom w:w="0" w:type="dxa"/>
              <w:right w:w="40" w:type="dxa"/>
            </w:tcMar>
            <w:vAlign w:val="center"/>
          </w:tcPr>
          <w:p w14:paraId="60D99D08" w14:textId="77777777" w:rsidR="00DF1A34" w:rsidRDefault="003C6E26">
            <w:pPr>
              <w:widowControl w:val="0"/>
              <w:jc w:val="center"/>
              <w:rPr>
                <w:rFonts w:ascii="Times" w:eastAsia="Times" w:hAnsi="Times" w:cs="Times"/>
                <w:sz w:val="18"/>
                <w:szCs w:val="18"/>
              </w:rPr>
            </w:pPr>
            <w:r>
              <w:rPr>
                <w:sz w:val="18"/>
                <w:szCs w:val="18"/>
              </w:rPr>
              <w:t>109</w:t>
            </w:r>
          </w:p>
        </w:tc>
        <w:tc>
          <w:tcPr>
            <w:tcW w:w="1060" w:type="dxa"/>
            <w:shd w:val="clear" w:color="auto" w:fill="D8D8D8"/>
            <w:tcMar>
              <w:top w:w="0" w:type="dxa"/>
              <w:left w:w="40" w:type="dxa"/>
              <w:bottom w:w="0" w:type="dxa"/>
              <w:right w:w="40" w:type="dxa"/>
            </w:tcMar>
            <w:vAlign w:val="center"/>
          </w:tcPr>
          <w:p w14:paraId="176A17D9" w14:textId="77777777" w:rsidR="00DF1A34" w:rsidRDefault="003C6E26">
            <w:pPr>
              <w:widowControl w:val="0"/>
              <w:jc w:val="center"/>
              <w:rPr>
                <w:rFonts w:ascii="Times" w:eastAsia="Times" w:hAnsi="Times" w:cs="Times"/>
                <w:sz w:val="18"/>
                <w:szCs w:val="18"/>
              </w:rPr>
            </w:pPr>
            <w:r>
              <w:rPr>
                <w:sz w:val="18"/>
                <w:szCs w:val="18"/>
              </w:rPr>
              <w:t>112</w:t>
            </w:r>
          </w:p>
        </w:tc>
        <w:tc>
          <w:tcPr>
            <w:tcW w:w="1060" w:type="dxa"/>
            <w:shd w:val="clear" w:color="auto" w:fill="D8D8D8"/>
            <w:tcMar>
              <w:top w:w="0" w:type="dxa"/>
              <w:left w:w="40" w:type="dxa"/>
              <w:bottom w:w="0" w:type="dxa"/>
              <w:right w:w="40" w:type="dxa"/>
            </w:tcMar>
            <w:vAlign w:val="center"/>
          </w:tcPr>
          <w:p w14:paraId="5C218E70" w14:textId="77777777" w:rsidR="00DF1A34" w:rsidRDefault="003C6E26">
            <w:pPr>
              <w:widowControl w:val="0"/>
              <w:jc w:val="center"/>
              <w:rPr>
                <w:rFonts w:ascii="Times" w:eastAsia="Times" w:hAnsi="Times" w:cs="Times"/>
                <w:sz w:val="18"/>
                <w:szCs w:val="18"/>
              </w:rPr>
            </w:pPr>
            <w:r>
              <w:rPr>
                <w:sz w:val="18"/>
                <w:szCs w:val="18"/>
              </w:rPr>
              <w:t>96</w:t>
            </w:r>
          </w:p>
        </w:tc>
      </w:tr>
      <w:tr w:rsidR="00DF1A34" w14:paraId="318CE6B1" w14:textId="77777777" w:rsidTr="00683FC4">
        <w:trPr>
          <w:trHeight w:val="480"/>
        </w:trPr>
        <w:tc>
          <w:tcPr>
            <w:tcW w:w="1340" w:type="dxa"/>
            <w:tcMar>
              <w:top w:w="0" w:type="dxa"/>
              <w:left w:w="40" w:type="dxa"/>
              <w:bottom w:w="0" w:type="dxa"/>
              <w:right w:w="40" w:type="dxa"/>
            </w:tcMar>
            <w:vAlign w:val="center"/>
          </w:tcPr>
          <w:p w14:paraId="6902A602" w14:textId="77777777" w:rsidR="00DF1A34" w:rsidRDefault="003C6E26">
            <w:pPr>
              <w:widowControl w:val="0"/>
              <w:jc w:val="center"/>
              <w:rPr>
                <w:rFonts w:ascii="Times" w:eastAsia="Times" w:hAnsi="Times" w:cs="Times"/>
                <w:b/>
                <w:sz w:val="18"/>
                <w:szCs w:val="18"/>
              </w:rPr>
            </w:pPr>
            <w:proofErr w:type="spellStart"/>
            <w:r>
              <w:rPr>
                <w:b/>
                <w:sz w:val="18"/>
                <w:szCs w:val="18"/>
              </w:rPr>
              <w:t>Recurrence</w:t>
            </w:r>
            <w:proofErr w:type="spellEnd"/>
          </w:p>
        </w:tc>
        <w:tc>
          <w:tcPr>
            <w:tcW w:w="1060" w:type="dxa"/>
            <w:tcMar>
              <w:top w:w="0" w:type="dxa"/>
              <w:left w:w="40" w:type="dxa"/>
              <w:bottom w:w="0" w:type="dxa"/>
              <w:right w:w="40" w:type="dxa"/>
            </w:tcMar>
            <w:vAlign w:val="center"/>
          </w:tcPr>
          <w:p w14:paraId="25A776F7" w14:textId="77777777" w:rsidR="00DF1A34" w:rsidRDefault="003C6E26">
            <w:pPr>
              <w:widowControl w:val="0"/>
              <w:jc w:val="center"/>
              <w:rPr>
                <w:rFonts w:ascii="Times" w:eastAsia="Times" w:hAnsi="Times" w:cs="Times"/>
                <w:sz w:val="18"/>
                <w:szCs w:val="18"/>
              </w:rPr>
            </w:pPr>
            <w:r>
              <w:rPr>
                <w:sz w:val="18"/>
                <w:szCs w:val="18"/>
              </w:rPr>
              <w:t>-</w:t>
            </w:r>
          </w:p>
        </w:tc>
        <w:tc>
          <w:tcPr>
            <w:tcW w:w="1060" w:type="dxa"/>
            <w:tcMar>
              <w:top w:w="0" w:type="dxa"/>
              <w:left w:w="40" w:type="dxa"/>
              <w:bottom w:w="0" w:type="dxa"/>
              <w:right w:w="40" w:type="dxa"/>
            </w:tcMar>
            <w:vAlign w:val="center"/>
          </w:tcPr>
          <w:p w14:paraId="248BAC36" w14:textId="77777777" w:rsidR="00DF1A34" w:rsidRDefault="003C6E26">
            <w:pPr>
              <w:widowControl w:val="0"/>
              <w:jc w:val="center"/>
              <w:rPr>
                <w:rFonts w:ascii="Times" w:eastAsia="Times" w:hAnsi="Times" w:cs="Times"/>
                <w:sz w:val="21"/>
                <w:szCs w:val="21"/>
              </w:rPr>
            </w:pPr>
            <w:r>
              <w:rPr>
                <w:sz w:val="21"/>
                <w:szCs w:val="21"/>
              </w:rPr>
              <w:t>-</w:t>
            </w:r>
          </w:p>
        </w:tc>
        <w:tc>
          <w:tcPr>
            <w:tcW w:w="1060" w:type="dxa"/>
            <w:tcMar>
              <w:top w:w="0" w:type="dxa"/>
              <w:left w:w="40" w:type="dxa"/>
              <w:bottom w:w="0" w:type="dxa"/>
              <w:right w:w="40" w:type="dxa"/>
            </w:tcMar>
            <w:vAlign w:val="center"/>
          </w:tcPr>
          <w:p w14:paraId="1D5A5C3A" w14:textId="77777777" w:rsidR="00DF1A34" w:rsidRDefault="003C6E26">
            <w:pPr>
              <w:widowControl w:val="0"/>
              <w:jc w:val="center"/>
              <w:rPr>
                <w:rFonts w:ascii="Times" w:eastAsia="Times" w:hAnsi="Times" w:cs="Times"/>
                <w:sz w:val="21"/>
                <w:szCs w:val="21"/>
              </w:rPr>
            </w:pPr>
            <w:r>
              <w:rPr>
                <w:sz w:val="21"/>
                <w:szCs w:val="21"/>
              </w:rPr>
              <w:t>-</w:t>
            </w:r>
          </w:p>
        </w:tc>
        <w:tc>
          <w:tcPr>
            <w:tcW w:w="1060" w:type="dxa"/>
            <w:tcMar>
              <w:top w:w="0" w:type="dxa"/>
              <w:left w:w="40" w:type="dxa"/>
              <w:bottom w:w="0" w:type="dxa"/>
              <w:right w:w="40" w:type="dxa"/>
            </w:tcMar>
            <w:vAlign w:val="center"/>
          </w:tcPr>
          <w:p w14:paraId="2E90D0EC" w14:textId="77777777" w:rsidR="00DF1A34" w:rsidRDefault="003C6E26">
            <w:pPr>
              <w:widowControl w:val="0"/>
              <w:jc w:val="center"/>
              <w:rPr>
                <w:rFonts w:ascii="Times" w:eastAsia="Times" w:hAnsi="Times" w:cs="Times"/>
                <w:sz w:val="21"/>
                <w:szCs w:val="21"/>
              </w:rPr>
            </w:pPr>
            <w:r>
              <w:rPr>
                <w:sz w:val="21"/>
                <w:szCs w:val="21"/>
              </w:rPr>
              <w:t>-</w:t>
            </w:r>
          </w:p>
        </w:tc>
        <w:tc>
          <w:tcPr>
            <w:tcW w:w="1060" w:type="dxa"/>
            <w:tcMar>
              <w:top w:w="0" w:type="dxa"/>
              <w:left w:w="40" w:type="dxa"/>
              <w:bottom w:w="0" w:type="dxa"/>
              <w:right w:w="40" w:type="dxa"/>
            </w:tcMar>
            <w:vAlign w:val="center"/>
          </w:tcPr>
          <w:p w14:paraId="04ABBBE3" w14:textId="77777777" w:rsidR="00DF1A34" w:rsidRDefault="003C6E26">
            <w:pPr>
              <w:widowControl w:val="0"/>
              <w:jc w:val="center"/>
              <w:rPr>
                <w:rFonts w:ascii="Times" w:eastAsia="Times" w:hAnsi="Times" w:cs="Times"/>
                <w:sz w:val="21"/>
                <w:szCs w:val="21"/>
              </w:rPr>
            </w:pPr>
            <w:r>
              <w:rPr>
                <w:sz w:val="21"/>
                <w:szCs w:val="21"/>
              </w:rPr>
              <w:t>-</w:t>
            </w:r>
          </w:p>
        </w:tc>
        <w:tc>
          <w:tcPr>
            <w:tcW w:w="1060" w:type="dxa"/>
            <w:tcMar>
              <w:top w:w="0" w:type="dxa"/>
              <w:left w:w="40" w:type="dxa"/>
              <w:bottom w:w="0" w:type="dxa"/>
              <w:right w:w="40" w:type="dxa"/>
            </w:tcMar>
            <w:vAlign w:val="center"/>
          </w:tcPr>
          <w:p w14:paraId="4B53B840" w14:textId="77777777" w:rsidR="00DF1A34" w:rsidRDefault="003C6E26">
            <w:pPr>
              <w:widowControl w:val="0"/>
              <w:jc w:val="center"/>
              <w:rPr>
                <w:rFonts w:ascii="Times" w:eastAsia="Times" w:hAnsi="Times" w:cs="Times"/>
                <w:sz w:val="21"/>
                <w:szCs w:val="21"/>
              </w:rPr>
            </w:pPr>
            <w:r>
              <w:rPr>
                <w:sz w:val="21"/>
                <w:szCs w:val="21"/>
              </w:rPr>
              <w:t>-</w:t>
            </w:r>
          </w:p>
        </w:tc>
        <w:tc>
          <w:tcPr>
            <w:tcW w:w="1060" w:type="dxa"/>
            <w:tcMar>
              <w:top w:w="0" w:type="dxa"/>
              <w:left w:w="40" w:type="dxa"/>
              <w:bottom w:w="0" w:type="dxa"/>
              <w:right w:w="40" w:type="dxa"/>
            </w:tcMar>
            <w:vAlign w:val="center"/>
          </w:tcPr>
          <w:p w14:paraId="65D03F59" w14:textId="77777777" w:rsidR="00DF1A34" w:rsidRDefault="003C6E26">
            <w:pPr>
              <w:widowControl w:val="0"/>
              <w:jc w:val="center"/>
              <w:rPr>
                <w:rFonts w:ascii="Times" w:eastAsia="Times" w:hAnsi="Times" w:cs="Times"/>
                <w:sz w:val="21"/>
                <w:szCs w:val="21"/>
              </w:rPr>
            </w:pPr>
            <w:r>
              <w:rPr>
                <w:sz w:val="21"/>
                <w:szCs w:val="21"/>
              </w:rPr>
              <w:t>-</w:t>
            </w:r>
          </w:p>
        </w:tc>
        <w:tc>
          <w:tcPr>
            <w:tcW w:w="1060" w:type="dxa"/>
            <w:tcMar>
              <w:top w:w="0" w:type="dxa"/>
              <w:left w:w="40" w:type="dxa"/>
              <w:bottom w:w="0" w:type="dxa"/>
              <w:right w:w="40" w:type="dxa"/>
            </w:tcMar>
            <w:vAlign w:val="center"/>
          </w:tcPr>
          <w:p w14:paraId="011B19D8" w14:textId="77777777" w:rsidR="00DF1A34" w:rsidRDefault="003C6E26">
            <w:pPr>
              <w:widowControl w:val="0"/>
              <w:jc w:val="center"/>
              <w:rPr>
                <w:rFonts w:ascii="Times" w:eastAsia="Times" w:hAnsi="Times" w:cs="Times"/>
                <w:sz w:val="21"/>
                <w:szCs w:val="21"/>
              </w:rPr>
            </w:pPr>
            <w:r>
              <w:rPr>
                <w:sz w:val="21"/>
                <w:szCs w:val="21"/>
              </w:rPr>
              <w:t>-</w:t>
            </w:r>
          </w:p>
        </w:tc>
        <w:tc>
          <w:tcPr>
            <w:tcW w:w="1060" w:type="dxa"/>
            <w:tcMar>
              <w:top w:w="0" w:type="dxa"/>
              <w:left w:w="40" w:type="dxa"/>
              <w:bottom w:w="0" w:type="dxa"/>
              <w:right w:w="40" w:type="dxa"/>
            </w:tcMar>
            <w:vAlign w:val="center"/>
          </w:tcPr>
          <w:p w14:paraId="07BB2526" w14:textId="77777777" w:rsidR="00DF1A34" w:rsidRDefault="003C6E26">
            <w:pPr>
              <w:widowControl w:val="0"/>
              <w:jc w:val="center"/>
              <w:rPr>
                <w:rFonts w:ascii="Times" w:eastAsia="Times" w:hAnsi="Times" w:cs="Times"/>
                <w:sz w:val="21"/>
                <w:szCs w:val="21"/>
              </w:rPr>
            </w:pPr>
            <w:r>
              <w:rPr>
                <w:sz w:val="21"/>
                <w:szCs w:val="21"/>
              </w:rPr>
              <w:t>-</w:t>
            </w:r>
          </w:p>
        </w:tc>
      </w:tr>
    </w:tbl>
    <w:p w14:paraId="057AE903" w14:textId="77777777" w:rsidR="00DF1A34" w:rsidRDefault="00DF1A34"/>
    <w:p w14:paraId="5749C59C" w14:textId="77777777" w:rsidR="00DF1A34" w:rsidRPr="00683FC4" w:rsidRDefault="003C6E26">
      <w:pPr>
        <w:pBdr>
          <w:top w:val="nil"/>
          <w:left w:val="nil"/>
          <w:bottom w:val="nil"/>
          <w:right w:val="nil"/>
          <w:between w:val="nil"/>
        </w:pBdr>
        <w:jc w:val="center"/>
        <w:rPr>
          <w:color w:val="000000"/>
          <w:sz w:val="22"/>
          <w:szCs w:val="22"/>
          <w:lang w:val="en-US"/>
        </w:rPr>
      </w:pPr>
      <w:r w:rsidRPr="00683FC4">
        <w:rPr>
          <w:color w:val="000000"/>
          <w:sz w:val="22"/>
          <w:szCs w:val="22"/>
          <w:lang w:val="en-US"/>
        </w:rPr>
        <w:t>+ indicates yes; and – indicates no.</w:t>
      </w:r>
    </w:p>
    <w:p w14:paraId="442EC5A1" w14:textId="77777777" w:rsidR="00DF1A34" w:rsidRPr="00683FC4" w:rsidRDefault="00DF1A34">
      <w:pPr>
        <w:tabs>
          <w:tab w:val="left" w:pos="6060"/>
        </w:tabs>
        <w:rPr>
          <w:lang w:val="en-US"/>
        </w:rPr>
      </w:pPr>
    </w:p>
    <w:p w14:paraId="51608C73" w14:textId="77777777" w:rsidR="00DF1A34" w:rsidRPr="00683FC4" w:rsidRDefault="00DF1A34">
      <w:pPr>
        <w:tabs>
          <w:tab w:val="left" w:pos="6060"/>
        </w:tabs>
        <w:rPr>
          <w:lang w:val="en-US"/>
        </w:rPr>
      </w:pPr>
    </w:p>
    <w:p w14:paraId="7FF9053E" w14:textId="77777777" w:rsidR="00DF1A34" w:rsidRPr="00683FC4" w:rsidRDefault="00DF1A34">
      <w:pPr>
        <w:spacing w:before="240"/>
        <w:rPr>
          <w:lang w:val="en-US"/>
        </w:rPr>
      </w:pPr>
    </w:p>
    <w:sectPr w:rsidR="00DF1A34" w:rsidRPr="00683FC4">
      <w:headerReference w:type="even" r:id="rId8"/>
      <w:footerReference w:type="even" r:id="rId9"/>
      <w:footerReference w:type="default" r:id="rId10"/>
      <w:headerReference w:type="first" r:id="rId11"/>
      <w:pgSz w:w="12240" w:h="15840"/>
      <w:pgMar w:top="1138" w:right="1181" w:bottom="1138" w:left="128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8917" w14:textId="77777777" w:rsidR="00DC7F80" w:rsidRDefault="00DC7F80">
      <w:r>
        <w:separator/>
      </w:r>
    </w:p>
  </w:endnote>
  <w:endnote w:type="continuationSeparator" w:id="0">
    <w:p w14:paraId="149E81E6" w14:textId="77777777" w:rsidR="00DC7F80" w:rsidRDefault="00DC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95262" w14:textId="77777777" w:rsidR="00DF1A34" w:rsidRDefault="003C6E26">
    <w:pPr>
      <w:rPr>
        <w:color w:val="C00000"/>
      </w:rPr>
    </w:pPr>
    <w:r>
      <w:rPr>
        <w:noProof/>
      </w:rPr>
      <mc:AlternateContent>
        <mc:Choice Requires="wpg">
          <w:drawing>
            <wp:anchor distT="0" distB="0" distL="114300" distR="114300" simplePos="0" relativeHeight="251659264" behindDoc="0" locked="0" layoutInCell="1" hidden="0" allowOverlap="1" wp14:anchorId="074E5348" wp14:editId="62DDABF9">
              <wp:simplePos x="0" y="0"/>
              <wp:positionH relativeFrom="column">
                <wp:posOffset>4686300</wp:posOffset>
              </wp:positionH>
              <wp:positionV relativeFrom="paragraph">
                <wp:posOffset>0</wp:posOffset>
              </wp:positionV>
              <wp:extent cx="1518285" cy="405130"/>
              <wp:effectExtent l="0" t="0" r="0" b="0"/>
              <wp:wrapNone/>
              <wp:docPr id="57" name="Rettangolo 57"/>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14:paraId="3E1A8A4F" w14:textId="77777777" w:rsidR="00DF1A34" w:rsidRDefault="003C6E26">
                          <w:pPr>
                            <w:jc w:val="right"/>
                            <w:textDirection w:val="btLr"/>
                          </w:pPr>
                          <w:r>
                            <w:rPr>
                              <w:color w:val="000000"/>
                            </w:rPr>
                            <w:t xml:space="preserve"> </w:t>
                          </w:r>
                          <w:proofErr w:type="gramStart"/>
                          <w:r>
                            <w:rPr>
                              <w:color w:val="000000"/>
                            </w:rPr>
                            <w:t>PAGE  \</w:t>
                          </w:r>
                          <w:proofErr w:type="gramEnd"/>
                          <w:r>
                            <w:rPr>
                              <w:color w:val="000000"/>
                            </w:rPr>
                            <w:t xml:space="preserve">* </w:t>
                          </w:r>
                          <w:proofErr w:type="spellStart"/>
                          <w:r>
                            <w:rPr>
                              <w:color w:val="000000"/>
                            </w:rPr>
                            <w:t>Arabic</w:t>
                          </w:r>
                          <w:proofErr w:type="spellEnd"/>
                          <w:r>
                            <w:rPr>
                              <w:color w:val="000000"/>
                            </w:rPr>
                            <w:t xml:space="preserve">  \* MERGEFORMAT 2</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D420" w14:textId="77777777" w:rsidR="00DF1A34" w:rsidRDefault="003C6E26">
    <w:pPr>
      <w:rPr>
        <w:b/>
        <w:sz w:val="20"/>
        <w:szCs w:val="20"/>
      </w:rPr>
    </w:pPr>
    <w:r>
      <w:rPr>
        <w:noProof/>
      </w:rPr>
      <mc:AlternateContent>
        <mc:Choice Requires="wpg">
          <w:drawing>
            <wp:anchor distT="0" distB="0" distL="114300" distR="114300" simplePos="0" relativeHeight="251658240" behindDoc="0" locked="0" layoutInCell="1" hidden="0" allowOverlap="1" wp14:anchorId="6D1B5FD9" wp14:editId="4E38F35B">
              <wp:simplePos x="0" y="0"/>
              <wp:positionH relativeFrom="column">
                <wp:posOffset>4686300</wp:posOffset>
              </wp:positionH>
              <wp:positionV relativeFrom="paragraph">
                <wp:posOffset>0</wp:posOffset>
              </wp:positionV>
              <wp:extent cx="1518285" cy="405130"/>
              <wp:effectExtent l="0" t="0" r="0" b="0"/>
              <wp:wrapNone/>
              <wp:docPr id="58" name="Rettangolo 58"/>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14:paraId="56FC5DDA" w14:textId="77777777" w:rsidR="00DF1A34" w:rsidRDefault="003C6E26">
                          <w:pPr>
                            <w:jc w:val="right"/>
                            <w:textDirection w:val="btLr"/>
                          </w:pPr>
                          <w:r>
                            <w:rPr>
                              <w:color w:val="000000"/>
                            </w:rPr>
                            <w:t xml:space="preserve"> </w:t>
                          </w:r>
                          <w:proofErr w:type="gramStart"/>
                          <w:r>
                            <w:rPr>
                              <w:color w:val="000000"/>
                            </w:rPr>
                            <w:t>PAGE  \</w:t>
                          </w:r>
                          <w:proofErr w:type="gramEnd"/>
                          <w:r>
                            <w:rPr>
                              <w:color w:val="000000"/>
                            </w:rPr>
                            <w:t xml:space="preserve">* </w:t>
                          </w:r>
                          <w:proofErr w:type="spellStart"/>
                          <w:r>
                            <w:rPr>
                              <w:color w:val="000000"/>
                            </w:rPr>
                            <w:t>Arabic</w:t>
                          </w:r>
                          <w:proofErr w:type="spellEnd"/>
                          <w:r>
                            <w:rPr>
                              <w:color w:val="000000"/>
                            </w:rPr>
                            <w:t xml:space="preserve">  \* MERGEFORMAT 3</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1F360" w14:textId="77777777" w:rsidR="00DC7F80" w:rsidRDefault="00DC7F80">
      <w:r>
        <w:separator/>
      </w:r>
    </w:p>
  </w:footnote>
  <w:footnote w:type="continuationSeparator" w:id="0">
    <w:p w14:paraId="3B357BF3" w14:textId="77777777" w:rsidR="00DC7F80" w:rsidRDefault="00DC7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6361" w14:textId="77777777" w:rsidR="00DF1A34" w:rsidRDefault="003C6E26">
    <w:proofErr w:type="spellStart"/>
    <w:r>
      <w:t>Supplementary</w:t>
    </w:r>
    <w:proofErr w:type="spellEnd"/>
    <w:r>
      <w:t xml:space="preserve"> </w:t>
    </w:r>
    <w:proofErr w:type="spellStart"/>
    <w:r>
      <w:t>Material</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0596" w14:textId="77777777" w:rsidR="00DF1A34" w:rsidRDefault="003C6E26">
    <w:r>
      <w:rPr>
        <w:b/>
        <w:noProof/>
        <w:color w:val="A6A6A6"/>
      </w:rPr>
      <w:drawing>
        <wp:inline distT="0" distB="0" distL="0" distR="0" wp14:anchorId="79DCB6B5" wp14:editId="235A36FD">
          <wp:extent cx="1534909" cy="551877"/>
          <wp:effectExtent l="0" t="0" r="0" b="0"/>
          <wp:docPr id="59"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F7F00"/>
    <w:multiLevelType w:val="multilevel"/>
    <w:tmpl w:val="D160D606"/>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abstractNum w:abstractNumId="1" w15:restartNumberingAfterBreak="0">
    <w:nsid w:val="75EA71AD"/>
    <w:multiLevelType w:val="multilevel"/>
    <w:tmpl w:val="74DCB8E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34"/>
    <w:rsid w:val="00182210"/>
    <w:rsid w:val="0038536B"/>
    <w:rsid w:val="003C6E26"/>
    <w:rsid w:val="004E6E25"/>
    <w:rsid w:val="006705ED"/>
    <w:rsid w:val="00683FC4"/>
    <w:rsid w:val="0069440F"/>
    <w:rsid w:val="00D770CC"/>
    <w:rsid w:val="00DC7F80"/>
    <w:rsid w:val="00DF1A34"/>
    <w:rsid w:val="00FC2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8C1E"/>
  <w15:docId w15:val="{0A6AC667-4A67-2D44-ADA8-5CFE1703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700A"/>
    <w:rPr>
      <w:lang w:val="it-IT"/>
    </w:rPr>
  </w:style>
  <w:style w:type="paragraph" w:styleId="Titolo1">
    <w:name w:val="heading 1"/>
    <w:basedOn w:val="Paragrafoelenco"/>
    <w:next w:val="Normale"/>
    <w:link w:val="Titolo1Carattere"/>
    <w:uiPriority w:val="9"/>
    <w:qFormat/>
    <w:rsid w:val="00AB6715"/>
    <w:pPr>
      <w:numPr>
        <w:numId w:val="2"/>
      </w:numPr>
      <w:spacing w:before="240"/>
      <w:contextualSpacing w:val="0"/>
      <w:outlineLvl w:val="0"/>
    </w:pPr>
    <w:rPr>
      <w:b/>
    </w:rPr>
  </w:style>
  <w:style w:type="paragraph" w:styleId="Titolo2">
    <w:name w:val="heading 2"/>
    <w:basedOn w:val="Titolo1"/>
    <w:next w:val="Normale"/>
    <w:link w:val="Titolo2Carattere"/>
    <w:uiPriority w:val="9"/>
    <w:unhideWhenUsed/>
    <w:qFormat/>
    <w:rsid w:val="00AB6715"/>
    <w:pPr>
      <w:numPr>
        <w:ilvl w:val="1"/>
      </w:numPr>
      <w:spacing w:after="200"/>
      <w:outlineLvl w:val="1"/>
    </w:pPr>
  </w:style>
  <w:style w:type="paragraph" w:styleId="Titolo3">
    <w:name w:val="heading 3"/>
    <w:basedOn w:val="Normale"/>
    <w:next w:val="Normale"/>
    <w:link w:val="Titolo3Carattere"/>
    <w:uiPriority w:val="9"/>
    <w:semiHidden/>
    <w:unhideWhenUsed/>
    <w:qFormat/>
    <w:rsid w:val="00AB6715"/>
    <w:pPr>
      <w:keepNext/>
      <w:keepLines/>
      <w:numPr>
        <w:ilvl w:val="2"/>
        <w:numId w:val="2"/>
      </w:numPr>
      <w:spacing w:before="40" w:after="120"/>
      <w:outlineLvl w:val="2"/>
    </w:pPr>
    <w:rPr>
      <w:rFonts w:eastAsiaTheme="majorEastAsia" w:cstheme="majorBidi"/>
      <w:b/>
      <w:lang w:val="en-US" w:eastAsia="en-US"/>
    </w:rPr>
  </w:style>
  <w:style w:type="paragraph" w:styleId="Titolo4">
    <w:name w:val="heading 4"/>
    <w:basedOn w:val="Titolo3"/>
    <w:next w:val="Normale"/>
    <w:link w:val="Titolo4Carattere"/>
    <w:uiPriority w:val="9"/>
    <w:semiHidden/>
    <w:unhideWhenUsed/>
    <w:qFormat/>
    <w:rsid w:val="00AB6715"/>
    <w:pPr>
      <w:numPr>
        <w:ilvl w:val="3"/>
      </w:numPr>
      <w:outlineLvl w:val="3"/>
    </w:pPr>
    <w:rPr>
      <w:iCs/>
    </w:rPr>
  </w:style>
  <w:style w:type="paragraph" w:styleId="Titolo5">
    <w:name w:val="heading 5"/>
    <w:basedOn w:val="Titolo4"/>
    <w:next w:val="Normale"/>
    <w:link w:val="Titolo5Carattere"/>
    <w:uiPriority w:val="9"/>
    <w:semiHidden/>
    <w:unhideWhenUsed/>
    <w:qFormat/>
    <w:rsid w:val="00AB6715"/>
    <w:pPr>
      <w:numPr>
        <w:ilvl w:val="4"/>
      </w:numPr>
      <w:outlineLvl w:val="4"/>
    </w:p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AB6715"/>
    <w:pPr>
      <w:suppressLineNumbers/>
      <w:spacing w:before="240" w:after="360"/>
      <w:jc w:val="center"/>
    </w:pPr>
    <w:rPr>
      <w:rFonts w:eastAsiaTheme="minorHAnsi"/>
      <w:b/>
      <w:sz w:val="32"/>
      <w:szCs w:val="32"/>
      <w:lang w:val="en-US" w:eastAsia="en-US"/>
    </w:rPr>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11"/>
    <w:qFormat/>
    <w:pPr>
      <w:spacing w:before="240" w:after="240"/>
    </w:pPr>
    <w:rPr>
      <w:b/>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before="120"/>
    </w:pPr>
    <w:rPr>
      <w:rFonts w:ascii="Tahoma" w:eastAsiaTheme="minorHAnsi" w:hAnsi="Tahoma" w:cs="Tahoma"/>
      <w:sz w:val="16"/>
      <w:szCs w:val="16"/>
      <w:lang w:val="en-US" w:eastAsia="en-US"/>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spacing w:before="120" w:after="240"/>
    </w:pPr>
    <w:rPr>
      <w:rFonts w:eastAsiaTheme="minorHAnsi"/>
      <w:b/>
      <w:bCs/>
      <w:lang w:val="en-US" w:eastAsia="en-US"/>
    </w:rPr>
  </w:style>
  <w:style w:type="paragraph" w:styleId="Nessunaspaziatura">
    <w:name w:val="No Spacing"/>
    <w:uiPriority w:val="99"/>
    <w:unhideWhenUsed/>
    <w:qFormat/>
    <w:rsid w:val="00AB6715"/>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pPr>
      <w:spacing w:before="120" w:after="240"/>
    </w:pPr>
    <w:rPr>
      <w:rFonts w:eastAsia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before="120"/>
    </w:pPr>
    <w:rPr>
      <w:rFonts w:eastAsiaTheme="minorHAnsi" w:cstheme="minorBidi"/>
      <w:sz w:val="20"/>
      <w:szCs w:val="20"/>
      <w:lang w:val="en-US" w:eastAsia="en-US"/>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before="120"/>
    </w:pPr>
    <w:rPr>
      <w:rFonts w:eastAsiaTheme="minorHAnsi" w:cstheme="minorBidi"/>
      <w:szCs w:val="22"/>
      <w:lang w:val="en-US" w:eastAsia="en-US"/>
    </w:r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before="120"/>
    </w:pPr>
    <w:rPr>
      <w:rFonts w:eastAsia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spacing w:before="120" w:after="240"/>
    </w:pPr>
    <w:rPr>
      <w:rFonts w:eastAsiaTheme="minorHAnsi" w:cstheme="minorBidi"/>
      <w:b/>
      <w:szCs w:val="22"/>
      <w:lang w:val="en-US" w:eastAsia="en-US"/>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
    <w:qFormat/>
    <w:rsid w:val="00AB6715"/>
    <w:pPr>
      <w:tabs>
        <w:tab w:val="num" w:pos="720"/>
      </w:tabs>
      <w:spacing w:before="120" w:after="240"/>
      <w:ind w:left="720" w:hanging="720"/>
      <w:contextualSpacing/>
    </w:pPr>
    <w:rPr>
      <w:rFonts w:eastAsia="Cambria"/>
      <w:lang w:val="en-US" w:eastAsia="en-US"/>
    </w:rPr>
  </w:style>
  <w:style w:type="numbering" w:customStyle="1" w:styleId="Headings">
    <w:name w:val="Headings"/>
    <w:uiPriority w:val="99"/>
    <w:rsid w:val="00AB6715"/>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lang w:val="en-US" w:eastAsia="en-US"/>
    </w:rPr>
  </w:style>
  <w:style w:type="paragraph" w:styleId="Citazione">
    <w:name w:val="Quote"/>
    <w:basedOn w:val="Normale"/>
    <w:next w:val="Normale"/>
    <w:link w:val="CitazioneCarattere"/>
    <w:uiPriority w:val="29"/>
    <w:qFormat/>
    <w:rsid w:val="00AB6715"/>
    <w:pPr>
      <w:spacing w:before="200" w:after="160"/>
      <w:ind w:left="864" w:right="864"/>
      <w:jc w:val="center"/>
    </w:pPr>
    <w:rPr>
      <w:rFonts w:eastAsiaTheme="minorHAnsi" w:cstheme="minorBidi"/>
      <w:i/>
      <w:iCs/>
      <w:color w:val="404040" w:themeColor="text1" w:themeTint="BF"/>
      <w:szCs w:val="22"/>
      <w:lang w:val="en-US" w:eastAsia="en-US"/>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table" w:styleId="Sfondochiaro">
    <w:name w:val="Light Shading"/>
    <w:basedOn w:val="Tabellanormale"/>
    <w:uiPriority w:val="60"/>
    <w:rsid w:val="00F50297"/>
    <w:rPr>
      <w:color w:val="000000" w:themeColor="text1" w:themeShade="BF"/>
      <w:lang w:val="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
    <w:basedOn w:val="TableNormal"/>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FFFFF"/>
    </w:tcPr>
    <w:tblStylePr w:type="firstRow">
      <w:rPr>
        <w:rFonts w:ascii="Calibri" w:eastAsia="Calibri" w:hAnsi="Calibri" w:cs="Calibri"/>
        <w:b/>
        <w:i w:val="0"/>
        <w:color w:val="FFFFFF"/>
      </w:rPr>
      <w:tblPr/>
      <w:tcPr>
        <w:tcBorders>
          <w:bottom w:val="single" w:sz="16" w:space="0" w:color="000000"/>
        </w:tcBorders>
        <w:shd w:val="clear" w:color="auto" w:fill="70AD47"/>
      </w:tcPr>
    </w:tblStylePr>
    <w:tblStylePr w:type="lastRow">
      <w:rPr>
        <w:b/>
        <w:i w:val="0"/>
      </w:rPr>
      <w:tblPr/>
      <w:tcPr>
        <w:tcBorders>
          <w:top w:val="single" w:sz="32" w:space="0" w:color="000000"/>
        </w:tcBorders>
        <w:shd w:val="clear" w:color="auto" w:fill="FFFFFF"/>
      </w:tcPr>
    </w:tblStylePr>
    <w:tblStylePr w:type="firstCol">
      <w:rPr>
        <w:rFonts w:ascii="Calibri" w:eastAsia="Calibri" w:hAnsi="Calibri" w:cs="Calibri"/>
        <w:b/>
        <w:i w:val="0"/>
        <w:color w:val="FFFFFF"/>
      </w:rPr>
      <w:tblPr/>
      <w:tcPr>
        <w:shd w:val="clear" w:color="auto" w:fill="70AD47"/>
      </w:tcPr>
    </w:tblStylePr>
    <w:tblStylePr w:type="lastCol">
      <w:rPr>
        <w:rFonts w:ascii="Calibri" w:eastAsia="Calibri" w:hAnsi="Calibri" w:cs="Calibri"/>
        <w:b/>
        <w:i w:val="0"/>
        <w:color w:val="FFFFFF"/>
      </w:rPr>
      <w:tblPr/>
      <w:tcPr>
        <w:shd w:val="clear" w:color="auto" w:fill="70AD47"/>
      </w:tcPr>
    </w:tblStylePr>
    <w:tblStylePr w:type="band1Vert">
      <w:tblPr/>
      <w:tcPr>
        <w:shd w:val="clear" w:color="auto" w:fill="E6E6E6"/>
      </w:tcPr>
    </w:tblStylePr>
    <w:tblStylePr w:type="band1Horz">
      <w:tblPr/>
      <w:tcPr>
        <w:shd w:val="clear" w:color="auto" w:fill="E6E6E6"/>
      </w:tcPr>
    </w:tblStylePr>
    <w:tblStylePr w:type="seCell">
      <w:rPr>
        <w:rFonts w:ascii="Calibri" w:eastAsia="Calibri" w:hAnsi="Calibri" w:cs="Calibri"/>
        <w:b/>
        <w:i w:val="0"/>
        <w:color w:val="000000"/>
      </w:rPr>
    </w:tblStylePr>
    <w:tblStylePr w:type="swCell">
      <w:rPr>
        <w:rFonts w:ascii="Calibri" w:eastAsia="Calibri" w:hAnsi="Calibri" w:cs="Calibri"/>
        <w:b/>
        <w:i w:val="0"/>
        <w:color w:val="000000"/>
      </w:rPr>
    </w:tblStylePr>
  </w:style>
  <w:style w:type="table" w:customStyle="1" w:styleId="a0">
    <w:basedOn w:val="TableNormal"/>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FFFFF"/>
    </w:tcPr>
    <w:tblStylePr w:type="firstRow">
      <w:rPr>
        <w:rFonts w:ascii="Calibri" w:eastAsia="Calibri" w:hAnsi="Calibri" w:cs="Calibri"/>
        <w:b/>
        <w:i w:val="0"/>
        <w:color w:val="FFFFFF"/>
      </w:rPr>
      <w:tblPr/>
      <w:tcPr>
        <w:tcBorders>
          <w:bottom w:val="single" w:sz="16" w:space="0" w:color="000000"/>
        </w:tcBorders>
        <w:shd w:val="clear" w:color="auto" w:fill="70AD47"/>
      </w:tcPr>
    </w:tblStylePr>
    <w:tblStylePr w:type="lastRow">
      <w:rPr>
        <w:b/>
        <w:i w:val="0"/>
      </w:rPr>
      <w:tblPr/>
      <w:tcPr>
        <w:tcBorders>
          <w:top w:val="single" w:sz="32" w:space="0" w:color="000000"/>
        </w:tcBorders>
        <w:shd w:val="clear" w:color="auto" w:fill="FFFFFF"/>
      </w:tcPr>
    </w:tblStylePr>
    <w:tblStylePr w:type="firstCol">
      <w:rPr>
        <w:rFonts w:ascii="Calibri" w:eastAsia="Calibri" w:hAnsi="Calibri" w:cs="Calibri"/>
        <w:b/>
        <w:i w:val="0"/>
        <w:color w:val="FFFFFF"/>
      </w:rPr>
      <w:tblPr/>
      <w:tcPr>
        <w:shd w:val="clear" w:color="auto" w:fill="70AD47"/>
      </w:tcPr>
    </w:tblStylePr>
    <w:tblStylePr w:type="lastCol">
      <w:rPr>
        <w:rFonts w:ascii="Calibri" w:eastAsia="Calibri" w:hAnsi="Calibri" w:cs="Calibri"/>
        <w:b/>
        <w:i w:val="0"/>
        <w:color w:val="FFFFFF"/>
      </w:rPr>
      <w:tblPr/>
      <w:tcPr>
        <w:shd w:val="clear" w:color="auto" w:fill="70AD47"/>
      </w:tcPr>
    </w:tblStylePr>
    <w:tblStylePr w:type="band1Vert">
      <w:tblPr/>
      <w:tcPr>
        <w:shd w:val="clear" w:color="auto" w:fill="E6E6E6"/>
      </w:tcPr>
    </w:tblStylePr>
    <w:tblStylePr w:type="band1Horz">
      <w:tblPr/>
      <w:tcPr>
        <w:shd w:val="clear" w:color="auto" w:fill="E6E6E6"/>
      </w:tcPr>
    </w:tblStylePr>
    <w:tblStylePr w:type="seCell">
      <w:rPr>
        <w:rFonts w:ascii="Calibri" w:eastAsia="Calibri" w:hAnsi="Calibri" w:cs="Calibri"/>
        <w:b/>
        <w:i w:val="0"/>
        <w:color w:val="000000"/>
      </w:rPr>
    </w:tblStylePr>
    <w:tblStylePr w:type="swCell">
      <w:rPr>
        <w:rFonts w:ascii="Calibri" w:eastAsia="Calibri" w:hAnsi="Calibri" w:cs="Calibri"/>
        <w:b/>
        <w:i w:val="0"/>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nbuZAuun5kBut/pNYh5E9jchw==">AMUW2mVqzCgyqdHDiF3+/mi51JybII4VvhdmMhLePtEXJWHKD9PUDdsUIwDCZGiTQZS+qp+CW9R0GvtLAfVs4SDcID1TYH6fCZeR8HVaVIloO1bxckios/iOw7PuJfkhlfP6uTRd9zks/LuYq1S6de45sZkZi58/3GA6NwCvstE1/3cAN1WMB4E=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11382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EMMA DILETTA STEA</cp:lastModifiedBy>
  <cp:revision>2</cp:revision>
  <dcterms:created xsi:type="dcterms:W3CDTF">2022-10-15T14:24:00Z</dcterms:created>
  <dcterms:modified xsi:type="dcterms:W3CDTF">2022-10-15T14:24:00Z</dcterms:modified>
</cp:coreProperties>
</file>