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FDD7" w14:textId="292E406E" w:rsidR="00962848" w:rsidRDefault="006A1586" w:rsidP="00F71058">
      <w:pPr>
        <w:jc w:val="center"/>
      </w:pPr>
      <w:r>
        <w:rPr>
          <w:noProof/>
        </w:rPr>
        <w:drawing>
          <wp:inline distT="0" distB="0" distL="0" distR="0" wp14:anchorId="6E6A95DF" wp14:editId="74A55778">
            <wp:extent cx="6858000" cy="4660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AABB0" w14:textId="28C3C1C5" w:rsidR="006B0556" w:rsidRDefault="006B0556" w:rsidP="006B0556">
      <w:pPr>
        <w:spacing w:line="240" w:lineRule="auto"/>
        <w:rPr>
          <w:rFonts w:ascii="Arial" w:hAnsi="Arial" w:cs="Arial"/>
        </w:rPr>
      </w:pPr>
      <w:r w:rsidRPr="00F35EE0">
        <w:rPr>
          <w:rFonts w:ascii="Arial" w:hAnsi="Arial" w:cs="Arial"/>
          <w:b/>
          <w:bCs/>
        </w:rPr>
        <w:t>Supplementary Figure 1</w:t>
      </w:r>
      <w:r w:rsidRPr="00F35E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Spotting buffer selection </w:t>
      </w:r>
      <w:r w:rsidRPr="00F35EE0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bacterial microarray development</w:t>
      </w:r>
      <w:r w:rsidRPr="00F35EE0">
        <w:rPr>
          <w:rFonts w:ascii="Arial" w:hAnsi="Arial" w:cs="Arial"/>
        </w:rPr>
        <w:t>. Carbonate buffer</w:t>
      </w:r>
      <w:r>
        <w:rPr>
          <w:rFonts w:ascii="Arial" w:hAnsi="Arial" w:cs="Arial"/>
        </w:rPr>
        <w:t>s</w:t>
      </w:r>
      <w:r w:rsidRPr="00F35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(CB) </w:t>
      </w:r>
      <w:r w:rsidRPr="00F35EE0">
        <w:rPr>
          <w:rFonts w:ascii="Arial" w:hAnsi="Arial" w:cs="Arial"/>
        </w:rPr>
        <w:t>containing eight different combinations of Tween</w:t>
      </w:r>
      <w:r>
        <w:rPr>
          <w:rFonts w:ascii="Arial" w:hAnsi="Arial" w:cs="Arial"/>
        </w:rPr>
        <w:t xml:space="preserve"> 20 (T) </w:t>
      </w:r>
      <w:r w:rsidRPr="00F35EE0">
        <w:rPr>
          <w:rFonts w:ascii="Arial" w:hAnsi="Arial" w:cs="Arial"/>
        </w:rPr>
        <w:t>and/or glycerol</w:t>
      </w:r>
      <w:r>
        <w:rPr>
          <w:rFonts w:ascii="Arial" w:hAnsi="Arial" w:cs="Arial"/>
        </w:rPr>
        <w:t xml:space="preserve"> (G)</w:t>
      </w:r>
      <w:r w:rsidRPr="00F35EE0">
        <w:rPr>
          <w:rFonts w:ascii="Arial" w:hAnsi="Arial" w:cs="Arial"/>
        </w:rPr>
        <w:t xml:space="preserve"> were tested with (</w:t>
      </w:r>
      <w:r w:rsidR="007C31FC">
        <w:rPr>
          <w:rFonts w:ascii="Arial" w:hAnsi="Arial" w:cs="Arial"/>
        </w:rPr>
        <w:t>A</w:t>
      </w:r>
      <w:r w:rsidRPr="00F35EE0">
        <w:rPr>
          <w:rFonts w:ascii="Arial" w:hAnsi="Arial" w:cs="Arial"/>
        </w:rPr>
        <w:t xml:space="preserve">) </w:t>
      </w:r>
      <w:r w:rsidRPr="00F35EE0">
        <w:rPr>
          <w:rFonts w:ascii="Arial" w:hAnsi="Arial" w:cs="Arial"/>
          <w:i/>
          <w:iCs/>
        </w:rPr>
        <w:t xml:space="preserve">Salmonella </w:t>
      </w:r>
      <w:r w:rsidRPr="00CD610D">
        <w:rPr>
          <w:rFonts w:ascii="Arial" w:hAnsi="Arial" w:cs="Arial"/>
        </w:rPr>
        <w:t>Typhimurium</w:t>
      </w:r>
      <w:r>
        <w:rPr>
          <w:rFonts w:ascii="Arial" w:hAnsi="Arial" w:cs="Arial"/>
        </w:rPr>
        <w:t>, a representative of Gram-</w:t>
      </w:r>
      <w:r w:rsidRPr="00F35EE0">
        <w:rPr>
          <w:rFonts w:ascii="Arial" w:hAnsi="Arial" w:cs="Arial"/>
        </w:rPr>
        <w:t>negative bacteria</w:t>
      </w:r>
      <w:r>
        <w:rPr>
          <w:rFonts w:ascii="Arial" w:hAnsi="Arial" w:cs="Arial"/>
        </w:rPr>
        <w:t>,</w:t>
      </w:r>
      <w:r w:rsidRPr="00F35EE0">
        <w:rPr>
          <w:rFonts w:ascii="Arial" w:hAnsi="Arial" w:cs="Arial"/>
        </w:rPr>
        <w:t xml:space="preserve"> and (</w:t>
      </w:r>
      <w:r w:rsidR="007C31FC">
        <w:rPr>
          <w:rFonts w:ascii="Arial" w:hAnsi="Arial" w:cs="Arial"/>
        </w:rPr>
        <w:t>B</w:t>
      </w:r>
      <w:r w:rsidRPr="00F35EE0">
        <w:rPr>
          <w:rFonts w:ascii="Arial" w:hAnsi="Arial" w:cs="Arial"/>
        </w:rPr>
        <w:t xml:space="preserve">) </w:t>
      </w:r>
      <w:r w:rsidRPr="00F35EE0">
        <w:rPr>
          <w:rFonts w:ascii="Arial" w:hAnsi="Arial" w:cs="Arial"/>
          <w:i/>
          <w:iCs/>
        </w:rPr>
        <w:t>Listeria monocytogenes</w:t>
      </w:r>
      <w:r>
        <w:rPr>
          <w:rFonts w:ascii="Arial" w:hAnsi="Arial" w:cs="Arial"/>
        </w:rPr>
        <w:t>, a representative of Gram-</w:t>
      </w:r>
      <w:r w:rsidRPr="00F35EE0">
        <w:rPr>
          <w:rFonts w:ascii="Arial" w:hAnsi="Arial" w:cs="Arial"/>
        </w:rPr>
        <w:t>positive bacteria.  (</w:t>
      </w:r>
      <w:r w:rsidR="007C31FC">
        <w:rPr>
          <w:rFonts w:ascii="Arial" w:hAnsi="Arial" w:cs="Arial"/>
        </w:rPr>
        <w:t>C</w:t>
      </w:r>
      <w:r w:rsidRPr="00F35E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bacterial microarray developed using </w:t>
      </w:r>
      <w:r w:rsidRPr="00850F90">
        <w:rPr>
          <w:rFonts w:ascii="Arial" w:hAnsi="Arial" w:cs="Arial"/>
        </w:rPr>
        <w:t xml:space="preserve">CBTG and CBG spotting buffers </w:t>
      </w:r>
      <w:r>
        <w:rPr>
          <w:rFonts w:ascii="Arial" w:hAnsi="Arial" w:cs="Arial"/>
        </w:rPr>
        <w:t>for the Gram-</w:t>
      </w:r>
      <w:r w:rsidRPr="00850F90">
        <w:rPr>
          <w:rFonts w:ascii="Arial" w:hAnsi="Arial" w:cs="Arial"/>
        </w:rPr>
        <w:t xml:space="preserve">negative and </w:t>
      </w:r>
      <w:r>
        <w:rPr>
          <w:rFonts w:ascii="Arial" w:hAnsi="Arial" w:cs="Arial"/>
        </w:rPr>
        <w:t>Gram-</w:t>
      </w:r>
      <w:r w:rsidRPr="00850F90">
        <w:rPr>
          <w:rFonts w:ascii="Arial" w:hAnsi="Arial" w:cs="Arial"/>
        </w:rPr>
        <w:t>positive bacteria, respectively</w:t>
      </w:r>
      <w:r>
        <w:rPr>
          <w:rFonts w:ascii="Arial" w:hAnsi="Arial" w:cs="Arial"/>
        </w:rPr>
        <w:t xml:space="preserve">, tested with </w:t>
      </w:r>
      <w:r w:rsidRPr="00F35EE0">
        <w:rPr>
          <w:rFonts w:ascii="Arial" w:hAnsi="Arial" w:cs="Arial"/>
        </w:rPr>
        <w:t>antibod</w:t>
      </w:r>
      <w:r>
        <w:rPr>
          <w:rFonts w:ascii="Arial" w:hAnsi="Arial" w:cs="Arial"/>
        </w:rPr>
        <w:t>ies</w:t>
      </w:r>
      <w:r w:rsidRPr="00F35EE0">
        <w:rPr>
          <w:rFonts w:ascii="Arial" w:hAnsi="Arial" w:cs="Arial"/>
        </w:rPr>
        <w:t xml:space="preserve"> specific to </w:t>
      </w:r>
      <w:r w:rsidRPr="00F35EE0">
        <w:rPr>
          <w:rFonts w:ascii="Arial" w:hAnsi="Arial" w:cs="Arial"/>
          <w:i/>
          <w:iCs/>
        </w:rPr>
        <w:t xml:space="preserve">Campylobacter </w:t>
      </w:r>
      <w:r w:rsidRPr="00F35EE0">
        <w:rPr>
          <w:rFonts w:ascii="Arial" w:hAnsi="Arial" w:cs="Arial"/>
        </w:rPr>
        <w:t>spp.</w:t>
      </w:r>
      <w:r>
        <w:rPr>
          <w:rFonts w:ascii="Arial" w:hAnsi="Arial" w:cs="Arial"/>
        </w:rPr>
        <w:t>(C818Ab)</w:t>
      </w:r>
      <w:r w:rsidRPr="00F35EE0">
        <w:rPr>
          <w:rFonts w:ascii="Arial" w:hAnsi="Arial" w:cs="Arial"/>
        </w:rPr>
        <w:t xml:space="preserve">, </w:t>
      </w:r>
      <w:r w:rsidRPr="00F35EE0">
        <w:rPr>
          <w:rFonts w:ascii="Arial" w:hAnsi="Arial" w:cs="Arial"/>
          <w:i/>
          <w:iCs/>
        </w:rPr>
        <w:t>E. coli</w:t>
      </w:r>
      <w:r w:rsidRPr="00F35EE0">
        <w:rPr>
          <w:rFonts w:ascii="Arial" w:hAnsi="Arial" w:cs="Arial"/>
        </w:rPr>
        <w:t xml:space="preserve"> O157:H7</w:t>
      </w:r>
      <w:r>
        <w:rPr>
          <w:rFonts w:ascii="Arial" w:hAnsi="Arial" w:cs="Arial"/>
        </w:rPr>
        <w:t xml:space="preserve"> (ECO157Ab)</w:t>
      </w:r>
      <w:r w:rsidRPr="00F35EE0">
        <w:rPr>
          <w:rFonts w:ascii="Arial" w:hAnsi="Arial" w:cs="Arial"/>
        </w:rPr>
        <w:t xml:space="preserve">, </w:t>
      </w:r>
      <w:r w:rsidRPr="00F35EE0">
        <w:rPr>
          <w:rFonts w:ascii="Arial" w:hAnsi="Arial" w:cs="Arial"/>
          <w:i/>
          <w:iCs/>
        </w:rPr>
        <w:t>Salmonella</w:t>
      </w:r>
      <w:r w:rsidRPr="00F35EE0">
        <w:rPr>
          <w:rFonts w:ascii="Arial" w:hAnsi="Arial" w:cs="Arial"/>
        </w:rPr>
        <w:t xml:space="preserve"> spp.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SalKPL</w:t>
      </w:r>
      <w:proofErr w:type="spellEnd"/>
      <w:r>
        <w:rPr>
          <w:rFonts w:ascii="Arial" w:hAnsi="Arial" w:cs="Arial"/>
        </w:rPr>
        <w:t>)</w:t>
      </w:r>
      <w:r w:rsidRPr="00F35EE0">
        <w:rPr>
          <w:rFonts w:ascii="Arial" w:hAnsi="Arial" w:cs="Arial"/>
        </w:rPr>
        <w:t xml:space="preserve">, </w:t>
      </w:r>
      <w:r w:rsidRPr="00F35EE0">
        <w:rPr>
          <w:rFonts w:ascii="Arial" w:hAnsi="Arial" w:cs="Arial"/>
          <w:i/>
          <w:iCs/>
        </w:rPr>
        <w:t>Vibrio parahaemolyticus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VPAb</w:t>
      </w:r>
      <w:proofErr w:type="spellEnd"/>
      <w:r>
        <w:rPr>
          <w:rFonts w:ascii="Arial" w:hAnsi="Arial" w:cs="Arial"/>
        </w:rPr>
        <w:t>)</w:t>
      </w:r>
      <w:r w:rsidRPr="00F35EE0">
        <w:rPr>
          <w:rFonts w:ascii="Arial" w:hAnsi="Arial" w:cs="Arial"/>
        </w:rPr>
        <w:t xml:space="preserve">, </w:t>
      </w:r>
      <w:r w:rsidRPr="00F35EE0">
        <w:rPr>
          <w:rFonts w:ascii="Arial" w:hAnsi="Arial" w:cs="Arial"/>
          <w:i/>
          <w:iCs/>
        </w:rPr>
        <w:t>Listeria</w:t>
      </w:r>
      <w:r w:rsidRPr="00F35EE0">
        <w:rPr>
          <w:rFonts w:ascii="Arial" w:hAnsi="Arial" w:cs="Arial"/>
        </w:rPr>
        <w:t xml:space="preserve"> spp.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ListKPL</w:t>
      </w:r>
      <w:proofErr w:type="spellEnd"/>
      <w:r>
        <w:rPr>
          <w:rFonts w:ascii="Arial" w:hAnsi="Arial" w:cs="Arial"/>
        </w:rPr>
        <w:t>)</w:t>
      </w:r>
      <w:r w:rsidRPr="00F35EE0">
        <w:rPr>
          <w:rFonts w:ascii="Arial" w:hAnsi="Arial" w:cs="Arial"/>
        </w:rPr>
        <w:t xml:space="preserve">, and whole phage specific to </w:t>
      </w:r>
      <w:r w:rsidRPr="00F35EE0">
        <w:rPr>
          <w:rFonts w:ascii="Arial" w:hAnsi="Arial" w:cs="Arial"/>
          <w:i/>
          <w:iCs/>
        </w:rPr>
        <w:t>Listeria monocytogenes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</w:t>
      </w:r>
      <w:r w:rsidRPr="00103A75">
        <w:rPr>
          <w:rFonts w:ascii="Arial" w:hAnsi="Arial" w:cs="Arial"/>
        </w:rPr>
        <w:t>LM0205P02D06</w:t>
      </w:r>
      <w:r>
        <w:rPr>
          <w:rFonts w:ascii="Arial" w:hAnsi="Arial" w:cs="Arial"/>
        </w:rPr>
        <w:t xml:space="preserve"> phage)</w:t>
      </w:r>
      <w:r w:rsidRPr="00F35EE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Dotted lines represent cut-off values which indicate a value twice that of the background. Error bars indicate standard derivation (SD) values (n=5).</w:t>
      </w:r>
      <w:r w:rsidR="007C31FC">
        <w:rPr>
          <w:rFonts w:ascii="Arial" w:hAnsi="Arial" w:cs="Arial"/>
        </w:rPr>
        <w:t xml:space="preserve"> </w:t>
      </w:r>
      <w:r w:rsidR="007C31FC" w:rsidRPr="007C31FC">
        <w:rPr>
          <w:rFonts w:ascii="Arial" w:hAnsi="Arial" w:cs="Arial"/>
          <w:i/>
          <w:iCs/>
        </w:rPr>
        <w:t>*p</w:t>
      </w:r>
      <w:r w:rsidR="007C31FC">
        <w:rPr>
          <w:rFonts w:ascii="Arial" w:hAnsi="Arial" w:cs="Arial"/>
        </w:rPr>
        <w:t xml:space="preserve"> &lt; 0.05, </w:t>
      </w:r>
      <w:r w:rsidR="007C31FC" w:rsidRPr="007C31FC">
        <w:rPr>
          <w:rFonts w:ascii="Arial" w:hAnsi="Arial" w:cs="Arial"/>
          <w:i/>
          <w:iCs/>
        </w:rPr>
        <w:t>**p</w:t>
      </w:r>
      <w:r w:rsidR="007C31FC">
        <w:rPr>
          <w:rFonts w:ascii="Arial" w:hAnsi="Arial" w:cs="Arial"/>
        </w:rPr>
        <w:t xml:space="preserve"> &lt;0.005, </w:t>
      </w:r>
      <w:r w:rsidR="007C31FC" w:rsidRPr="007C31FC">
        <w:rPr>
          <w:rFonts w:ascii="Arial" w:hAnsi="Arial" w:cs="Arial"/>
          <w:i/>
          <w:iCs/>
        </w:rPr>
        <w:t>***p</w:t>
      </w:r>
      <w:r w:rsidR="007C31FC">
        <w:rPr>
          <w:rFonts w:ascii="Arial" w:hAnsi="Arial" w:cs="Arial"/>
        </w:rPr>
        <w:t xml:space="preserve"> &lt; 0.0005, </w:t>
      </w:r>
      <w:r w:rsidR="007C31FC" w:rsidRPr="007C31FC">
        <w:rPr>
          <w:rFonts w:ascii="Arial" w:hAnsi="Arial" w:cs="Arial"/>
          <w:i/>
          <w:iCs/>
        </w:rPr>
        <w:t>****p</w:t>
      </w:r>
      <w:r w:rsidR="007C31FC">
        <w:rPr>
          <w:rFonts w:ascii="Arial" w:hAnsi="Arial" w:cs="Arial"/>
        </w:rPr>
        <w:t xml:space="preserve"> &lt; 0.0001, and </w:t>
      </w:r>
      <w:r w:rsidR="007C31FC" w:rsidRPr="007C31FC">
        <w:rPr>
          <w:rFonts w:ascii="Arial" w:hAnsi="Arial" w:cs="Arial"/>
          <w:i/>
          <w:iCs/>
        </w:rPr>
        <w:t>ns</w:t>
      </w:r>
      <w:r w:rsidR="007C31FC">
        <w:rPr>
          <w:rFonts w:ascii="Arial" w:hAnsi="Arial" w:cs="Arial"/>
        </w:rPr>
        <w:t xml:space="preserve"> = non-significantly different. </w:t>
      </w:r>
    </w:p>
    <w:p w14:paraId="22E8D812" w14:textId="77777777" w:rsidR="006B0556" w:rsidRDefault="006B0556" w:rsidP="006B0556"/>
    <w:sectPr w:rsidR="006B0556" w:rsidSect="00033DB9">
      <w:pgSz w:w="12240" w:h="15840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B1"/>
    <w:rsid w:val="00033DB9"/>
    <w:rsid w:val="000C496F"/>
    <w:rsid w:val="0012758A"/>
    <w:rsid w:val="002B42B1"/>
    <w:rsid w:val="006A1586"/>
    <w:rsid w:val="006B0556"/>
    <w:rsid w:val="007B31DE"/>
    <w:rsid w:val="007C31FC"/>
    <w:rsid w:val="007C74CC"/>
    <w:rsid w:val="00883BD7"/>
    <w:rsid w:val="008E75F7"/>
    <w:rsid w:val="00962848"/>
    <w:rsid w:val="00A213D3"/>
    <w:rsid w:val="00AC0E40"/>
    <w:rsid w:val="00D52F44"/>
    <w:rsid w:val="00E306CD"/>
    <w:rsid w:val="00F71058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CAD2"/>
  <w15:chartTrackingRefBased/>
  <w15:docId w15:val="{137BA0C9-A170-4628-9871-95C7B18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5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Fluke RC</dc:creator>
  <cp:keywords/>
  <dc:description/>
  <cp:lastModifiedBy>Fluke RC</cp:lastModifiedBy>
  <cp:revision>3</cp:revision>
  <dcterms:created xsi:type="dcterms:W3CDTF">2022-09-02T07:16:00Z</dcterms:created>
  <dcterms:modified xsi:type="dcterms:W3CDTF">2022-09-02T07:21:00Z</dcterms:modified>
</cp:coreProperties>
</file>