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D9C" w14:textId="7353B9C1" w:rsidR="002F1C04" w:rsidRPr="009C1FC1" w:rsidRDefault="002F1C04">
      <w:pPr>
        <w:rPr>
          <w:rFonts w:ascii="Times New Roman" w:hAnsi="Times New Roman" w:cs="Times New Roman" w:hint="eastAsia"/>
          <w:b/>
          <w:bCs/>
          <w:sz w:val="32"/>
          <w:szCs w:val="36"/>
        </w:rPr>
      </w:pPr>
      <w:r w:rsidRPr="002F1C04">
        <w:rPr>
          <w:rFonts w:ascii="Times New Roman" w:hAnsi="Times New Roman" w:cs="Times New Roman"/>
          <w:b/>
          <w:bCs/>
          <w:sz w:val="32"/>
          <w:szCs w:val="36"/>
        </w:rPr>
        <w:t xml:space="preserve">Supplementary </w:t>
      </w:r>
      <w:r>
        <w:rPr>
          <w:rFonts w:ascii="Times New Roman" w:hAnsi="Times New Roman" w:cs="Times New Roman"/>
          <w:b/>
          <w:bCs/>
          <w:sz w:val="32"/>
          <w:szCs w:val="36"/>
        </w:rPr>
        <w:t>M</w:t>
      </w:r>
      <w:r w:rsidRPr="002F1C04">
        <w:rPr>
          <w:rFonts w:ascii="Times New Roman" w:hAnsi="Times New Roman" w:cs="Times New Roman"/>
          <w:b/>
          <w:bCs/>
          <w:sz w:val="32"/>
          <w:szCs w:val="36"/>
        </w:rPr>
        <w:t>ethods:</w:t>
      </w:r>
    </w:p>
    <w:p w14:paraId="49CFC368" w14:textId="77777777" w:rsidR="002F1C04" w:rsidRPr="0012200D" w:rsidRDefault="002F1C04" w:rsidP="002F1C04">
      <w:pPr>
        <w:pStyle w:val="a7"/>
        <w:spacing w:before="0" w:beforeAutospacing="0" w:after="0" w:afterAutospacing="0" w:line="480" w:lineRule="auto"/>
        <w:rPr>
          <w:rFonts w:ascii="Times New Roman" w:hAnsi="Times New Roman" w:cs="Times New Roman"/>
          <w:sz w:val="22"/>
          <w:szCs w:val="22"/>
        </w:rPr>
      </w:pPr>
      <w:r w:rsidRPr="005218F3">
        <w:rPr>
          <w:rFonts w:ascii="Times New Roman" w:hAnsi="Times New Roman" w:cs="Times New Roman"/>
          <w:b/>
          <w:bCs/>
          <w:sz w:val="22"/>
          <w:szCs w:val="22"/>
        </w:rPr>
        <w:t>Image Acquisition Protocol</w:t>
      </w:r>
    </w:p>
    <w:p w14:paraId="42883E87" w14:textId="2BE3AA5D" w:rsidR="002F1C04" w:rsidRPr="00226C9C" w:rsidRDefault="002F1C04" w:rsidP="002F1C04">
      <w:pPr>
        <w:pStyle w:val="a7"/>
        <w:spacing w:before="0" w:beforeAutospacing="0" w:after="20" w:afterAutospacing="0" w:line="480" w:lineRule="auto"/>
        <w:rPr>
          <w:rFonts w:ascii="Calibri" w:hAnsi="Calibri" w:cs="Calibri"/>
          <w:sz w:val="22"/>
          <w:szCs w:val="22"/>
        </w:rPr>
      </w:pPr>
      <w:r w:rsidRPr="0012200D">
        <w:rPr>
          <w:rFonts w:ascii="Times New Roman" w:hAnsi="Times New Roman" w:cs="Times New Roman"/>
          <w:sz w:val="22"/>
          <w:szCs w:val="22"/>
        </w:rPr>
        <w:t>All the procedures involved in PET/CT examination met the Uniform Protocols for Imaging in Clinical Trials (UPICT) 18F-FDG PET/CT protocol</w:t>
      </w:r>
      <w:r>
        <w:rPr>
          <w:rFonts w:ascii="Times New Roman" w:hAnsi="Times New Roman" w:cs="Times New Roman"/>
          <w:sz w:val="22"/>
          <w:szCs w:val="22"/>
        </w:rPr>
        <w:t xml:space="preserve"> </w:t>
      </w:r>
      <w:r>
        <w:rPr>
          <w:rFonts w:ascii="Times New Roman" w:hAnsi="Times New Roman" w:cs="Times New Roman"/>
          <w:sz w:val="22"/>
          <w:szCs w:val="22"/>
        </w:rPr>
        <w:fldChar w:fldCharType="begin">
          <w:fldData xml:space="preserve">PEVuZE5vdGU+PENpdGU+PEF1dGhvcj5HcmFoYW08L0F1dGhvcj48WWVhcj4yMDE1PC9ZZWFyPjxS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</w:fldData>
        </w:fldChar>
      </w:r>
      <w:r>
        <w:rPr>
          <w:rFonts w:ascii="Times New Roman" w:hAnsi="Times New Roman" w:cs="Times New Roman"/>
          <w:sz w:val="22"/>
          <w:szCs w:val="22"/>
        </w:rPr>
        <w:instrText xml:space="preserve"> ADDIN EN.CITE </w:instrText>
      </w:r>
      <w:r>
        <w:rPr>
          <w:rFonts w:ascii="Times New Roman" w:hAnsi="Times New Roman" w:cs="Times New Roman"/>
          <w:sz w:val="22"/>
          <w:szCs w:val="22"/>
        </w:rPr>
        <w:fldChar w:fldCharType="begin">
          <w:fldData xml:space="preserve">PEVuZE5vdGU+PENpdGU+PEF1dGhvcj5HcmFoYW08L0F1dGhvcj48WWVhcj4yMDE1PC9ZZWFyPjxS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</w:fldData>
        </w:fldChar>
      </w:r>
      <w:r>
        <w:rPr>
          <w:rFonts w:ascii="Times New Roman" w:hAnsi="Times New Roman" w:cs="Times New Roman"/>
          <w:sz w:val="22"/>
          <w:szCs w:val="22"/>
        </w:rPr>
        <w:instrText xml:space="preserve"> ADDIN EN.CITE.DATA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[1]</w:t>
      </w:r>
      <w:r>
        <w:rPr>
          <w:rFonts w:ascii="Times New Roman" w:hAnsi="Times New Roman" w:cs="Times New Roman"/>
          <w:sz w:val="22"/>
          <w:szCs w:val="22"/>
        </w:rPr>
        <w:fldChar w:fldCharType="end"/>
      </w:r>
      <w:r w:rsidRPr="0012200D">
        <w:rPr>
          <w:rFonts w:ascii="Times New Roman" w:hAnsi="Times New Roman" w:cs="Times New Roman"/>
          <w:sz w:val="22"/>
          <w:szCs w:val="22"/>
        </w:rPr>
        <w:t xml:space="preserve">. All patients fasted for at least 4 hours before </w:t>
      </w:r>
      <w:r w:rsidRPr="0012200D">
        <w:rPr>
          <w:rFonts w:ascii="Times New Roman" w:hAnsi="Times New Roman" w:cs="Times New Roman"/>
          <w:sz w:val="22"/>
          <w:szCs w:val="22"/>
          <w:vertAlign w:val="superscript"/>
        </w:rPr>
        <w:t>18</w:t>
      </w:r>
      <w:r w:rsidRPr="0012200D">
        <w:rPr>
          <w:rFonts w:ascii="Times New Roman" w:hAnsi="Times New Roman" w:cs="Times New Roman"/>
          <w:sz w:val="22"/>
          <w:szCs w:val="22"/>
        </w:rPr>
        <w:t xml:space="preserve">F-FDG administration. Patients with a blood glucose level higher than 144 mg/dL (8.0 mmol/L) or lower than 72 mg/dL (4.0 mmol/L) were rescheduled. Patients were implanted with 20G indwelling intravenous catheters (Jierui Medical Product), followed by </w:t>
      </w:r>
      <w:r w:rsidRPr="0012200D">
        <w:rPr>
          <w:rFonts w:ascii="Times New Roman" w:hAnsi="Times New Roman" w:cs="Times New Roman"/>
          <w:sz w:val="22"/>
          <w:szCs w:val="22"/>
          <w:vertAlign w:val="superscript"/>
        </w:rPr>
        <w:t>18</w:t>
      </w:r>
      <w:r w:rsidRPr="0012200D">
        <w:rPr>
          <w:rFonts w:ascii="Times New Roman" w:hAnsi="Times New Roman" w:cs="Times New Roman"/>
          <w:sz w:val="22"/>
          <w:szCs w:val="22"/>
        </w:rPr>
        <w:t>F-FDG manual administration with 5.92 M</w:t>
      </w:r>
      <w:r w:rsidRPr="00226C9C">
        <w:rPr>
          <w:rFonts w:ascii="Times New Roman" w:hAnsi="Times New Roman" w:cs="Times New Roman"/>
          <w:sz w:val="22"/>
          <w:szCs w:val="22"/>
        </w:rPr>
        <w:t>Bq (0.16 mCi per body weight). PET/CT studies were acquired from mid-thigh to the base of the skull</w:t>
      </w:r>
      <w:r>
        <w:rPr>
          <w:rFonts w:ascii="Times New Roman" w:hAnsi="Times New Roman" w:cs="Times New Roman"/>
          <w:sz w:val="22"/>
          <w:szCs w:val="22"/>
        </w:rPr>
        <w:fldChar w:fldCharType="begin">
          <w:fldData xml:space="preserve">PEVuZE5vdGU+PENpdGU+PEF1dGhvcj5Cb2VsbGFhcmQ8L0F1dGhvcj48WWVhcj4yMDE1PC9ZZWFy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</w:fldData>
        </w:fldChar>
      </w:r>
      <w:r>
        <w:rPr>
          <w:rFonts w:ascii="Times New Roman" w:hAnsi="Times New Roman" w:cs="Times New Roman"/>
          <w:sz w:val="22"/>
          <w:szCs w:val="22"/>
        </w:rPr>
        <w:instrText xml:space="preserve"> ADDIN EN.CITE </w:instrText>
      </w:r>
      <w:r>
        <w:rPr>
          <w:rFonts w:ascii="Times New Roman" w:hAnsi="Times New Roman" w:cs="Times New Roman"/>
          <w:sz w:val="22"/>
          <w:szCs w:val="22"/>
        </w:rPr>
        <w:fldChar w:fldCharType="begin">
          <w:fldData xml:space="preserve">PEVuZE5vdGU+PENpdGU+PEF1dGhvcj5Cb2VsbGFhcmQ8L0F1dGhvcj48WWVhcj4yMDE1PC9ZZWFy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</w:fldData>
        </w:fldChar>
      </w:r>
      <w:r>
        <w:rPr>
          <w:rFonts w:ascii="Times New Roman" w:hAnsi="Times New Roman" w:cs="Times New Roman"/>
          <w:sz w:val="22"/>
          <w:szCs w:val="22"/>
        </w:rPr>
        <w:instrText xml:space="preserve"> ADDIN EN.CITE.DATA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[2]</w:t>
      </w:r>
      <w:r>
        <w:rPr>
          <w:rFonts w:ascii="Times New Roman" w:hAnsi="Times New Roman" w:cs="Times New Roman"/>
          <w:sz w:val="22"/>
          <w:szCs w:val="22"/>
        </w:rPr>
        <w:fldChar w:fldCharType="end"/>
      </w:r>
      <w:r w:rsidRPr="00226C9C">
        <w:rPr>
          <w:rFonts w:ascii="Times New Roman" w:hAnsi="Times New Roman" w:cs="Times New Roman"/>
          <w:sz w:val="22"/>
          <w:szCs w:val="22"/>
        </w:rPr>
        <w:t xml:space="preserve"> using a total-body PET/CT scanner (Biograph HI-REZ 16, Siemens Healthcare, Henkestr, Germany) after 60 ± 5 min resting in dark room</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&lt;EndNote&gt;&lt;Cite&gt;&lt;Author&gt;O&lt;/Author&gt;&lt;Year&gt;2016&lt;/Year&gt;&lt;RecNum&gt;20&lt;/RecNum&gt;&lt;DisplayText&gt;[3]&lt;/DisplayText&gt;&lt;record&gt;&lt;rec-number&gt;20&lt;/rec-number&gt;&lt;foreign-keys&gt;&lt;key app="EN" db-id="w0vfarxt3fxa2mett20vr5d7p9zzzt5dwpvp" timestamp="1642736206"&gt;20&lt;/key&gt;&lt;/foreign-keys&gt;&lt;ref-type name="Journal Article"&gt;17&lt;/ref-type&gt;&lt;contributors&gt;&lt;authors&gt;&lt;author&gt;O, J. H.&lt;/author&gt;&lt;author&gt;Lodge, M. A.&lt;/author&gt;&lt;author&gt;Wahl, R. L.&lt;/author&gt;&lt;/authors&gt;&lt;/contributors&gt;&lt;auth-address&gt;From the Division of Nuclear Medicine, The Russell H. Morgan Department of Radiology and Radiological Science, Johns Hopkins University School of Medicine, Baltimore, Md.&lt;/auth-address&gt;&lt;titles&gt;&lt;title&gt;Practical PERCIST: A Simplified Guide to PET Response Criteria in Solid Tumors 1.0&lt;/title&gt;&lt;secondary-title&gt;Radiology&lt;/secondary-title&gt;&lt;/titles&gt;&lt;periodical&gt;&lt;full-title&gt;Radiology&lt;/full-title&gt;&lt;/periodical&gt;&lt;pages&gt;576-84&lt;/pages&gt;&lt;volume&gt;280&lt;/volume&gt;&lt;number&gt;2&lt;/number&gt;&lt;edition&gt;2016/02/26&lt;/edition&gt;&lt;keywords&gt;&lt;keyword&gt;*Fluorodeoxyglucose F18&lt;/keyword&gt;&lt;keyword&gt;Humans&lt;/keyword&gt;&lt;keyword&gt;Neoplasms/*diagnostic imaging&lt;/keyword&gt;&lt;keyword&gt;Positron-Emission Tomography/*methods&lt;/keyword&gt;&lt;keyword&gt;*Practice Guidelines as Topic&lt;/keyword&gt;&lt;keyword&gt;*Radiopharmaceuticals&lt;/keyword&gt;&lt;/keywords&gt;&lt;dates&gt;&lt;year&gt;2016&lt;/year&gt;&lt;pub-dates&gt;&lt;date&gt;Aug&lt;/date&gt;&lt;/pub-dates&gt;&lt;/dates&gt;&lt;isbn&gt;1527-1315 (Electronic)&amp;#xD;0033-8419 (Linking)&lt;/isbn&gt;&lt;accession-num&gt;26909647&lt;/accession-num&gt;&lt;urls&gt;&lt;related-urls&gt;&lt;url&gt;https://www.ncbi.nlm.nih.gov/pubmed/26909647&lt;/url&gt;&lt;url&gt;https://pubs.rsna.org/doi/pdf/10.1148/radiol.2016142043&lt;/url&gt;&lt;/related-urls&gt;&lt;/urls&gt;&lt;custom2&gt;PMC4976461&lt;/custom2&gt;&lt;electronic-resource-num&gt;10.1148/radiol.2016142043&lt;/electronic-resource-num&gt;&lt;remote-database-provider&gt;NLM&lt;/remote-database-provider&gt;&lt;language&gt;eng&lt;/language&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[3]</w:t>
      </w:r>
      <w:r>
        <w:rPr>
          <w:rFonts w:ascii="Times New Roman" w:hAnsi="Times New Roman" w:cs="Times New Roman"/>
          <w:sz w:val="22"/>
          <w:szCs w:val="22"/>
        </w:rPr>
        <w:fldChar w:fldCharType="end"/>
      </w:r>
      <w:r w:rsidRPr="00226C9C">
        <w:rPr>
          <w:rFonts w:ascii="Times New Roman" w:hAnsi="Times New Roman" w:cs="Times New Roman"/>
          <w:sz w:val="22"/>
          <w:szCs w:val="22"/>
        </w:rPr>
        <w:t>. Subjects were instructed to lie supine on the scanning bed with the arms at their sides during scanning. Firstly, Low dose CT scans (tube current 50 mAs, voltage 120 kV, rotation time 0.5 s, pitch 1.35, collimation 16 × 0.75 mm) of the torso were obtained which reconstructed in a 512 × 512 matrix for attenuation correction and anatomic registration. Emission data were acquired with 2 min/bed position in 3 dimensional mode; and PET images were reconstructed using ordered subset expectation maximization (OSEM) , 4 iterations, 8 subsets, matrix 128 × 128, display field of view (DFOV) of 68.3 cm. Images were reconstructed with a voxel size of []×[]×[] mm</w:t>
      </w:r>
      <w:r w:rsidRPr="00226C9C">
        <w:rPr>
          <w:rFonts w:ascii="Times New Roman" w:hAnsi="Times New Roman" w:cs="Times New Roman"/>
          <w:sz w:val="22"/>
          <w:szCs w:val="22"/>
          <w:vertAlign w:val="superscript"/>
        </w:rPr>
        <w:t>3</w:t>
      </w:r>
      <w:r>
        <w:rPr>
          <w:rFonts w:ascii="Times New Roman" w:hAnsi="Times New Roman" w:cs="Times New Roman"/>
          <w:sz w:val="22"/>
          <w:szCs w:val="22"/>
        </w:rPr>
        <w:t xml:space="preserve"> </w:t>
      </w:r>
      <w:r w:rsidRPr="00226C9C">
        <w:rPr>
          <w:rFonts w:ascii="Times New Roman" w:hAnsi="Times New Roman" w:cs="Times New Roman"/>
          <w:sz w:val="22"/>
          <w:szCs w:val="22"/>
        </w:rPr>
        <w:t>and were smoothed using a post-reconstruction Gaussian filter with a FWHM of 5 mm.</w:t>
      </w:r>
    </w:p>
    <w:p w14:paraId="7FD3A166" w14:textId="46B85BA9" w:rsidR="002F1C04" w:rsidRDefault="002F1C04" w:rsidP="002F1C04">
      <w:pPr>
        <w:pStyle w:val="a7"/>
        <w:spacing w:before="0" w:beforeAutospacing="0" w:after="20" w:afterAutospacing="0" w:line="480" w:lineRule="auto"/>
        <w:rPr>
          <w:rFonts w:ascii="Times New Roman" w:hAnsi="Times New Roman" w:cs="Times New Roman"/>
          <w:sz w:val="22"/>
          <w:szCs w:val="22"/>
        </w:rPr>
      </w:pPr>
      <w:r w:rsidRPr="00226C9C">
        <w:rPr>
          <w:rFonts w:ascii="Times New Roman" w:hAnsi="Times New Roman" w:cs="Times New Roman"/>
          <w:sz w:val="22"/>
          <w:szCs w:val="22"/>
        </w:rPr>
        <w:t>Subsequently, an inhale breath hold thoracic contrast-enhanced CT (CECT) (120kV, 140mAs, rotation time 0.5 s, pitch 1.35, collimation 16 × 0.</w:t>
      </w:r>
      <w:r>
        <w:rPr>
          <w:rFonts w:ascii="Times New Roman" w:hAnsi="Times New Roman" w:cs="Times New Roman"/>
          <w:sz w:val="22"/>
          <w:szCs w:val="22"/>
        </w:rPr>
        <w:t>8</w:t>
      </w:r>
      <w:r w:rsidRPr="00226C9C">
        <w:rPr>
          <w:rFonts w:ascii="Times New Roman" w:hAnsi="Times New Roman" w:cs="Times New Roman"/>
          <w:sz w:val="22"/>
          <w:szCs w:val="22"/>
        </w:rPr>
        <w:t xml:space="preserve">5 mm) was implemented with a non-ioniciodinated contrast agent (Iopamiro, 370 mg of iodine/ml, Bracco Sine Pharmaceutical </w:t>
      </w:r>
      <w:r w:rsidRPr="00226C9C">
        <w:rPr>
          <w:rFonts w:ascii="Times New Roman" w:hAnsi="Times New Roman" w:cs="Times New Roman"/>
          <w:sz w:val="22"/>
          <w:szCs w:val="22"/>
        </w:rPr>
        <w:lastRenderedPageBreak/>
        <w:t xml:space="preserve">Corp. Ltd., Shanghai, China) using the same PET/CT scanner. The thoracic CECT was started 40 s after </w:t>
      </w:r>
      <w:r w:rsidRPr="00226C9C">
        <w:rPr>
          <w:rFonts w:ascii="Times New Roman" w:hAnsi="Times New Roman" w:cs="Times New Roman"/>
          <w:sz w:val="22"/>
          <w:szCs w:val="22"/>
          <w:lang w:val="en-GB"/>
        </w:rPr>
        <w:t xml:space="preserve">the intravenous bolus injection </w:t>
      </w:r>
      <w:r w:rsidRPr="00226C9C">
        <w:rPr>
          <w:rFonts w:ascii="Times New Roman" w:hAnsi="Times New Roman" w:cs="Times New Roman"/>
          <w:sz w:val="22"/>
          <w:szCs w:val="22"/>
        </w:rPr>
        <w:t>of the contrast agentof 1.5ml/kgat 3 ml/s</w:t>
      </w:r>
      <w:r w:rsidRPr="00226C9C">
        <w:rPr>
          <w:rFonts w:ascii="Times New Roman" w:hAnsi="Times New Roman" w:cs="Times New Roman"/>
          <w:sz w:val="22"/>
          <w:szCs w:val="22"/>
          <w:lang w:val="en-GB"/>
        </w:rPr>
        <w:t xml:space="preserve">and fushing with </w:t>
      </w:r>
      <w:r w:rsidRPr="00226C9C">
        <w:rPr>
          <w:rFonts w:ascii="Times New Roman" w:hAnsi="Times New Roman" w:cs="Times New Roman"/>
          <w:sz w:val="22"/>
          <w:szCs w:val="22"/>
        </w:rPr>
        <w:t>2</w:t>
      </w:r>
      <w:r w:rsidRPr="00226C9C">
        <w:rPr>
          <w:rFonts w:ascii="Times New Roman" w:hAnsi="Times New Roman" w:cs="Times New Roman"/>
          <w:sz w:val="22"/>
          <w:szCs w:val="22"/>
          <w:lang w:val="en-GB"/>
        </w:rPr>
        <w:t xml:space="preserve">0 mL saline solution at 3 ml/s to the arm </w:t>
      </w:r>
      <w:r w:rsidRPr="00226C9C">
        <w:rPr>
          <w:rFonts w:ascii="Times New Roman" w:hAnsi="Times New Roman" w:cs="Times New Roman"/>
          <w:sz w:val="22"/>
          <w:szCs w:val="22"/>
        </w:rPr>
        <w:t>through a contrast media injector (Ulrich REF XD 2060, Ulrich Medical, Ulm, Germany)</w:t>
      </w:r>
      <w:r>
        <w:rPr>
          <w:rFonts w:ascii="Times New Roman" w:hAnsi="Times New Roman" w:cs="Times New Roman"/>
          <w:sz w:val="22"/>
          <w:szCs w:val="22"/>
        </w:rPr>
        <w:fldChar w:fldCharType="begin">
          <w:fldData xml:space="preserve">PEVuZE5vdGU+PENpdGU+PEF1dGhvcj5XYW5nPC9BdXRob3I+PFllYXI+MjAyMTwvWWVhcj48UmVj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</w:fldData>
        </w:fldChar>
      </w:r>
      <w:r>
        <w:rPr>
          <w:rFonts w:ascii="Times New Roman" w:hAnsi="Times New Roman" w:cs="Times New Roman"/>
          <w:sz w:val="22"/>
          <w:szCs w:val="22"/>
        </w:rPr>
        <w:instrText xml:space="preserve"> ADDIN EN.CITE </w:instrText>
      </w:r>
      <w:r>
        <w:rPr>
          <w:rFonts w:ascii="Times New Roman" w:hAnsi="Times New Roman" w:cs="Times New Roman"/>
          <w:sz w:val="22"/>
          <w:szCs w:val="22"/>
        </w:rPr>
        <w:fldChar w:fldCharType="begin">
          <w:fldData xml:space="preserve">PEVuZE5vdGU+PENpdGU+PEF1dGhvcj5XYW5nPC9BdXRob3I+PFllYXI+MjAyMTwvWWVhcj48UmVj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</w:fldData>
        </w:fldChar>
      </w:r>
      <w:r>
        <w:rPr>
          <w:rFonts w:ascii="Times New Roman" w:hAnsi="Times New Roman" w:cs="Times New Roman"/>
          <w:sz w:val="22"/>
          <w:szCs w:val="22"/>
        </w:rPr>
        <w:instrText xml:space="preserve"> ADDIN EN.CITE.DATA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[4]</w:t>
      </w:r>
      <w:r>
        <w:rPr>
          <w:rFonts w:ascii="Times New Roman" w:hAnsi="Times New Roman" w:cs="Times New Roman"/>
          <w:sz w:val="22"/>
          <w:szCs w:val="22"/>
        </w:rPr>
        <w:fldChar w:fldCharType="end"/>
      </w:r>
      <w:r w:rsidRPr="00226C9C">
        <w:rPr>
          <w:rFonts w:ascii="Times New Roman" w:hAnsi="Times New Roman" w:cs="Times New Roman"/>
          <w:sz w:val="22"/>
          <w:szCs w:val="22"/>
        </w:rPr>
        <w:t>. Patients who had renal insufficiency or a history of iodinated contrast agent allergy were exclu</w:t>
      </w:r>
      <w:r w:rsidRPr="0012200D">
        <w:rPr>
          <w:rFonts w:ascii="Times New Roman" w:hAnsi="Times New Roman" w:cs="Times New Roman"/>
          <w:sz w:val="22"/>
          <w:szCs w:val="22"/>
        </w:rPr>
        <w:t xml:space="preserve">ded from CECT.The thoracic CECT images were reconstructed using a standard kernel. </w:t>
      </w:r>
      <w:r w:rsidR="004A4CAF">
        <w:rPr>
          <w:rFonts w:ascii="Times New Roman" w:hAnsi="Times New Roman" w:cs="Times New Roman"/>
          <w:sz w:val="22"/>
        </w:rPr>
        <w:t>atient preparation before the examination, PET and contrast-enhanced computed tomography (CECT) image acquisition, and reconstruction</w:t>
      </w:r>
      <w:r w:rsidR="004A4CAF" w:rsidRPr="00025A56">
        <w:rPr>
          <w:rFonts w:ascii="Times New Roman" w:hAnsi="Times New Roman" w:cs="Times New Roman"/>
          <w:sz w:val="22"/>
          <w:szCs w:val="22"/>
        </w:rPr>
        <w:t xml:space="preserve"> between baseline and </w:t>
      </w:r>
      <w:r w:rsidR="004A4CAF">
        <w:rPr>
          <w:rFonts w:ascii="Times New Roman" w:hAnsi="Times New Roman" w:cs="Times New Roman"/>
          <w:sz w:val="22"/>
          <w:szCs w:val="22"/>
        </w:rPr>
        <w:t>follow-up evaluations</w:t>
      </w:r>
      <w:r w:rsidR="004A4CAF" w:rsidRPr="00025A56">
        <w:rPr>
          <w:rFonts w:ascii="Times New Roman" w:hAnsi="Times New Roman" w:cs="Times New Roman"/>
          <w:sz w:val="22"/>
          <w:szCs w:val="22"/>
        </w:rPr>
        <w:t xml:space="preserve"> are presented</w:t>
      </w:r>
      <w:r w:rsidR="003D4EEB">
        <w:rPr>
          <w:rFonts w:ascii="Times New Roman" w:hAnsi="Times New Roman" w:cs="Times New Roman"/>
          <w:color w:val="000000" w:themeColor="text1"/>
          <w:sz w:val="22"/>
          <w:szCs w:val="22"/>
        </w:rPr>
        <w:t xml:space="preserve"> below</w:t>
      </w:r>
      <w:r w:rsidR="004A4CAF" w:rsidRPr="00025A56">
        <w:rPr>
          <w:rFonts w:ascii="Times New Roman" w:hAnsi="Times New Roman" w:cs="Times New Roman"/>
          <w:sz w:val="22"/>
          <w:szCs w:val="22"/>
        </w:rPr>
        <w:t>.</w:t>
      </w:r>
    </w:p>
    <w:p w14:paraId="14262FCC" w14:textId="77777777" w:rsidR="003D4EEB" w:rsidRDefault="003D4EEB" w:rsidP="003D4EEB"/>
    <w:tbl>
      <w:tblPr>
        <w:tblW w:w="8334" w:type="dxa"/>
        <w:tblLayout w:type="fixed"/>
        <w:tblLook w:val="04A0" w:firstRow="1" w:lastRow="0" w:firstColumn="1" w:lastColumn="0" w:noHBand="0" w:noVBand="1"/>
      </w:tblPr>
      <w:tblGrid>
        <w:gridCol w:w="3114"/>
        <w:gridCol w:w="1984"/>
        <w:gridCol w:w="1843"/>
        <w:gridCol w:w="1393"/>
      </w:tblGrid>
      <w:tr w:rsidR="003D4EEB" w:rsidRPr="003E2068" w14:paraId="2B464E36" w14:textId="77777777" w:rsidTr="00A77334">
        <w:trPr>
          <w:trHeight w:val="270"/>
        </w:trPr>
        <w:tc>
          <w:tcPr>
            <w:tcW w:w="3114" w:type="dxa"/>
            <w:tcBorders>
              <w:top w:val="single" w:sz="4" w:space="0" w:color="auto"/>
              <w:bottom w:val="single" w:sz="4" w:space="0" w:color="auto"/>
            </w:tcBorders>
            <w:shd w:val="clear" w:color="auto" w:fill="auto"/>
            <w:noWrap/>
            <w:vAlign w:val="bottom"/>
          </w:tcPr>
          <w:p w14:paraId="18046C25" w14:textId="77777777" w:rsidR="003D4EEB" w:rsidRPr="003E2068" w:rsidRDefault="003D4EEB" w:rsidP="00A77334">
            <w:pPr>
              <w:widowControl/>
              <w:jc w:val="left"/>
              <w:rPr>
                <w:rFonts w:ascii="Times New Roman" w:eastAsia="等线" w:hAnsi="Times New Roman" w:cs="Times New Roman"/>
                <w:b/>
                <w:bCs/>
                <w:color w:val="000000"/>
                <w:kern w:val="0"/>
                <w:sz w:val="22"/>
              </w:rPr>
            </w:pPr>
            <w:r w:rsidRPr="003E2068">
              <w:rPr>
                <w:rFonts w:ascii="Times New Roman" w:eastAsia="等线" w:hAnsi="Times New Roman" w:cs="Times New Roman"/>
                <w:b/>
                <w:bCs/>
                <w:color w:val="000000"/>
                <w:kern w:val="0"/>
                <w:sz w:val="22"/>
              </w:rPr>
              <w:t>Quality control metrics</w:t>
            </w:r>
          </w:p>
        </w:tc>
        <w:tc>
          <w:tcPr>
            <w:tcW w:w="1984" w:type="dxa"/>
            <w:tcBorders>
              <w:top w:val="single" w:sz="4" w:space="0" w:color="auto"/>
              <w:bottom w:val="single" w:sz="4" w:space="0" w:color="auto"/>
            </w:tcBorders>
          </w:tcPr>
          <w:p w14:paraId="7CB58268" w14:textId="77777777" w:rsidR="003D4EEB" w:rsidRPr="003E2068" w:rsidRDefault="003D4EEB" w:rsidP="00A77334">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hint="eastAsia"/>
                <w:b/>
                <w:bCs/>
                <w:color w:val="000000"/>
                <w:kern w:val="0"/>
                <w:sz w:val="22"/>
              </w:rPr>
              <w:t>B</w:t>
            </w:r>
            <w:r>
              <w:rPr>
                <w:rFonts w:ascii="Times New Roman" w:eastAsia="等线" w:hAnsi="Times New Roman" w:cs="Times New Roman"/>
                <w:b/>
                <w:bCs/>
                <w:color w:val="000000"/>
                <w:kern w:val="0"/>
                <w:sz w:val="22"/>
              </w:rPr>
              <w:t>aseline</w:t>
            </w:r>
          </w:p>
        </w:tc>
        <w:tc>
          <w:tcPr>
            <w:tcW w:w="1843" w:type="dxa"/>
            <w:tcBorders>
              <w:top w:val="single" w:sz="4" w:space="0" w:color="auto"/>
              <w:bottom w:val="single" w:sz="4" w:space="0" w:color="auto"/>
            </w:tcBorders>
          </w:tcPr>
          <w:p w14:paraId="5A58CE1C" w14:textId="77777777" w:rsidR="003D4EEB" w:rsidRPr="003E2068" w:rsidRDefault="003D4EEB" w:rsidP="00A77334">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hint="eastAsia"/>
                <w:b/>
                <w:bCs/>
                <w:color w:val="000000"/>
                <w:kern w:val="0"/>
                <w:sz w:val="22"/>
              </w:rPr>
              <w:t>E</w:t>
            </w:r>
            <w:r>
              <w:rPr>
                <w:rFonts w:ascii="Times New Roman" w:eastAsia="等线" w:hAnsi="Times New Roman" w:cs="Times New Roman"/>
                <w:b/>
                <w:bCs/>
                <w:color w:val="000000"/>
                <w:kern w:val="0"/>
                <w:sz w:val="22"/>
              </w:rPr>
              <w:t>valuation</w:t>
            </w:r>
          </w:p>
        </w:tc>
        <w:tc>
          <w:tcPr>
            <w:tcW w:w="1393" w:type="dxa"/>
            <w:tcBorders>
              <w:top w:val="single" w:sz="4" w:space="0" w:color="auto"/>
              <w:bottom w:val="single" w:sz="4" w:space="0" w:color="auto"/>
            </w:tcBorders>
            <w:shd w:val="clear" w:color="auto" w:fill="auto"/>
            <w:noWrap/>
            <w:vAlign w:val="center"/>
          </w:tcPr>
          <w:p w14:paraId="1BE7EB9B" w14:textId="77777777" w:rsidR="003D4EEB" w:rsidRPr="003E2068" w:rsidRDefault="003D4EEB" w:rsidP="00A77334">
            <w:pPr>
              <w:widowControl/>
              <w:jc w:val="right"/>
              <w:rPr>
                <w:rFonts w:ascii="Times New Roman" w:eastAsia="等线" w:hAnsi="Times New Roman" w:cs="Times New Roman"/>
                <w:b/>
                <w:bCs/>
                <w:color w:val="000000"/>
                <w:kern w:val="0"/>
                <w:sz w:val="22"/>
              </w:rPr>
            </w:pPr>
            <w:r w:rsidRPr="003E2068">
              <w:rPr>
                <w:rFonts w:ascii="Times New Roman" w:eastAsia="等线" w:hAnsi="Times New Roman" w:cs="Times New Roman" w:hint="eastAsia"/>
                <w:b/>
                <w:bCs/>
                <w:color w:val="000000"/>
                <w:kern w:val="0"/>
                <w:sz w:val="22"/>
              </w:rPr>
              <w:t>V</w:t>
            </w:r>
            <w:r w:rsidRPr="003E2068">
              <w:rPr>
                <w:rFonts w:ascii="Times New Roman" w:eastAsia="等线" w:hAnsi="Times New Roman" w:cs="Times New Roman"/>
                <w:b/>
                <w:bCs/>
                <w:color w:val="000000"/>
                <w:kern w:val="0"/>
                <w:sz w:val="22"/>
              </w:rPr>
              <w:t>alue</w:t>
            </w:r>
          </w:p>
        </w:tc>
      </w:tr>
      <w:tr w:rsidR="003D4EEB" w:rsidRPr="00071A82" w14:paraId="27099E50" w14:textId="77777777" w:rsidTr="00A77334">
        <w:trPr>
          <w:trHeight w:val="270"/>
        </w:trPr>
        <w:tc>
          <w:tcPr>
            <w:tcW w:w="3114" w:type="dxa"/>
            <w:tcBorders>
              <w:top w:val="single" w:sz="4" w:space="0" w:color="auto"/>
            </w:tcBorders>
            <w:shd w:val="clear" w:color="auto" w:fill="auto"/>
            <w:noWrap/>
            <w:vAlign w:val="bottom"/>
          </w:tcPr>
          <w:p w14:paraId="43332A3C" w14:textId="77777777" w:rsidR="003D4EEB" w:rsidRPr="00E42F90" w:rsidRDefault="003D4EEB" w:rsidP="00A77334">
            <w:pPr>
              <w:widowControl/>
              <w:jc w:val="left"/>
              <w:rPr>
                <w:rFonts w:ascii="Times New Roman" w:eastAsia="等线" w:hAnsi="Times New Roman" w:cs="Times New Roman"/>
                <w:color w:val="000000"/>
                <w:kern w:val="0"/>
                <w:sz w:val="22"/>
              </w:rPr>
            </w:pPr>
            <w:r w:rsidRPr="00906CCC">
              <w:rPr>
                <w:rFonts w:ascii="Times New Roman" w:eastAsia="等线" w:hAnsi="Times New Roman" w:cs="Times New Roman"/>
                <w:color w:val="000000"/>
                <w:kern w:val="0"/>
                <w:sz w:val="22"/>
              </w:rPr>
              <w:t>Blood glucose (mmol/L)</w:t>
            </w:r>
          </w:p>
        </w:tc>
        <w:tc>
          <w:tcPr>
            <w:tcW w:w="1984" w:type="dxa"/>
            <w:tcBorders>
              <w:top w:val="single" w:sz="4" w:space="0" w:color="auto"/>
            </w:tcBorders>
          </w:tcPr>
          <w:p w14:paraId="1CE8179E" w14:textId="77777777" w:rsidR="003D4EEB" w:rsidRPr="00071A82" w:rsidRDefault="003D4EEB" w:rsidP="00A77334">
            <w:pPr>
              <w:widowControl/>
              <w:wordWrap w:val="0"/>
              <w:jc w:val="center"/>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 xml:space="preserve">5.63 </w:t>
            </w:r>
            <w:r>
              <w:rPr>
                <w:rFonts w:ascii="Times New Roman" w:eastAsia="等线" w:hAnsi="Times New Roman" w:cs="Times New Roman" w:hint="eastAsia"/>
                <w:color w:val="000000"/>
                <w:kern w:val="0"/>
                <w:sz w:val="22"/>
              </w:rPr>
              <w:t>±</w:t>
            </w:r>
            <w:r>
              <w:rPr>
                <w:rFonts w:ascii="Times New Roman" w:eastAsia="等线" w:hAnsi="Times New Roman" w:cs="Times New Roman"/>
                <w:color w:val="000000"/>
                <w:kern w:val="0"/>
                <w:sz w:val="22"/>
              </w:rPr>
              <w:t xml:space="preserve"> 1.02</w:t>
            </w:r>
          </w:p>
        </w:tc>
        <w:tc>
          <w:tcPr>
            <w:tcW w:w="1843" w:type="dxa"/>
            <w:tcBorders>
              <w:top w:val="single" w:sz="4" w:space="0" w:color="auto"/>
            </w:tcBorders>
          </w:tcPr>
          <w:p w14:paraId="0EDEB762" w14:textId="77777777" w:rsidR="003D4EEB" w:rsidRPr="00071A82" w:rsidRDefault="003D4EEB" w:rsidP="00A77334">
            <w:pPr>
              <w:widowControl/>
              <w:wordWrap w:val="0"/>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5</w:t>
            </w:r>
            <w:r>
              <w:rPr>
                <w:rFonts w:ascii="Times New Roman" w:eastAsia="等线" w:hAnsi="Times New Roman" w:cs="Times New Roman"/>
                <w:color w:val="000000"/>
                <w:kern w:val="0"/>
                <w:sz w:val="22"/>
              </w:rPr>
              <w:t xml:space="preserve">.68 </w:t>
            </w:r>
            <w:r>
              <w:rPr>
                <w:rFonts w:ascii="Times New Roman" w:eastAsia="等线" w:hAnsi="Times New Roman" w:cs="Times New Roman" w:hint="eastAsia"/>
                <w:color w:val="000000"/>
                <w:kern w:val="0"/>
                <w:sz w:val="22"/>
              </w:rPr>
              <w:t>±</w:t>
            </w:r>
            <w:r>
              <w:rPr>
                <w:rFonts w:ascii="Times New Roman" w:eastAsia="等线" w:hAnsi="Times New Roman" w:cs="Times New Roman"/>
                <w:color w:val="000000"/>
                <w:kern w:val="0"/>
                <w:sz w:val="22"/>
              </w:rPr>
              <w:t xml:space="preserve"> 0.97</w:t>
            </w:r>
          </w:p>
        </w:tc>
        <w:tc>
          <w:tcPr>
            <w:tcW w:w="1393" w:type="dxa"/>
            <w:tcBorders>
              <w:top w:val="single" w:sz="4" w:space="0" w:color="auto"/>
            </w:tcBorders>
            <w:shd w:val="clear" w:color="auto" w:fill="auto"/>
            <w:noWrap/>
            <w:vAlign w:val="center"/>
          </w:tcPr>
          <w:p w14:paraId="112DD9CF" w14:textId="77777777" w:rsidR="003D4EEB" w:rsidRPr="00071A82" w:rsidRDefault="003D4EEB" w:rsidP="00A77334">
            <w:pPr>
              <w:widowControl/>
              <w:jc w:val="right"/>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.781</w:t>
            </w:r>
          </w:p>
        </w:tc>
      </w:tr>
      <w:tr w:rsidR="003D4EEB" w:rsidRPr="00071A82" w14:paraId="06832F66" w14:textId="77777777" w:rsidTr="00A77334">
        <w:trPr>
          <w:trHeight w:val="346"/>
        </w:trPr>
        <w:tc>
          <w:tcPr>
            <w:tcW w:w="3114" w:type="dxa"/>
            <w:shd w:val="clear" w:color="auto" w:fill="auto"/>
            <w:noWrap/>
            <w:vAlign w:val="bottom"/>
          </w:tcPr>
          <w:p w14:paraId="370B1ACF" w14:textId="77777777" w:rsidR="003D4EEB" w:rsidRPr="007D6355" w:rsidRDefault="003D4EEB" w:rsidP="00A77334">
            <w:pPr>
              <w:widowControl/>
              <w:jc w:val="left"/>
              <w:rPr>
                <w:rFonts w:ascii="Times New Roman" w:eastAsia="等线" w:hAnsi="Times New Roman" w:cs="Times New Roman"/>
                <w:color w:val="000000"/>
                <w:kern w:val="0"/>
                <w:sz w:val="22"/>
              </w:rPr>
            </w:pPr>
            <w:r w:rsidRPr="007D6355">
              <w:rPr>
                <w:rFonts w:ascii="Times New Roman" w:eastAsia="等线" w:hAnsi="Times New Roman" w:cs="Times New Roman"/>
                <w:kern w:val="0"/>
              </w:rPr>
              <w:t>FDG Dose</w:t>
            </w:r>
            <w:r>
              <w:rPr>
                <w:rFonts w:ascii="Times New Roman" w:eastAsia="等线" w:hAnsi="Times New Roman" w:cs="Times New Roman"/>
                <w:kern w:val="0"/>
              </w:rPr>
              <w:t xml:space="preserve"> </w:t>
            </w:r>
            <w:r w:rsidRPr="007D6355">
              <w:rPr>
                <w:rFonts w:ascii="Times New Roman" w:eastAsia="等线" w:hAnsi="Times New Roman" w:cs="Times New Roman"/>
                <w:kern w:val="0"/>
                <w:sz w:val="22"/>
              </w:rPr>
              <w:t>(MBq)</w:t>
            </w:r>
          </w:p>
        </w:tc>
        <w:tc>
          <w:tcPr>
            <w:tcW w:w="1984" w:type="dxa"/>
          </w:tcPr>
          <w:p w14:paraId="4010566F" w14:textId="77777777" w:rsidR="003D4EEB" w:rsidRPr="00071A82" w:rsidRDefault="003D4EEB" w:rsidP="00A77334">
            <w:pPr>
              <w:widowControl/>
              <w:wordWrap w:val="0"/>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3</w:t>
            </w:r>
            <w:r>
              <w:rPr>
                <w:rFonts w:ascii="Times New Roman" w:eastAsia="等线" w:hAnsi="Times New Roman" w:cs="Times New Roman"/>
                <w:color w:val="000000"/>
                <w:kern w:val="0"/>
                <w:sz w:val="22"/>
              </w:rPr>
              <w:t xml:space="preserve">63.00 </w:t>
            </w:r>
            <w:r>
              <w:rPr>
                <w:rFonts w:ascii="Times New Roman" w:eastAsia="等线" w:hAnsi="Times New Roman" w:cs="Times New Roman" w:hint="eastAsia"/>
                <w:color w:val="000000"/>
                <w:kern w:val="0"/>
                <w:sz w:val="22"/>
              </w:rPr>
              <w:t>±</w:t>
            </w:r>
            <w:r>
              <w:rPr>
                <w:rFonts w:ascii="Times New Roman" w:eastAsia="等线" w:hAnsi="Times New Roman" w:cs="Times New Roman"/>
                <w:color w:val="000000"/>
                <w:kern w:val="0"/>
                <w:sz w:val="22"/>
              </w:rPr>
              <w:t xml:space="preserve"> 61.61</w:t>
            </w:r>
          </w:p>
        </w:tc>
        <w:tc>
          <w:tcPr>
            <w:tcW w:w="1843" w:type="dxa"/>
          </w:tcPr>
          <w:p w14:paraId="4DD0B4FE" w14:textId="77777777" w:rsidR="003D4EEB" w:rsidRPr="00071A82" w:rsidRDefault="003D4EEB" w:rsidP="00A77334">
            <w:pPr>
              <w:widowControl/>
              <w:wordWrap w:val="0"/>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3</w:t>
            </w:r>
            <w:r>
              <w:rPr>
                <w:rFonts w:ascii="Times New Roman" w:eastAsia="等线" w:hAnsi="Times New Roman" w:cs="Times New Roman"/>
                <w:color w:val="000000"/>
                <w:kern w:val="0"/>
                <w:sz w:val="22"/>
              </w:rPr>
              <w:t xml:space="preserve">63.07 </w:t>
            </w:r>
            <w:r>
              <w:rPr>
                <w:rFonts w:ascii="Times New Roman" w:eastAsia="等线" w:hAnsi="Times New Roman" w:cs="Times New Roman" w:hint="eastAsia"/>
                <w:color w:val="000000"/>
                <w:kern w:val="0"/>
                <w:sz w:val="22"/>
              </w:rPr>
              <w:t>±</w:t>
            </w:r>
            <w:r>
              <w:rPr>
                <w:rFonts w:ascii="Times New Roman" w:eastAsia="等线" w:hAnsi="Times New Roman" w:cs="Times New Roman"/>
                <w:color w:val="000000"/>
                <w:kern w:val="0"/>
                <w:sz w:val="22"/>
              </w:rPr>
              <w:t xml:space="preserve"> 68.47</w:t>
            </w:r>
          </w:p>
        </w:tc>
        <w:tc>
          <w:tcPr>
            <w:tcW w:w="1393" w:type="dxa"/>
            <w:shd w:val="clear" w:color="auto" w:fill="auto"/>
            <w:noWrap/>
            <w:vAlign w:val="center"/>
          </w:tcPr>
          <w:p w14:paraId="5ABC57DA" w14:textId="77777777" w:rsidR="003D4EEB" w:rsidRPr="00071A82" w:rsidRDefault="003D4EEB" w:rsidP="00A77334">
            <w:pPr>
              <w:widowControl/>
              <w:jc w:val="right"/>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.984</w:t>
            </w:r>
          </w:p>
        </w:tc>
      </w:tr>
      <w:tr w:rsidR="003D4EEB" w:rsidRPr="00071A82" w14:paraId="15D5A0F1" w14:textId="77777777" w:rsidTr="00A77334">
        <w:trPr>
          <w:trHeight w:val="277"/>
        </w:trPr>
        <w:tc>
          <w:tcPr>
            <w:tcW w:w="3114" w:type="dxa"/>
            <w:shd w:val="clear" w:color="auto" w:fill="auto"/>
            <w:noWrap/>
            <w:vAlign w:val="bottom"/>
          </w:tcPr>
          <w:p w14:paraId="71BE106D" w14:textId="77777777" w:rsidR="003D4EEB" w:rsidRPr="007D6355" w:rsidRDefault="003D4EEB" w:rsidP="00A77334">
            <w:pPr>
              <w:jc w:val="left"/>
              <w:rPr>
                <w:rFonts w:ascii="Times New Roman" w:eastAsia="等线" w:hAnsi="Times New Roman" w:cs="Times New Roman"/>
                <w:kern w:val="0"/>
              </w:rPr>
            </w:pPr>
            <w:r w:rsidRPr="007D6355">
              <w:rPr>
                <w:rFonts w:ascii="Times New Roman" w:eastAsia="等线" w:hAnsi="Times New Roman" w:cs="Times New Roman"/>
                <w:color w:val="000000"/>
                <w:kern w:val="0"/>
                <w:sz w:val="22"/>
              </w:rPr>
              <w:t>Uptake Time</w:t>
            </w:r>
            <w:r>
              <w:rPr>
                <w:rFonts w:ascii="Times New Roman" w:eastAsia="等线" w:hAnsi="Times New Roman" w:cs="Times New Roman"/>
                <w:color w:val="000000"/>
                <w:kern w:val="0"/>
                <w:sz w:val="22"/>
              </w:rPr>
              <w:t xml:space="preserve"> </w:t>
            </w:r>
            <w:r w:rsidRPr="007D6355">
              <w:rPr>
                <w:rFonts w:ascii="Times New Roman" w:eastAsia="等线" w:hAnsi="Times New Roman" w:cs="Times New Roman"/>
                <w:color w:val="000000"/>
                <w:kern w:val="0"/>
                <w:sz w:val="22"/>
              </w:rPr>
              <w:t>(minute)</w:t>
            </w:r>
          </w:p>
        </w:tc>
        <w:tc>
          <w:tcPr>
            <w:tcW w:w="1984" w:type="dxa"/>
          </w:tcPr>
          <w:p w14:paraId="23892487" w14:textId="77777777" w:rsidR="003D4EEB" w:rsidRPr="00071A82" w:rsidRDefault="003D4EEB" w:rsidP="00A77334">
            <w:pPr>
              <w:widowControl/>
              <w:wordWrap w:val="0"/>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 xml:space="preserve">2.05 </w:t>
            </w:r>
            <w:r>
              <w:rPr>
                <w:rFonts w:ascii="Times New Roman" w:eastAsia="等线" w:hAnsi="Times New Roman" w:cs="Times New Roman" w:hint="eastAsia"/>
                <w:color w:val="000000"/>
                <w:kern w:val="0"/>
                <w:sz w:val="22"/>
              </w:rPr>
              <w:t>±</w:t>
            </w:r>
            <w:r>
              <w:rPr>
                <w:rFonts w:ascii="Times New Roman" w:eastAsia="等线" w:hAnsi="Times New Roman" w:cs="Times New Roman"/>
                <w:color w:val="000000"/>
                <w:kern w:val="0"/>
                <w:sz w:val="22"/>
              </w:rPr>
              <w:t xml:space="preserve"> 4.74</w:t>
            </w:r>
          </w:p>
        </w:tc>
        <w:tc>
          <w:tcPr>
            <w:tcW w:w="1843" w:type="dxa"/>
          </w:tcPr>
          <w:p w14:paraId="5F4B1D7E" w14:textId="77777777" w:rsidR="003D4EEB" w:rsidRPr="00071A82" w:rsidRDefault="003D4EEB" w:rsidP="00A77334">
            <w:pPr>
              <w:widowControl/>
              <w:wordWrap w:val="0"/>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 xml:space="preserve">2.85 </w:t>
            </w:r>
            <w:r>
              <w:rPr>
                <w:rFonts w:ascii="Times New Roman" w:eastAsia="等线" w:hAnsi="Times New Roman" w:cs="Times New Roman" w:hint="eastAsia"/>
                <w:color w:val="000000"/>
                <w:kern w:val="0"/>
                <w:sz w:val="22"/>
              </w:rPr>
              <w:t>±</w:t>
            </w:r>
            <w:r>
              <w:rPr>
                <w:rFonts w:ascii="Times New Roman" w:eastAsia="等线" w:hAnsi="Times New Roman" w:cs="Times New Roman"/>
                <w:color w:val="000000"/>
                <w:kern w:val="0"/>
                <w:sz w:val="22"/>
              </w:rPr>
              <w:t xml:space="preserve"> 4.30</w:t>
            </w:r>
          </w:p>
        </w:tc>
        <w:tc>
          <w:tcPr>
            <w:tcW w:w="1393" w:type="dxa"/>
            <w:shd w:val="clear" w:color="auto" w:fill="auto"/>
            <w:noWrap/>
            <w:vAlign w:val="center"/>
          </w:tcPr>
          <w:p w14:paraId="5FB74B6E" w14:textId="77777777" w:rsidR="003D4EEB" w:rsidRPr="00071A82" w:rsidRDefault="003D4EEB" w:rsidP="00A77334">
            <w:pPr>
              <w:widowControl/>
              <w:jc w:val="right"/>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.356</w:t>
            </w:r>
          </w:p>
        </w:tc>
      </w:tr>
      <w:tr w:rsidR="003D4EEB" w:rsidRPr="00071A82" w14:paraId="6E6F5972" w14:textId="77777777" w:rsidTr="00A77334">
        <w:trPr>
          <w:trHeight w:val="270"/>
        </w:trPr>
        <w:tc>
          <w:tcPr>
            <w:tcW w:w="3114" w:type="dxa"/>
            <w:tcBorders>
              <w:bottom w:val="single" w:sz="4" w:space="0" w:color="auto"/>
            </w:tcBorders>
            <w:shd w:val="clear" w:color="auto" w:fill="auto"/>
            <w:noWrap/>
            <w:vAlign w:val="bottom"/>
          </w:tcPr>
          <w:p w14:paraId="3F8BF932" w14:textId="77777777" w:rsidR="003D4EEB" w:rsidRPr="007D6355" w:rsidRDefault="003D4EEB" w:rsidP="00A77334">
            <w:pPr>
              <w:widowControl/>
              <w:jc w:val="left"/>
              <w:rPr>
                <w:rFonts w:ascii="Times New Roman" w:eastAsia="等线" w:hAnsi="Times New Roman" w:cs="Times New Roman"/>
                <w:kern w:val="0"/>
                <w:sz w:val="22"/>
              </w:rPr>
            </w:pPr>
            <w:r w:rsidRPr="00120E02">
              <w:rPr>
                <w:rFonts w:ascii="Times New Roman" w:eastAsia="等线" w:hAnsi="Times New Roman" w:cs="Times New Roman"/>
                <w:kern w:val="0"/>
                <w:sz w:val="22"/>
              </w:rPr>
              <w:t>Liver SULmean</w:t>
            </w:r>
          </w:p>
        </w:tc>
        <w:tc>
          <w:tcPr>
            <w:tcW w:w="1984" w:type="dxa"/>
            <w:tcBorders>
              <w:bottom w:val="single" w:sz="4" w:space="0" w:color="auto"/>
            </w:tcBorders>
          </w:tcPr>
          <w:p w14:paraId="77E3BD1D" w14:textId="77777777" w:rsidR="003D4EEB" w:rsidRPr="00071A82" w:rsidRDefault="003D4EEB" w:rsidP="00A77334">
            <w:pPr>
              <w:widowControl/>
              <w:wordWrap w:val="0"/>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1</w:t>
            </w:r>
            <w:r>
              <w:rPr>
                <w:rFonts w:ascii="Times New Roman" w:eastAsia="等线" w:hAnsi="Times New Roman" w:cs="Times New Roman"/>
                <w:color w:val="000000"/>
                <w:kern w:val="0"/>
                <w:sz w:val="22"/>
              </w:rPr>
              <w:t xml:space="preserve">.92 </w:t>
            </w:r>
            <w:r>
              <w:rPr>
                <w:rFonts w:ascii="Times New Roman" w:eastAsia="等线" w:hAnsi="Times New Roman" w:cs="Times New Roman" w:hint="eastAsia"/>
                <w:color w:val="000000"/>
                <w:kern w:val="0"/>
                <w:sz w:val="22"/>
              </w:rPr>
              <w:t>±</w:t>
            </w:r>
            <w:r>
              <w:rPr>
                <w:rFonts w:ascii="Times New Roman" w:eastAsia="等线" w:hAnsi="Times New Roman" w:cs="Times New Roman"/>
                <w:color w:val="000000"/>
                <w:kern w:val="0"/>
                <w:sz w:val="22"/>
              </w:rPr>
              <w:t xml:space="preserve"> 0.36</w:t>
            </w:r>
          </w:p>
        </w:tc>
        <w:tc>
          <w:tcPr>
            <w:tcW w:w="1843" w:type="dxa"/>
            <w:tcBorders>
              <w:bottom w:val="single" w:sz="4" w:space="0" w:color="auto"/>
            </w:tcBorders>
          </w:tcPr>
          <w:p w14:paraId="76DB0C73" w14:textId="77777777" w:rsidR="003D4EEB" w:rsidRPr="00071A82" w:rsidRDefault="003D4EEB" w:rsidP="00A77334">
            <w:pPr>
              <w:widowControl/>
              <w:wordWrap w:val="0"/>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1</w:t>
            </w:r>
            <w:r>
              <w:rPr>
                <w:rFonts w:ascii="Times New Roman" w:eastAsia="等线" w:hAnsi="Times New Roman" w:cs="Times New Roman"/>
                <w:color w:val="000000"/>
                <w:kern w:val="0"/>
                <w:sz w:val="22"/>
              </w:rPr>
              <w:t xml:space="preserve">.95 </w:t>
            </w:r>
            <w:r>
              <w:rPr>
                <w:rFonts w:ascii="Times New Roman" w:eastAsia="等线" w:hAnsi="Times New Roman" w:cs="Times New Roman" w:hint="eastAsia"/>
                <w:color w:val="000000"/>
                <w:kern w:val="0"/>
                <w:sz w:val="22"/>
              </w:rPr>
              <w:t>±</w:t>
            </w:r>
            <w:r>
              <w:rPr>
                <w:rFonts w:ascii="Times New Roman" w:eastAsia="等线" w:hAnsi="Times New Roman" w:cs="Times New Roman"/>
                <w:color w:val="000000"/>
                <w:kern w:val="0"/>
                <w:sz w:val="22"/>
              </w:rPr>
              <w:t xml:space="preserve"> 0.35</w:t>
            </w:r>
          </w:p>
        </w:tc>
        <w:tc>
          <w:tcPr>
            <w:tcW w:w="1393" w:type="dxa"/>
            <w:tcBorders>
              <w:bottom w:val="single" w:sz="4" w:space="0" w:color="auto"/>
            </w:tcBorders>
            <w:shd w:val="clear" w:color="auto" w:fill="auto"/>
            <w:noWrap/>
            <w:vAlign w:val="center"/>
          </w:tcPr>
          <w:p w14:paraId="4C798EFD" w14:textId="77777777" w:rsidR="003D4EEB" w:rsidRPr="00071A82" w:rsidRDefault="003D4EEB" w:rsidP="00A77334">
            <w:pPr>
              <w:widowControl/>
              <w:jc w:val="right"/>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.354</w:t>
            </w:r>
          </w:p>
        </w:tc>
      </w:tr>
    </w:tbl>
    <w:p w14:paraId="29A13DF5" w14:textId="46D89760" w:rsidR="003D4EEB" w:rsidRDefault="003D4EEB" w:rsidP="003D4EEB">
      <w:pPr>
        <w:rPr>
          <w:rFonts w:ascii="Times New Roman" w:hAnsi="Times New Roman" w:cs="Times New Roman"/>
        </w:rPr>
      </w:pPr>
      <w:r w:rsidRPr="00C959D4">
        <w:rPr>
          <w:rFonts w:ascii="Times New Roman" w:hAnsi="Times New Roman" w:cs="Times New Roman"/>
          <w:b/>
          <w:bCs/>
        </w:rPr>
        <w:t xml:space="preserve">Table. </w:t>
      </w:r>
      <w:r w:rsidRPr="00F26E15">
        <w:rPr>
          <w:rFonts w:ascii="Times New Roman" w:hAnsi="Times New Roman" w:cs="Times New Roman"/>
        </w:rPr>
        <w:t>Difference in quality control metrics between baseline and evaluation timepoint.</w:t>
      </w:r>
    </w:p>
    <w:p w14:paraId="7E342AD1" w14:textId="77777777" w:rsidR="00051B0D" w:rsidRPr="003D4EEB" w:rsidRDefault="00051B0D" w:rsidP="003D4EEB">
      <w:pPr>
        <w:rPr>
          <w:rFonts w:ascii="Times New Roman" w:hAnsi="Times New Roman" w:cs="Times New Roman"/>
        </w:rPr>
      </w:pPr>
    </w:p>
    <w:p w14:paraId="59D1C0BF" w14:textId="5CD84D59" w:rsidR="004A4CAF" w:rsidRPr="004A4CAF" w:rsidRDefault="004A4CAF" w:rsidP="004A4CAF">
      <w:pPr>
        <w:widowControl/>
        <w:spacing w:after="20" w:line="480" w:lineRule="auto"/>
        <w:jc w:val="left"/>
        <w:rPr>
          <w:rFonts w:ascii="Times New Roman" w:eastAsia="宋体" w:hAnsi="Times New Roman" w:cs="Times New Roman"/>
          <w:kern w:val="0"/>
          <w:sz w:val="22"/>
        </w:rPr>
      </w:pPr>
      <w:r w:rsidRPr="004A4CAF">
        <w:rPr>
          <w:rFonts w:ascii="Times New Roman" w:eastAsia="宋体" w:hAnsi="Times New Roman" w:cs="Times New Roman"/>
          <w:kern w:val="0"/>
          <w:sz w:val="22"/>
        </w:rPr>
        <w:t>All images evaluation hasbeen performed in a commercial medical image processing workstation (uWS-MI, United Imaging Healthcare, Shanghai, China) and reviewed in standard planes. Two nuclear physicians with 12 years of FDG-PET/CTdiagnostic experienceand subspecialized in thoracic malignancies receiving standard iPERCIST training independently analyzed the PET/CT imagesblinded to the clinical data. Discordance were resolved by consensus. Quantitative parameter values were measured semiautomatically over the volume of interests (VOIs) of primary lung malignancies andmetastatic lymph nodes. Clinicalregional lymph nodes were classified with the International Association for the Study of Lung Cancer (IASLC) Lymph Node Map. Semiquantitative parameters SUL</w:t>
      </w:r>
      <w:r w:rsidRPr="004A4CAF">
        <w:rPr>
          <w:rFonts w:ascii="Times New Roman" w:eastAsia="宋体" w:hAnsi="Times New Roman" w:cs="Times New Roman"/>
          <w:kern w:val="0"/>
          <w:sz w:val="22"/>
          <w:vertAlign w:val="subscript"/>
        </w:rPr>
        <w:t>peak</w:t>
      </w:r>
      <w:r w:rsidRPr="004A4CAF">
        <w:rPr>
          <w:rFonts w:ascii="Times New Roman" w:eastAsia="宋体" w:hAnsi="Times New Roman" w:cs="Times New Roman"/>
          <w:kern w:val="0"/>
          <w:sz w:val="22"/>
        </w:rPr>
        <w:t xml:space="preserve"> (standardized uptake value corrected for lean body mass) were calculated in a 1.2-cm-</w:t>
      </w:r>
      <w:r w:rsidRPr="004A4CAF">
        <w:rPr>
          <w:rFonts w:ascii="Times New Roman" w:eastAsia="宋体" w:hAnsi="Times New Roman" w:cs="Times New Roman"/>
          <w:kern w:val="0"/>
          <w:sz w:val="22"/>
        </w:rPr>
        <w:lastRenderedPageBreak/>
        <w:t>diameter ROI placed on the hottest spot of each PET study[8]. Suspected baseline lesions were defined as those whose SUL</w:t>
      </w:r>
      <w:r w:rsidRPr="004A4CAF">
        <w:rPr>
          <w:rFonts w:ascii="Times New Roman" w:eastAsia="宋体" w:hAnsi="Times New Roman" w:cs="Times New Roman"/>
          <w:kern w:val="0"/>
          <w:sz w:val="22"/>
          <w:vertAlign w:val="subscript"/>
        </w:rPr>
        <w:t>peak</w:t>
      </w:r>
      <w:r w:rsidRPr="004A4CAF">
        <w:rPr>
          <w:rFonts w:ascii="Times New Roman" w:eastAsia="宋体" w:hAnsi="Times New Roman" w:cs="Times New Roman"/>
          <w:kern w:val="0"/>
          <w:sz w:val="22"/>
        </w:rPr>
        <w:t xml:space="preserve"> greater than the liver background (1.5 × SUL</w:t>
      </w:r>
      <w:r w:rsidRPr="004A4CAF">
        <w:rPr>
          <w:rFonts w:ascii="Times New Roman" w:eastAsia="宋体" w:hAnsi="Times New Roman" w:cs="Times New Roman"/>
          <w:kern w:val="0"/>
          <w:sz w:val="22"/>
          <w:vertAlign w:val="subscript"/>
        </w:rPr>
        <w:t>mean</w:t>
      </w:r>
      <w:r w:rsidRPr="004A4CAF">
        <w:rPr>
          <w:rFonts w:ascii="Times New Roman" w:eastAsia="宋体" w:hAnsi="Times New Roman" w:cs="Times New Roman"/>
          <w:kern w:val="0"/>
          <w:sz w:val="22"/>
        </w:rPr>
        <w:t xml:space="preserve"> + 2 SDs of a 3-cm-diameter spherical ROI in the normal right liver lobe)</w:t>
      </w:r>
      <w:r w:rsidRPr="004A4CAF">
        <w:rPr>
          <w:rFonts w:ascii="Times New Roman" w:eastAsia="宋体" w:hAnsi="Times New Roman" w:cs="Times New Roman"/>
          <w:kern w:val="0"/>
          <w:sz w:val="22"/>
        </w:rPr>
        <w:fldChar w:fldCharType="begin">
          <w:fldData xml:space="preserve">PEVuZE5vdGU+PENpdGU+PEF1dGhvcj5Cb2VsbGFhcmQ8L0F1dGhvcj48WWVhcj4yMDE1PC9ZZWFy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</w:fldData>
        </w:fldChar>
      </w:r>
      <w:r>
        <w:rPr>
          <w:rFonts w:ascii="Times New Roman" w:eastAsia="宋体" w:hAnsi="Times New Roman" w:cs="Times New Roman"/>
          <w:kern w:val="0"/>
          <w:sz w:val="22"/>
        </w:rPr>
        <w:instrText xml:space="preserve"> ADDIN EN.CITE </w:instrText>
      </w:r>
      <w:r>
        <w:rPr>
          <w:rFonts w:ascii="Times New Roman" w:eastAsia="宋体" w:hAnsi="Times New Roman" w:cs="Times New Roman"/>
          <w:kern w:val="0"/>
          <w:sz w:val="22"/>
        </w:rPr>
        <w:fldChar w:fldCharType="begin">
          <w:fldData xml:space="preserve">PEVuZE5vdGU+PENpdGU+PEF1dGhvcj5Cb2VsbGFhcmQ8L0F1dGhvcj48WWVhcj4yMDE1PC9ZZWFy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</w:fldData>
        </w:fldChar>
      </w:r>
      <w:r>
        <w:rPr>
          <w:rFonts w:ascii="Times New Roman" w:eastAsia="宋体" w:hAnsi="Times New Roman" w:cs="Times New Roman"/>
          <w:kern w:val="0"/>
          <w:sz w:val="22"/>
        </w:rPr>
        <w:instrText xml:space="preserve"> ADDIN EN.CITE.DATA </w:instrText>
      </w:r>
      <w:r>
        <w:rPr>
          <w:rFonts w:ascii="Times New Roman" w:eastAsia="宋体" w:hAnsi="Times New Roman" w:cs="Times New Roman"/>
          <w:kern w:val="0"/>
          <w:sz w:val="22"/>
        </w:rPr>
      </w:r>
      <w:r>
        <w:rPr>
          <w:rFonts w:ascii="Times New Roman" w:eastAsia="宋体" w:hAnsi="Times New Roman" w:cs="Times New Roman"/>
          <w:kern w:val="0"/>
          <w:sz w:val="22"/>
        </w:rPr>
        <w:fldChar w:fldCharType="end"/>
      </w:r>
      <w:r w:rsidRPr="004A4CAF">
        <w:rPr>
          <w:rFonts w:ascii="Times New Roman" w:eastAsia="宋体" w:hAnsi="Times New Roman" w:cs="Times New Roman"/>
          <w:kern w:val="0"/>
          <w:sz w:val="22"/>
        </w:rPr>
      </w:r>
      <w:r w:rsidRPr="004A4CAF">
        <w:rPr>
          <w:rFonts w:ascii="Times New Roman" w:eastAsia="宋体" w:hAnsi="Times New Roman" w:cs="Times New Roman"/>
          <w:kern w:val="0"/>
          <w:sz w:val="22"/>
        </w:rPr>
        <w:fldChar w:fldCharType="separate"/>
      </w:r>
      <w:r>
        <w:rPr>
          <w:rFonts w:ascii="Times New Roman" w:eastAsia="宋体" w:hAnsi="Times New Roman" w:cs="Times New Roman"/>
          <w:noProof/>
          <w:kern w:val="0"/>
          <w:sz w:val="22"/>
        </w:rPr>
        <w:t>[2]</w:t>
      </w:r>
      <w:r w:rsidRPr="004A4CAF">
        <w:rPr>
          <w:rFonts w:ascii="Times New Roman" w:eastAsia="宋体" w:hAnsi="Times New Roman" w:cs="Times New Roman"/>
          <w:kern w:val="0"/>
          <w:sz w:val="22"/>
        </w:rPr>
        <w:fldChar w:fldCharType="end"/>
      </w:r>
      <w:r w:rsidRPr="004A4CAF">
        <w:rPr>
          <w:rFonts w:ascii="Times New Roman" w:eastAsia="宋体" w:hAnsi="Times New Roman" w:cs="Times New Roman"/>
          <w:kern w:val="0"/>
          <w:sz w:val="22"/>
        </w:rPr>
        <w:t>. For patient with diffuse liver infiltration, 2.0 × descending aorta SUL</w:t>
      </w:r>
      <w:r w:rsidRPr="004A4CAF">
        <w:rPr>
          <w:rFonts w:ascii="Times New Roman" w:eastAsia="宋体" w:hAnsi="Times New Roman" w:cs="Times New Roman"/>
          <w:kern w:val="0"/>
          <w:sz w:val="22"/>
          <w:vertAlign w:val="subscript"/>
        </w:rPr>
        <w:t>mean</w:t>
      </w:r>
      <w:r w:rsidRPr="004A4CAF">
        <w:rPr>
          <w:rFonts w:ascii="Times New Roman" w:eastAsia="宋体" w:hAnsi="Times New Roman" w:cs="Times New Roman"/>
          <w:kern w:val="0"/>
          <w:sz w:val="22"/>
        </w:rPr>
        <w:t xml:space="preserve"> + 2 SDs is used for substitution as minimal metabolically measurable lesion activity. The metabolic tumor volume (MTV) was defined using a research prototype segmentation algorithm (auto-adjustment algorithm version 1.0, United Imaging Healthcare).The total lesion glycolysis (TLG) was calculated as MTV multiplied by the mean SUL (TLG = MTV × SUL</w:t>
      </w:r>
      <w:r w:rsidRPr="004A4CAF">
        <w:rPr>
          <w:rFonts w:ascii="Times New Roman" w:eastAsia="宋体" w:hAnsi="Times New Roman" w:cs="Times New Roman"/>
          <w:kern w:val="0"/>
          <w:sz w:val="22"/>
          <w:vertAlign w:val="subscript"/>
        </w:rPr>
        <w:t>mean</w:t>
      </w:r>
      <w:r w:rsidRPr="004A4CAF">
        <w:rPr>
          <w:rFonts w:ascii="Times New Roman" w:eastAsia="宋体" w:hAnsi="Times New Roman" w:cs="Times New Roman"/>
          <w:kern w:val="0"/>
          <w:sz w:val="22"/>
        </w:rPr>
        <w:t>). We recorded the SUL</w:t>
      </w:r>
      <w:r w:rsidRPr="004A4CAF">
        <w:rPr>
          <w:rFonts w:ascii="Times New Roman" w:eastAsia="宋体" w:hAnsi="Times New Roman" w:cs="Times New Roman"/>
          <w:kern w:val="0"/>
          <w:sz w:val="22"/>
          <w:vertAlign w:val="subscript"/>
        </w:rPr>
        <w:t>max</w:t>
      </w:r>
      <w:r w:rsidRPr="004A4CAF">
        <w:rPr>
          <w:rFonts w:ascii="Times New Roman" w:eastAsia="宋体" w:hAnsi="Times New Roman" w:cs="Times New Roman"/>
          <w:kern w:val="0"/>
          <w:sz w:val="22"/>
        </w:rPr>
        <w:t>, SUL</w:t>
      </w:r>
      <w:r w:rsidRPr="004A4CAF">
        <w:rPr>
          <w:rFonts w:ascii="Times New Roman" w:eastAsia="宋体" w:hAnsi="Times New Roman" w:cs="Times New Roman"/>
          <w:kern w:val="0"/>
          <w:sz w:val="22"/>
          <w:vertAlign w:val="subscript"/>
        </w:rPr>
        <w:t>mean</w:t>
      </w:r>
      <w:r w:rsidRPr="004A4CAF">
        <w:rPr>
          <w:rFonts w:ascii="Times New Roman" w:eastAsia="宋体" w:hAnsi="Times New Roman" w:cs="Times New Roman"/>
          <w:kern w:val="0"/>
          <w:sz w:val="22"/>
        </w:rPr>
        <w:t>, MTV in milliliters, and TLG per lesion. The reduction percentage of each parameter was calculated and recorded.</w:t>
      </w:r>
    </w:p>
    <w:p w14:paraId="5EDC3687" w14:textId="6CBF6DC5" w:rsidR="004A4CAF" w:rsidRPr="004A4CAF" w:rsidRDefault="004A4CAF" w:rsidP="004A4CAF">
      <w:pPr>
        <w:widowControl/>
        <w:spacing w:after="20" w:line="480" w:lineRule="auto"/>
        <w:jc w:val="left"/>
        <w:rPr>
          <w:rFonts w:ascii="Times New Roman" w:eastAsia="宋体" w:hAnsi="Times New Roman" w:cs="Times New Roman"/>
          <w:kern w:val="0"/>
          <w:sz w:val="22"/>
        </w:rPr>
      </w:pPr>
      <w:r w:rsidRPr="004A4CAF">
        <w:rPr>
          <w:rFonts w:ascii="Times New Roman" w:eastAsia="宋体" w:hAnsi="Times New Roman" w:cs="Times New Roman"/>
          <w:kern w:val="0"/>
          <w:sz w:val="22"/>
        </w:rPr>
        <w:t xml:space="preserve">Thoracic CECT images were reviewed by two board-certified radiologists with more than 10 years of experience blinded to the PET/CT study. Longest diameter of the primary lesion and the short axis of metastatic lymph nodes were recorded </w:t>
      </w:r>
      <w:r w:rsidRPr="004A4CAF">
        <w:rPr>
          <w:rFonts w:ascii="Times New Roman" w:eastAsia="宋体" w:hAnsi="Times New Roman" w:cs="Times New Roman"/>
          <w:kern w:val="0"/>
          <w:sz w:val="22"/>
        </w:rPr>
        <w:fldChar w:fldCharType="begin"/>
      </w:r>
      <w:r>
        <w:rPr>
          <w:rFonts w:ascii="Times New Roman" w:eastAsia="宋体" w:hAnsi="Times New Roman" w:cs="Times New Roman"/>
          <w:kern w:val="0"/>
          <w:sz w:val="22"/>
        </w:rPr>
        <w:instrText xml:space="preserve"> ADDIN EN.CITE &lt;EndNote&gt;&lt;Cite&gt;&lt;Author&gt;Eisenhauer&lt;/Author&gt;&lt;Year&gt;2009&lt;/Year&gt;&lt;RecNum&gt;25&lt;/RecNum&gt;&lt;DisplayText&gt;[5]&lt;/DisplayText&gt;&lt;record&gt;&lt;rec-number&gt;25&lt;/rec-number&gt;&lt;foreign-keys&gt;&lt;key app="EN" db-id="w0vfarxt3fxa2mett20vr5d7p9zzzt5dwpvp" timestamp="1642736451"&gt;25&lt;/key&gt;&lt;/foreign-keys&gt;&lt;ref-type name="Journal Article"&gt;17&lt;/ref-type&gt;&lt;contributors&gt;&lt;authors&gt;&lt;author&gt;Eisenhauer, E. A.&lt;/author&gt;&lt;author&gt;Therasse, P.&lt;/author&gt;&lt;author&gt;Bogaerts, J.&lt;/author&gt;&lt;author&gt;Schwartz, L. H.&lt;/author&gt;&lt;author&gt;Sargent, D.&lt;/author&gt;&lt;author&gt;Ford, R.&lt;/author&gt;&lt;author&gt;Dancey, J.&lt;/author&gt;&lt;author&gt;Arbuck, S.&lt;/author&gt;&lt;author&gt;Gwyther, S.&lt;/author&gt;&lt;author&gt;Mooney, M.&lt;/author&gt;&lt;author&gt;Rubinstein, L.&lt;/author&gt;&lt;author&gt;Shankar, L.&lt;/author&gt;&lt;author&gt;Dodd, L.&lt;/author&gt;&lt;author&gt;Kaplan, R.&lt;/author&gt;&lt;author&gt;Lacombe, D.&lt;/author&gt;&lt;author&gt;Verweij, J.&lt;/author&gt;&lt;/authors&gt;&lt;/contributors&gt;&lt;auth-address&gt;National Cancer Institute of Canada-Clinical Trials Group, 10 Stuart Street, Queen&amp;apos;s University, Kingston, Ontario, Canada. eeisenhauer@ctg.queensu.ca&lt;/auth-address&gt;&lt;titles&gt;&lt;title&gt;New response evaluation criteria in solid tumours: revised RECIST guideline (version 1.1)&lt;/title&gt;&lt;secondary-title&gt;Eur J Cancer&lt;/secondary-title&gt;&lt;/titles&gt;&lt;periodical&gt;&lt;full-title&gt;Eur J Cancer&lt;/full-title&gt;&lt;/periodical&gt;&lt;pages&gt;228-47&lt;/pages&gt;&lt;volume&gt;45&lt;/volume&gt;&lt;number&gt;2&lt;/number&gt;&lt;edition&gt;2008/12/23&lt;/edition&gt;&lt;keywords&gt;&lt;keyword&gt;Clinical Trials as Topic&lt;/keyword&gt;&lt;keyword&gt;Disease Progression&lt;/keyword&gt;&lt;keyword&gt;Europe&lt;/keyword&gt;&lt;keyword&gt;Humans&lt;/keyword&gt;&lt;keyword&gt;Lymph Nodes/pathology&lt;/keyword&gt;&lt;keyword&gt;Magnetic Resonance Imaging&lt;/keyword&gt;&lt;keyword&gt;Neoplasms/*pathology/*therapy&lt;/keyword&gt;&lt;keyword&gt;Tomography, X-Ray Computed&lt;/keyword&gt;&lt;keyword&gt;Treatment Outcome&lt;/keyword&gt;&lt;/keywords&gt;&lt;dates&gt;&lt;year&gt;2009&lt;/year&gt;&lt;pub-dates&gt;&lt;date&gt;Jan&lt;/date&gt;&lt;/pub-dates&gt;&lt;/dates&gt;&lt;isbn&gt;0959-8049&lt;/isbn&gt;&lt;accession-num&gt;19097774&lt;/accession-num&gt;&lt;urls&gt;&lt;/urls&gt;&lt;electronic-resource-num&gt;10.1016/j.ejca.2008.10.026&lt;/electronic-resource-num&gt;&lt;remote-database-provider&gt;NLM&lt;/remote-database-provider&gt;&lt;language&gt;eng&lt;/language&gt;&lt;/record&gt;&lt;/Cite&gt;&lt;/EndNote&gt;</w:instrText>
      </w:r>
      <w:r w:rsidRPr="004A4CAF">
        <w:rPr>
          <w:rFonts w:ascii="Times New Roman" w:eastAsia="宋体" w:hAnsi="Times New Roman" w:cs="Times New Roman"/>
          <w:kern w:val="0"/>
          <w:sz w:val="22"/>
        </w:rPr>
        <w:fldChar w:fldCharType="separate"/>
      </w:r>
      <w:r>
        <w:rPr>
          <w:rFonts w:ascii="Times New Roman" w:eastAsia="宋体" w:hAnsi="Times New Roman" w:cs="Times New Roman"/>
          <w:noProof/>
          <w:kern w:val="0"/>
          <w:sz w:val="22"/>
        </w:rPr>
        <w:t>[5]</w:t>
      </w:r>
      <w:r w:rsidRPr="004A4CAF">
        <w:rPr>
          <w:rFonts w:ascii="Times New Roman" w:eastAsia="宋体" w:hAnsi="Times New Roman" w:cs="Times New Roman"/>
          <w:kern w:val="0"/>
          <w:sz w:val="22"/>
        </w:rPr>
        <w:fldChar w:fldCharType="end"/>
      </w:r>
      <w:r w:rsidRPr="004A4CAF">
        <w:rPr>
          <w:rFonts w:ascii="Times New Roman" w:eastAsia="宋体" w:hAnsi="Times New Roman" w:cs="Times New Roman"/>
          <w:kern w:val="0"/>
          <w:sz w:val="22"/>
        </w:rPr>
        <w:t xml:space="preserve">. </w:t>
      </w:r>
    </w:p>
    <w:p w14:paraId="21DB1AC8" w14:textId="2C05784B" w:rsidR="002F1C04" w:rsidRPr="004A4CAF" w:rsidRDefault="002F1C04" w:rsidP="002F1C04"/>
    <w:p w14:paraId="68E4AB09" w14:textId="278277A6" w:rsidR="004A4CAF" w:rsidRDefault="004A4CAF" w:rsidP="002F1C04"/>
    <w:p w14:paraId="5334ED0D" w14:textId="77777777" w:rsidR="004A4CAF" w:rsidRDefault="004A4CAF" w:rsidP="002F1C04"/>
    <w:p w14:paraId="0C315194" w14:textId="0E655ABE" w:rsidR="002F1C04" w:rsidRPr="002F1C04" w:rsidRDefault="002F1C04" w:rsidP="002F1C04">
      <w:pPr>
        <w:rPr>
          <w:rFonts w:ascii="Times New Roman" w:hAnsi="Times New Roman" w:cs="Times New Roman"/>
          <w:b/>
          <w:bCs/>
        </w:rPr>
      </w:pPr>
      <w:r w:rsidRPr="002F1C04">
        <w:rPr>
          <w:rFonts w:ascii="Times New Roman" w:hAnsi="Times New Roman" w:cs="Times New Roman"/>
          <w:b/>
          <w:bCs/>
        </w:rPr>
        <w:t>Reference:</w:t>
      </w:r>
    </w:p>
    <w:p w14:paraId="6B00A646" w14:textId="77777777" w:rsidR="004A4CAF" w:rsidRPr="004A4CAF" w:rsidRDefault="002F1C04" w:rsidP="004A4CAF">
      <w:pPr>
        <w:pStyle w:val="EndNoteBibliography"/>
        <w:ind w:left="720" w:hanging="720"/>
      </w:pPr>
      <w:r>
        <w:fldChar w:fldCharType="begin"/>
      </w:r>
      <w:r>
        <w:instrText xml:space="preserve"> ADDIN EN.REFLIST </w:instrText>
      </w:r>
      <w:r>
        <w:fldChar w:fldCharType="separate"/>
      </w:r>
      <w:r w:rsidR="004A4CAF" w:rsidRPr="004A4CAF">
        <w:t>1.</w:t>
      </w:r>
      <w:r w:rsidR="004A4CAF" w:rsidRPr="004A4CAF">
        <w:tab/>
        <w:t xml:space="preserve">Graham, M.M., et al., </w:t>
      </w:r>
      <w:r w:rsidR="004A4CAF" w:rsidRPr="004A4CAF">
        <w:rPr>
          <w:i/>
        </w:rPr>
        <w:t>Summary of the UPICT Protocol for 18F-FDG PET/CT Imaging in Oncology Clinical Trials.</w:t>
      </w:r>
      <w:r w:rsidR="004A4CAF" w:rsidRPr="004A4CAF">
        <w:t xml:space="preserve"> J Nucl Med, 2015. </w:t>
      </w:r>
      <w:r w:rsidR="004A4CAF" w:rsidRPr="004A4CAF">
        <w:rPr>
          <w:b/>
        </w:rPr>
        <w:t>56</w:t>
      </w:r>
      <w:r w:rsidR="004A4CAF" w:rsidRPr="004A4CAF">
        <w:t>(6): p. 955-61.</w:t>
      </w:r>
    </w:p>
    <w:p w14:paraId="125B0BD9" w14:textId="77777777" w:rsidR="004A4CAF" w:rsidRPr="004A4CAF" w:rsidRDefault="004A4CAF" w:rsidP="004A4CAF">
      <w:pPr>
        <w:pStyle w:val="EndNoteBibliography"/>
        <w:ind w:left="720" w:hanging="720"/>
      </w:pPr>
      <w:r w:rsidRPr="004A4CAF">
        <w:t>2.</w:t>
      </w:r>
      <w:r w:rsidRPr="004A4CAF">
        <w:tab/>
        <w:t xml:space="preserve">Boellaard, R., et al., </w:t>
      </w:r>
      <w:r w:rsidRPr="004A4CAF">
        <w:rPr>
          <w:i/>
        </w:rPr>
        <w:t>FDG PET/CT: EANM procedure guidelines for tumour imaging: version 2.0.</w:t>
      </w:r>
      <w:r w:rsidRPr="004A4CAF">
        <w:t xml:space="preserve"> Eur J Nucl Med Mol Imaging, 2015. </w:t>
      </w:r>
      <w:r w:rsidRPr="004A4CAF">
        <w:rPr>
          <w:b/>
        </w:rPr>
        <w:t>42</w:t>
      </w:r>
      <w:r w:rsidRPr="004A4CAF">
        <w:t>(2): p. 328-54.</w:t>
      </w:r>
    </w:p>
    <w:p w14:paraId="0A6475DA" w14:textId="77777777" w:rsidR="004A4CAF" w:rsidRPr="004A4CAF" w:rsidRDefault="004A4CAF" w:rsidP="004A4CAF">
      <w:pPr>
        <w:pStyle w:val="EndNoteBibliography"/>
        <w:ind w:left="720" w:hanging="720"/>
      </w:pPr>
      <w:r w:rsidRPr="004A4CAF">
        <w:t>3.</w:t>
      </w:r>
      <w:r w:rsidRPr="004A4CAF">
        <w:tab/>
        <w:t xml:space="preserve">O, J.H., M.A. Lodge, and R.L. Wahl, </w:t>
      </w:r>
      <w:r w:rsidRPr="004A4CAF">
        <w:rPr>
          <w:i/>
        </w:rPr>
        <w:t>Practical PERCIST: A Simplified Guide to PET Response Criteria in Solid Tumors 1.0.</w:t>
      </w:r>
      <w:r w:rsidRPr="004A4CAF">
        <w:t xml:space="preserve"> Radiology, 2016. </w:t>
      </w:r>
      <w:r w:rsidRPr="004A4CAF">
        <w:rPr>
          <w:b/>
        </w:rPr>
        <w:t>280</w:t>
      </w:r>
      <w:r w:rsidRPr="004A4CAF">
        <w:t>(2): p. 576-84.</w:t>
      </w:r>
    </w:p>
    <w:p w14:paraId="0CCC6115" w14:textId="77777777" w:rsidR="004A4CAF" w:rsidRPr="004A4CAF" w:rsidRDefault="004A4CAF" w:rsidP="004A4CAF">
      <w:pPr>
        <w:pStyle w:val="EndNoteBibliography"/>
        <w:ind w:left="720" w:hanging="720"/>
      </w:pPr>
      <w:r w:rsidRPr="004A4CAF">
        <w:t>4.</w:t>
      </w:r>
      <w:r w:rsidRPr="004A4CAF">
        <w:tab/>
        <w:t xml:space="preserve">Wang, S.Y., et al., </w:t>
      </w:r>
      <w:r w:rsidRPr="004A4CAF">
        <w:rPr>
          <w:i/>
        </w:rPr>
        <w:t>PET/CT and contrast-enhanced CT imaging findings in benign solitary schwannomas.</w:t>
      </w:r>
      <w:r w:rsidRPr="004A4CAF">
        <w:t xml:space="preserve"> Eur J Radiol, 2021. </w:t>
      </w:r>
      <w:r w:rsidRPr="004A4CAF">
        <w:rPr>
          <w:b/>
        </w:rPr>
        <w:t>141</w:t>
      </w:r>
      <w:r w:rsidRPr="004A4CAF">
        <w:t>: p. 109820.</w:t>
      </w:r>
    </w:p>
    <w:p w14:paraId="1C6DD555" w14:textId="77777777" w:rsidR="004A4CAF" w:rsidRPr="004A4CAF" w:rsidRDefault="004A4CAF" w:rsidP="004A4CAF">
      <w:pPr>
        <w:pStyle w:val="EndNoteBibliography"/>
        <w:ind w:left="720" w:hanging="720"/>
      </w:pPr>
      <w:r w:rsidRPr="004A4CAF">
        <w:t>5.</w:t>
      </w:r>
      <w:r w:rsidRPr="004A4CAF">
        <w:tab/>
        <w:t xml:space="preserve">Eisenhauer, E.A., et al., </w:t>
      </w:r>
      <w:r w:rsidRPr="004A4CAF">
        <w:rPr>
          <w:i/>
        </w:rPr>
        <w:t>New response evaluation criteria in solid tumours: revised RECIST guideline (version 1.1).</w:t>
      </w:r>
      <w:r w:rsidRPr="004A4CAF">
        <w:t xml:space="preserve"> Eur J Cancer, 2009. </w:t>
      </w:r>
      <w:r w:rsidRPr="004A4CAF">
        <w:rPr>
          <w:b/>
        </w:rPr>
        <w:t>45</w:t>
      </w:r>
      <w:r w:rsidRPr="004A4CAF">
        <w:t>(2): p. 228-47.</w:t>
      </w:r>
    </w:p>
    <w:p w14:paraId="5E2E3927" w14:textId="17B52C36" w:rsidR="002F1C04" w:rsidRPr="002F1C04" w:rsidRDefault="002F1C04" w:rsidP="002F1C04">
      <w:r>
        <w:fldChar w:fldCharType="end"/>
      </w:r>
    </w:p>
    <w:sectPr w:rsidR="002F1C04" w:rsidRPr="002F1C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5C12" w14:textId="77777777" w:rsidR="008A188D" w:rsidRDefault="008A188D" w:rsidP="002F1C04">
      <w:r>
        <w:separator/>
      </w:r>
    </w:p>
  </w:endnote>
  <w:endnote w:type="continuationSeparator" w:id="0">
    <w:p w14:paraId="426C624D" w14:textId="77777777" w:rsidR="008A188D" w:rsidRDefault="008A188D" w:rsidP="002F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1AB6" w14:textId="77777777" w:rsidR="008A188D" w:rsidRDefault="008A188D" w:rsidP="002F1C04">
      <w:r>
        <w:separator/>
      </w:r>
    </w:p>
  </w:footnote>
  <w:footnote w:type="continuationSeparator" w:id="0">
    <w:p w14:paraId="4BBFEB42" w14:textId="77777777" w:rsidR="008A188D" w:rsidRDefault="008A188D" w:rsidP="002F1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2MrU0NzE0sDQ2MTJX0lEKTi0uzszPAykwqgUAhrHk7iwAAAA="/>
    <w:docVar w:name="EN.Layout" w:val="&lt;ENLayout&gt;&lt;Style&gt;Numbere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83466"/>
    <w:rsid w:val="00051B0D"/>
    <w:rsid w:val="002F1C04"/>
    <w:rsid w:val="003D4EEB"/>
    <w:rsid w:val="004A4CAF"/>
    <w:rsid w:val="008A188D"/>
    <w:rsid w:val="009C1FC1"/>
    <w:rsid w:val="00A83466"/>
    <w:rsid w:val="00AD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8A9C"/>
  <w15:chartTrackingRefBased/>
  <w15:docId w15:val="{0DB7F63A-4F4E-44C8-9C95-BD60F81A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C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1C04"/>
    <w:rPr>
      <w:sz w:val="18"/>
      <w:szCs w:val="18"/>
    </w:rPr>
  </w:style>
  <w:style w:type="paragraph" w:styleId="a5">
    <w:name w:val="footer"/>
    <w:basedOn w:val="a"/>
    <w:link w:val="a6"/>
    <w:uiPriority w:val="99"/>
    <w:unhideWhenUsed/>
    <w:rsid w:val="002F1C04"/>
    <w:pPr>
      <w:tabs>
        <w:tab w:val="center" w:pos="4153"/>
        <w:tab w:val="right" w:pos="8306"/>
      </w:tabs>
      <w:snapToGrid w:val="0"/>
      <w:jc w:val="left"/>
    </w:pPr>
    <w:rPr>
      <w:sz w:val="18"/>
      <w:szCs w:val="18"/>
    </w:rPr>
  </w:style>
  <w:style w:type="character" w:customStyle="1" w:styleId="a6">
    <w:name w:val="页脚 字符"/>
    <w:basedOn w:val="a0"/>
    <w:link w:val="a5"/>
    <w:uiPriority w:val="99"/>
    <w:rsid w:val="002F1C04"/>
    <w:rPr>
      <w:sz w:val="18"/>
      <w:szCs w:val="18"/>
    </w:rPr>
  </w:style>
  <w:style w:type="paragraph" w:styleId="a7">
    <w:name w:val="Normal (Web)"/>
    <w:basedOn w:val="a"/>
    <w:link w:val="a8"/>
    <w:uiPriority w:val="99"/>
    <w:unhideWhenUsed/>
    <w:rsid w:val="002F1C04"/>
    <w:pPr>
      <w:widowControl/>
      <w:spacing w:before="100" w:beforeAutospacing="1" w:after="100" w:afterAutospacing="1"/>
      <w:jc w:val="left"/>
    </w:pPr>
    <w:rPr>
      <w:rFonts w:ascii="宋体" w:eastAsia="宋体" w:hAnsi="宋体" w:cs="宋体"/>
      <w:kern w:val="0"/>
      <w:sz w:val="24"/>
      <w:szCs w:val="24"/>
    </w:rPr>
  </w:style>
  <w:style w:type="character" w:customStyle="1" w:styleId="a8">
    <w:name w:val="普通(网站) 字符"/>
    <w:basedOn w:val="a0"/>
    <w:link w:val="a7"/>
    <w:uiPriority w:val="99"/>
    <w:rsid w:val="002F1C04"/>
    <w:rPr>
      <w:rFonts w:ascii="宋体" w:eastAsia="宋体" w:hAnsi="宋体" w:cs="宋体"/>
      <w:kern w:val="0"/>
      <w:sz w:val="24"/>
      <w:szCs w:val="24"/>
    </w:rPr>
  </w:style>
  <w:style w:type="paragraph" w:customStyle="1" w:styleId="EndNoteBibliographyTitle">
    <w:name w:val="EndNote Bibliography Title"/>
    <w:basedOn w:val="a"/>
    <w:link w:val="EndNoteBibliographyTitle0"/>
    <w:rsid w:val="002F1C04"/>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2F1C04"/>
    <w:rPr>
      <w:rFonts w:ascii="等线" w:eastAsia="等线" w:hAnsi="等线"/>
      <w:noProof/>
      <w:sz w:val="20"/>
    </w:rPr>
  </w:style>
  <w:style w:type="paragraph" w:customStyle="1" w:styleId="EndNoteBibliography">
    <w:name w:val="EndNote Bibliography"/>
    <w:basedOn w:val="a"/>
    <w:link w:val="EndNoteBibliography0"/>
    <w:rsid w:val="002F1C04"/>
    <w:rPr>
      <w:rFonts w:ascii="等线" w:eastAsia="等线" w:hAnsi="等线"/>
      <w:noProof/>
      <w:sz w:val="20"/>
    </w:rPr>
  </w:style>
  <w:style w:type="character" w:customStyle="1" w:styleId="EndNoteBibliography0">
    <w:name w:val="EndNote Bibliography 字符"/>
    <w:basedOn w:val="a0"/>
    <w:link w:val="EndNoteBibliography"/>
    <w:rsid w:val="002F1C04"/>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1417</Words>
  <Characters>8081</Characters>
  <Application>Microsoft Office Word</Application>
  <DocSecurity>0</DocSecurity>
  <Lines>67</Lines>
  <Paragraphs>18</Paragraphs>
  <ScaleCrop>false</ScaleCrop>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Shujie Huang</dc:creator>
  <cp:keywords/>
  <dc:description/>
  <cp:lastModifiedBy>Shujie Huang</cp:lastModifiedBy>
  <cp:revision>5</cp:revision>
  <dcterms:created xsi:type="dcterms:W3CDTF">2022-05-06T15:52:00Z</dcterms:created>
  <dcterms:modified xsi:type="dcterms:W3CDTF">2022-07-02T03:59:00Z</dcterms:modified>
</cp:coreProperties>
</file>