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7EEE6" w14:textId="77777777" w:rsidR="00654E8F" w:rsidRPr="001549D3" w:rsidRDefault="00654E8F" w:rsidP="0001436A">
      <w:pPr>
        <w:pStyle w:val="SupplementaryMaterial"/>
        <w:rPr>
          <w:b w:val="0"/>
        </w:rPr>
      </w:pPr>
      <w:r w:rsidRPr="001549D3">
        <w:t>Supplementary Material</w:t>
      </w:r>
    </w:p>
    <w:p w14:paraId="735BA47B" w14:textId="02325F8A" w:rsidR="00F66D4F" w:rsidRPr="00F66D4F" w:rsidRDefault="00994A3D" w:rsidP="002F3C5A">
      <w:pPr>
        <w:pStyle w:val="2"/>
      </w:pPr>
      <w:r w:rsidRPr="0001436A">
        <w:t>Supplementary</w:t>
      </w:r>
      <w:r w:rsidRPr="001549D3">
        <w:t xml:space="preserve"> Figures</w:t>
      </w:r>
    </w:p>
    <w:p w14:paraId="58704946" w14:textId="6187DA6B" w:rsidR="00EB47B9" w:rsidRDefault="002350CE" w:rsidP="00F66D4F">
      <w:pPr>
        <w:jc w:val="center"/>
        <w:rPr>
          <w:color w:val="000000" w:themeColor="text1"/>
        </w:rPr>
      </w:pPr>
      <w:r w:rsidRPr="002350CE">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350CE">
        <w:rPr>
          <w:noProof/>
          <w:color w:val="000000" w:themeColor="text1"/>
          <w:lang w:eastAsia="zh-CN"/>
        </w:rPr>
        <w:drawing>
          <wp:inline distT="0" distB="0" distL="0" distR="0" wp14:anchorId="46BB592D" wp14:editId="6A83A4B7">
            <wp:extent cx="4540250" cy="4502150"/>
            <wp:effectExtent l="0" t="0" r="0" b="0"/>
            <wp:docPr id="4" name="图片 4" descr="C:\Users\77272\Desktop\FII-revised-2\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272\Desktop\FII-revised-2\S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0250" cy="4502150"/>
                    </a:xfrm>
                    <a:prstGeom prst="rect">
                      <a:avLst/>
                    </a:prstGeom>
                    <a:noFill/>
                    <a:ln>
                      <a:noFill/>
                    </a:ln>
                  </pic:spPr>
                </pic:pic>
              </a:graphicData>
            </a:graphic>
          </wp:inline>
        </w:drawing>
      </w:r>
    </w:p>
    <w:p w14:paraId="5E6B0060" w14:textId="5BA4E510" w:rsidR="0067732C" w:rsidRPr="002F3C5A" w:rsidRDefault="00F66D4F" w:rsidP="00F66D4F">
      <w:pPr>
        <w:pStyle w:val="Footnotes"/>
        <w:spacing w:after="240" w:line="240" w:lineRule="auto"/>
        <w:ind w:left="0" w:firstLine="0"/>
        <w:rPr>
          <w:sz w:val="24"/>
        </w:rPr>
      </w:pPr>
      <w:r w:rsidRPr="00997654">
        <w:rPr>
          <w:b/>
          <w:sz w:val="24"/>
        </w:rPr>
        <w:t>Supplementary Figure</w:t>
      </w:r>
      <w:r w:rsidR="00D833F2" w:rsidRPr="00997654">
        <w:rPr>
          <w:b/>
          <w:sz w:val="24"/>
        </w:rPr>
        <w:t xml:space="preserve"> 1</w:t>
      </w:r>
      <w:r w:rsidRPr="00997654">
        <w:rPr>
          <w:b/>
          <w:sz w:val="24"/>
        </w:rPr>
        <w:t xml:space="preserve">. </w:t>
      </w:r>
      <w:r w:rsidR="00140BE7" w:rsidRPr="00997654">
        <w:rPr>
          <w:sz w:val="24"/>
        </w:rPr>
        <w:t>Glycosylation a</w:t>
      </w:r>
      <w:r w:rsidR="00613147" w:rsidRPr="00997654">
        <w:rPr>
          <w:sz w:val="24"/>
        </w:rPr>
        <w:t xml:space="preserve">nalysis of </w:t>
      </w:r>
      <w:r w:rsidR="002350CE" w:rsidRPr="00997654">
        <w:rPr>
          <w:sz w:val="24"/>
          <w:lang w:eastAsia="zh-CN"/>
        </w:rPr>
        <w:t>the</w:t>
      </w:r>
      <w:r w:rsidR="00140BE7" w:rsidRPr="00997654">
        <w:rPr>
          <w:sz w:val="24"/>
        </w:rPr>
        <w:t xml:space="preserve"> </w:t>
      </w:r>
      <w:r w:rsidR="00613147" w:rsidRPr="00997654">
        <w:rPr>
          <w:sz w:val="24"/>
        </w:rPr>
        <w:t>wtRBD and Delta RBD</w:t>
      </w:r>
      <w:r w:rsidR="00140BE7" w:rsidRPr="00997654">
        <w:rPr>
          <w:sz w:val="24"/>
        </w:rPr>
        <w:t xml:space="preserve"> produced in </w:t>
      </w:r>
      <w:r w:rsidR="002350CE" w:rsidRPr="00997654">
        <w:rPr>
          <w:i/>
          <w:sz w:val="24"/>
        </w:rPr>
        <w:t>P. pastoris</w:t>
      </w:r>
      <w:r w:rsidR="00613147" w:rsidRPr="00997654">
        <w:rPr>
          <w:sz w:val="24"/>
        </w:rPr>
        <w:t>.</w:t>
      </w:r>
      <w:r w:rsidR="00613147" w:rsidRPr="00997654">
        <w:rPr>
          <w:b/>
          <w:sz w:val="24"/>
        </w:rPr>
        <w:t xml:space="preserve"> </w:t>
      </w:r>
      <w:r w:rsidR="00696474" w:rsidRPr="00997654">
        <w:rPr>
          <w:b/>
          <w:sz w:val="24"/>
          <w:lang w:eastAsia="zh-CN"/>
        </w:rPr>
        <w:t xml:space="preserve">(A) </w:t>
      </w:r>
      <w:r w:rsidR="00EB47B9" w:rsidRPr="00997654">
        <w:rPr>
          <w:sz w:val="24"/>
        </w:rPr>
        <w:t xml:space="preserve">Glycosylated sites of </w:t>
      </w:r>
      <w:proofErr w:type="spellStart"/>
      <w:r w:rsidR="00EB47B9" w:rsidRPr="00997654">
        <w:rPr>
          <w:sz w:val="24"/>
        </w:rPr>
        <w:t>wtRBD</w:t>
      </w:r>
      <w:proofErr w:type="spellEnd"/>
      <w:r w:rsidR="00EB47B9" w:rsidRPr="00997654">
        <w:rPr>
          <w:sz w:val="24"/>
        </w:rPr>
        <w:t xml:space="preserve"> protein </w:t>
      </w:r>
      <w:proofErr w:type="spellStart"/>
      <w:r w:rsidR="00EB47B9" w:rsidRPr="00997654">
        <w:rPr>
          <w:sz w:val="24"/>
        </w:rPr>
        <w:t>analyzed</w:t>
      </w:r>
      <w:proofErr w:type="spellEnd"/>
      <w:r w:rsidR="00EB47B9" w:rsidRPr="00997654">
        <w:rPr>
          <w:sz w:val="24"/>
        </w:rPr>
        <w:t xml:space="preserve"> by </w:t>
      </w:r>
      <w:bookmarkStart w:id="0" w:name="OLE_LINK1"/>
      <w:r w:rsidR="00EB47B9" w:rsidRPr="00997654">
        <w:rPr>
          <w:sz w:val="24"/>
        </w:rPr>
        <w:t>liquid chromatography-mass spectrometry (LC-MS)</w:t>
      </w:r>
      <w:bookmarkEnd w:id="0"/>
      <w:r w:rsidR="00EB47B9" w:rsidRPr="00997654">
        <w:rPr>
          <w:sz w:val="24"/>
        </w:rPr>
        <w:t xml:space="preserve">. The numbers indicate the amino acids with O-glycosylation (peptides </w:t>
      </w:r>
      <w:r w:rsidR="002350CE" w:rsidRPr="00997654">
        <w:rPr>
          <w:sz w:val="24"/>
        </w:rPr>
        <w:t>a</w:t>
      </w:r>
      <w:r w:rsidR="00EB47B9" w:rsidRPr="00997654">
        <w:rPr>
          <w:sz w:val="24"/>
        </w:rPr>
        <w:t>-</w:t>
      </w:r>
      <w:r w:rsidR="002350CE" w:rsidRPr="00997654">
        <w:rPr>
          <w:sz w:val="24"/>
        </w:rPr>
        <w:t>c</w:t>
      </w:r>
      <w:r w:rsidR="00EB47B9" w:rsidRPr="00997654">
        <w:rPr>
          <w:sz w:val="24"/>
        </w:rPr>
        <w:t>)</w:t>
      </w:r>
      <w:r w:rsidR="00613147" w:rsidRPr="00997654">
        <w:rPr>
          <w:sz w:val="24"/>
        </w:rPr>
        <w:t xml:space="preserve"> or N-glycosylation (peptides </w:t>
      </w:r>
      <w:r w:rsidR="002350CE" w:rsidRPr="00997654">
        <w:rPr>
          <w:sz w:val="24"/>
        </w:rPr>
        <w:t>d</w:t>
      </w:r>
      <w:r w:rsidR="00613147" w:rsidRPr="00997654">
        <w:rPr>
          <w:sz w:val="24"/>
        </w:rPr>
        <w:t>)</w:t>
      </w:r>
      <w:r w:rsidR="00EB47B9" w:rsidRPr="00997654">
        <w:rPr>
          <w:sz w:val="24"/>
        </w:rPr>
        <w:t xml:space="preserve">. </w:t>
      </w:r>
      <w:proofErr w:type="gramStart"/>
      <w:r w:rsidR="002350CE" w:rsidRPr="00997654">
        <w:rPr>
          <w:sz w:val="24"/>
        </w:rPr>
        <w:t>a</w:t>
      </w:r>
      <w:proofErr w:type="gramEnd"/>
      <w:r w:rsidR="00EB47B9" w:rsidRPr="00997654">
        <w:rPr>
          <w:sz w:val="24"/>
        </w:rPr>
        <w:t xml:space="preserve"> and </w:t>
      </w:r>
      <w:r w:rsidR="002350CE" w:rsidRPr="00997654">
        <w:rPr>
          <w:sz w:val="24"/>
        </w:rPr>
        <w:t>b</w:t>
      </w:r>
      <w:r w:rsidR="00EB47B9" w:rsidRPr="00997654">
        <w:rPr>
          <w:sz w:val="24"/>
        </w:rPr>
        <w:t xml:space="preserve"> indicate possible O-glycosylation sites; </w:t>
      </w:r>
      <w:r w:rsidR="002350CE" w:rsidRPr="00997654">
        <w:rPr>
          <w:sz w:val="24"/>
        </w:rPr>
        <w:t>c</w:t>
      </w:r>
      <w:r w:rsidR="00EB47B9" w:rsidRPr="00997654">
        <w:rPr>
          <w:sz w:val="24"/>
        </w:rPr>
        <w:t xml:space="preserve"> indicates identified O-glycosylation site</w:t>
      </w:r>
      <w:r w:rsidR="002350CE" w:rsidRPr="00997654">
        <w:rPr>
          <w:sz w:val="24"/>
          <w:lang w:eastAsia="zh-CN"/>
        </w:rPr>
        <w:t>; d</w:t>
      </w:r>
      <w:r w:rsidR="00B76CC1">
        <w:rPr>
          <w:sz w:val="24"/>
        </w:rPr>
        <w:t xml:space="preserve"> indicates</w:t>
      </w:r>
      <w:r w:rsidR="002350CE" w:rsidRPr="00997654">
        <w:rPr>
          <w:sz w:val="24"/>
        </w:rPr>
        <w:t xml:space="preserve"> N-glycosylation sites</w:t>
      </w:r>
      <w:r w:rsidR="00EB47B9" w:rsidRPr="00997654">
        <w:rPr>
          <w:sz w:val="24"/>
        </w:rPr>
        <w:t>.</w:t>
      </w:r>
      <w:r w:rsidR="002350CE" w:rsidRPr="00997654">
        <w:rPr>
          <w:sz w:val="24"/>
        </w:rPr>
        <w:t xml:space="preserve"> </w:t>
      </w:r>
      <w:r w:rsidR="002350CE" w:rsidRPr="00997654">
        <w:rPr>
          <w:b/>
          <w:sz w:val="24"/>
        </w:rPr>
        <w:t xml:space="preserve">(B and C) </w:t>
      </w:r>
      <w:r w:rsidR="00296EFF" w:rsidRPr="00997654">
        <w:rPr>
          <w:sz w:val="24"/>
          <w:lang w:eastAsia="zh-CN"/>
        </w:rPr>
        <w:t>Analysis of</w:t>
      </w:r>
      <w:r w:rsidR="00296EFF" w:rsidRPr="00997654">
        <w:rPr>
          <w:b/>
          <w:sz w:val="24"/>
          <w:lang w:eastAsia="zh-CN"/>
        </w:rPr>
        <w:t xml:space="preserve"> </w:t>
      </w:r>
      <w:r w:rsidR="00296EFF" w:rsidRPr="00997654">
        <w:rPr>
          <w:sz w:val="24"/>
          <w:lang w:eastAsia="zh-CN"/>
        </w:rPr>
        <w:t>g</w:t>
      </w:r>
      <w:r w:rsidR="00296EFF" w:rsidRPr="00997654">
        <w:rPr>
          <w:sz w:val="24"/>
        </w:rPr>
        <w:t xml:space="preserve">lycosylation by </w:t>
      </w:r>
      <w:proofErr w:type="spellStart"/>
      <w:r w:rsidR="00296EFF" w:rsidRPr="00997654">
        <w:rPr>
          <w:sz w:val="24"/>
        </w:rPr>
        <w:t>PNGase</w:t>
      </w:r>
      <w:proofErr w:type="spellEnd"/>
      <w:r w:rsidR="00296EFF" w:rsidRPr="00997654">
        <w:rPr>
          <w:sz w:val="24"/>
        </w:rPr>
        <w:t xml:space="preserve"> F digestion </w:t>
      </w:r>
      <w:r w:rsidR="00296EFF" w:rsidRPr="00997654">
        <w:rPr>
          <w:sz w:val="24"/>
          <w:lang w:eastAsia="zh-CN"/>
        </w:rPr>
        <w:t>in</w:t>
      </w:r>
      <w:r w:rsidR="00296EFF" w:rsidRPr="00997654">
        <w:rPr>
          <w:sz w:val="24"/>
        </w:rPr>
        <w:t xml:space="preserve"> wtRBD (B) and Delta RBD (C)</w:t>
      </w:r>
      <w:r w:rsidR="002350CE" w:rsidRPr="00997654">
        <w:rPr>
          <w:sz w:val="24"/>
        </w:rPr>
        <w:t>.</w:t>
      </w:r>
    </w:p>
    <w:p w14:paraId="35E2F27C" w14:textId="6F57C573" w:rsidR="00EB47B9" w:rsidRPr="00F66D4F" w:rsidRDefault="00F66D4F" w:rsidP="00F66D4F">
      <w:pPr>
        <w:spacing w:before="0" w:after="200" w:line="276" w:lineRule="auto"/>
        <w:rPr>
          <w:rFonts w:cs="Times New Roman"/>
          <w:color w:val="000000" w:themeColor="text1"/>
          <w:sz w:val="22"/>
          <w:szCs w:val="24"/>
          <w:lang w:val="en-GB" w:eastAsia="en-GB"/>
        </w:rPr>
      </w:pPr>
      <w:r>
        <w:rPr>
          <w:color w:val="000000" w:themeColor="text1"/>
        </w:rPr>
        <w:br w:type="page"/>
      </w:r>
    </w:p>
    <w:p w14:paraId="4A4086BF" w14:textId="231F2BAC" w:rsidR="009E6EDE" w:rsidRDefault="009E6EDE" w:rsidP="009E6EDE">
      <w:pPr>
        <w:jc w:val="center"/>
        <w:rPr>
          <w:color w:val="000000" w:themeColor="text1"/>
        </w:rPr>
      </w:pPr>
    </w:p>
    <w:p w14:paraId="0B09E9DE" w14:textId="39612602" w:rsidR="009E6EDE" w:rsidRPr="005222C9" w:rsidRDefault="009E6EDE" w:rsidP="009E6EDE">
      <w:pPr>
        <w:jc w:val="center"/>
        <w:rPr>
          <w:color w:val="000000" w:themeColor="text1"/>
        </w:rPr>
      </w:pPr>
      <w:r w:rsidRPr="009E6EDE">
        <w:rPr>
          <w:noProof/>
          <w:color w:val="000000" w:themeColor="text1"/>
          <w:lang w:eastAsia="zh-CN"/>
        </w:rPr>
        <w:drawing>
          <wp:inline distT="0" distB="0" distL="0" distR="0" wp14:anchorId="13C1E243" wp14:editId="05FC542B">
            <wp:extent cx="6208395" cy="3299255"/>
            <wp:effectExtent l="0" t="0" r="1905" b="0"/>
            <wp:docPr id="5" name="图片 5" descr="C:\Users\77272\Desktop\Fii-revise\figure-frontiers-revised\SF2\gamma and Y453F t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272\Desktop\Fii-revise\figure-frontiers-revised\SF2\gamma and Y453F tit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8395" cy="3299255"/>
                    </a:xfrm>
                    <a:prstGeom prst="rect">
                      <a:avLst/>
                    </a:prstGeom>
                    <a:noFill/>
                    <a:ln>
                      <a:noFill/>
                    </a:ln>
                  </pic:spPr>
                </pic:pic>
              </a:graphicData>
            </a:graphic>
          </wp:inline>
        </w:drawing>
      </w:r>
    </w:p>
    <w:p w14:paraId="5D16884E" w14:textId="748363AE" w:rsidR="00EB47B9" w:rsidRPr="00F66D4F" w:rsidRDefault="00F66D4F" w:rsidP="00F66D4F">
      <w:pPr>
        <w:rPr>
          <w:szCs w:val="24"/>
        </w:rPr>
      </w:pPr>
      <w:r w:rsidRPr="00F66D4F">
        <w:rPr>
          <w:rFonts w:cs="Times New Roman"/>
          <w:b/>
          <w:szCs w:val="24"/>
        </w:rPr>
        <w:t>Supplementary Figure 2</w:t>
      </w:r>
      <w:r w:rsidRPr="00F66D4F">
        <w:rPr>
          <w:b/>
          <w:szCs w:val="24"/>
        </w:rPr>
        <w:t xml:space="preserve">. </w:t>
      </w:r>
      <w:r w:rsidR="00EB47B9" w:rsidRPr="00F66D4F">
        <w:rPr>
          <w:szCs w:val="24"/>
        </w:rPr>
        <w:t xml:space="preserve">Cross-reactivity of antisera from mice immunized with </w:t>
      </w:r>
      <w:proofErr w:type="spellStart"/>
      <w:r w:rsidR="00EB47B9" w:rsidRPr="00F66D4F">
        <w:rPr>
          <w:szCs w:val="24"/>
        </w:rPr>
        <w:t>wtRBD</w:t>
      </w:r>
      <w:proofErr w:type="spellEnd"/>
      <w:r w:rsidR="00EB47B9" w:rsidRPr="00F66D4F">
        <w:rPr>
          <w:szCs w:val="24"/>
        </w:rPr>
        <w:t xml:space="preserve"> against Gamma and Mink (Y453F) SARS-CoV-2 variants.</w:t>
      </w:r>
      <w:r w:rsidR="00EB47B9" w:rsidRPr="00F66D4F">
        <w:rPr>
          <w:b/>
          <w:szCs w:val="24"/>
        </w:rPr>
        <w:t xml:space="preserve"> </w:t>
      </w:r>
      <w:r w:rsidR="00EB47B9" w:rsidRPr="00F66D4F">
        <w:rPr>
          <w:szCs w:val="24"/>
        </w:rPr>
        <w:t>The titers of antibody binding to the Gamma and Y453F RBD in serum were measured by ELISA 14 days after the third immunization.</w:t>
      </w:r>
      <w:r w:rsidR="00EB47B9" w:rsidRPr="00F66D4F">
        <w:rPr>
          <w:b/>
          <w:szCs w:val="24"/>
        </w:rPr>
        <w:t xml:space="preserve"> </w:t>
      </w:r>
      <w:r w:rsidR="00EB47B9" w:rsidRPr="00F66D4F">
        <w:rPr>
          <w:szCs w:val="24"/>
        </w:rPr>
        <w:t>Each symbol indicates data from one mouse (n = 4 mice/group); geometric means of each group are shown.</w:t>
      </w:r>
    </w:p>
    <w:p w14:paraId="4C2A50A3" w14:textId="0672987B" w:rsidR="00EB47B9" w:rsidRDefault="00EB47B9" w:rsidP="00240840">
      <w:pPr>
        <w:rPr>
          <w:color w:val="000000" w:themeColor="text1"/>
        </w:rPr>
      </w:pPr>
      <w:r>
        <w:rPr>
          <w:color w:val="000000" w:themeColor="text1"/>
        </w:rPr>
        <w:br w:type="page"/>
      </w:r>
    </w:p>
    <w:p w14:paraId="67B0E1C8" w14:textId="0D4BE683" w:rsidR="009E6EDE" w:rsidRPr="005222C9" w:rsidRDefault="009E6EDE" w:rsidP="00F66D4F">
      <w:pPr>
        <w:jc w:val="center"/>
        <w:rPr>
          <w:color w:val="000000" w:themeColor="text1"/>
        </w:rPr>
      </w:pPr>
      <w:r w:rsidRPr="009E6EDE">
        <w:rPr>
          <w:noProof/>
          <w:color w:val="000000" w:themeColor="text1"/>
          <w:lang w:eastAsia="zh-CN"/>
        </w:rPr>
        <w:lastRenderedPageBreak/>
        <w:drawing>
          <wp:inline distT="0" distB="0" distL="0" distR="0" wp14:anchorId="525462BA" wp14:editId="270419DD">
            <wp:extent cx="6208395" cy="4225594"/>
            <wp:effectExtent l="0" t="0" r="1905" b="3810"/>
            <wp:docPr id="6" name="图片 6" descr="C:\Users\77272\Desktop\Fii-revise\figure-frontiers-revised\SF3\s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272\Desktop\Fii-revise\figure-frontiers-revised\SF3\sf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8395" cy="4225594"/>
                    </a:xfrm>
                    <a:prstGeom prst="rect">
                      <a:avLst/>
                    </a:prstGeom>
                    <a:noFill/>
                    <a:ln>
                      <a:noFill/>
                    </a:ln>
                  </pic:spPr>
                </pic:pic>
              </a:graphicData>
            </a:graphic>
          </wp:inline>
        </w:drawing>
      </w:r>
    </w:p>
    <w:p w14:paraId="0E644839" w14:textId="42EA482D" w:rsidR="00EB47B9" w:rsidRPr="00F66D4F" w:rsidRDefault="00F66D4F" w:rsidP="00F66D4F">
      <w:pPr>
        <w:rPr>
          <w:b/>
          <w:szCs w:val="24"/>
        </w:rPr>
      </w:pPr>
      <w:r w:rsidRPr="00F66D4F">
        <w:rPr>
          <w:rFonts w:cs="Times New Roman"/>
          <w:b/>
          <w:szCs w:val="24"/>
        </w:rPr>
        <w:t xml:space="preserve">Supplementary Figure </w:t>
      </w:r>
      <w:r w:rsidR="00EB47B9" w:rsidRPr="00F66D4F">
        <w:rPr>
          <w:b/>
          <w:szCs w:val="24"/>
        </w:rPr>
        <w:t xml:space="preserve">3. </w:t>
      </w:r>
      <w:r w:rsidR="00EB47B9" w:rsidRPr="00F66D4F">
        <w:rPr>
          <w:szCs w:val="24"/>
        </w:rPr>
        <w:t xml:space="preserve">Higher cross-reactivity of antisera from mice </w:t>
      </w:r>
      <w:r w:rsidR="00EB47B9" w:rsidRPr="00F66D4F">
        <w:rPr>
          <w:rFonts w:hint="eastAsia"/>
          <w:szCs w:val="24"/>
          <w:lang w:eastAsia="zh-CN"/>
        </w:rPr>
        <w:t>immunized</w:t>
      </w:r>
      <w:r w:rsidR="00EB47B9" w:rsidRPr="00F66D4F">
        <w:rPr>
          <w:szCs w:val="24"/>
          <w:lang w:eastAsia="zh-CN"/>
        </w:rPr>
        <w:t xml:space="preserve"> </w:t>
      </w:r>
      <w:r w:rsidR="00EB47B9" w:rsidRPr="00F66D4F">
        <w:rPr>
          <w:rFonts w:hint="eastAsia"/>
          <w:szCs w:val="24"/>
          <w:lang w:eastAsia="zh-CN"/>
        </w:rPr>
        <w:t>with</w:t>
      </w:r>
      <w:r w:rsidR="00EB47B9" w:rsidRPr="00F66D4F">
        <w:rPr>
          <w:szCs w:val="24"/>
        </w:rPr>
        <w:t xml:space="preserve"> yeast-expressed </w:t>
      </w:r>
      <w:proofErr w:type="spellStart"/>
      <w:r w:rsidR="00EB47B9" w:rsidRPr="00F66D4F">
        <w:rPr>
          <w:szCs w:val="24"/>
        </w:rPr>
        <w:t>wtRBD</w:t>
      </w:r>
      <w:proofErr w:type="spellEnd"/>
      <w:r w:rsidR="00EB47B9" w:rsidRPr="00F66D4F">
        <w:rPr>
          <w:szCs w:val="24"/>
        </w:rPr>
        <w:t xml:space="preserve"> using </w:t>
      </w:r>
      <w:r w:rsidR="00EB47B9" w:rsidRPr="00F66D4F">
        <w:rPr>
          <w:rFonts w:hint="eastAsia"/>
          <w:szCs w:val="24"/>
          <w:lang w:eastAsia="zh-CN"/>
        </w:rPr>
        <w:t>immunization</w:t>
      </w:r>
      <w:r w:rsidR="00EB47B9" w:rsidRPr="00F66D4F">
        <w:rPr>
          <w:szCs w:val="24"/>
          <w:lang w:eastAsia="zh-CN"/>
        </w:rPr>
        <w:t xml:space="preserve"> </w:t>
      </w:r>
      <w:r w:rsidR="00EB47B9" w:rsidRPr="00F66D4F">
        <w:rPr>
          <w:rFonts w:hint="eastAsia"/>
          <w:szCs w:val="24"/>
          <w:lang w:eastAsia="zh-CN"/>
        </w:rPr>
        <w:t>program</w:t>
      </w:r>
      <w:r w:rsidR="00EB47B9" w:rsidRPr="00F66D4F">
        <w:rPr>
          <w:szCs w:val="24"/>
          <w:lang w:eastAsia="zh-CN"/>
        </w:rPr>
        <w:t xml:space="preserve"> </w:t>
      </w:r>
      <w:r w:rsidR="00EB47B9" w:rsidRPr="00F66D4F">
        <w:rPr>
          <w:rFonts w:hint="eastAsia"/>
          <w:szCs w:val="24"/>
          <w:lang w:eastAsia="zh-CN"/>
        </w:rPr>
        <w:t>with</w:t>
      </w:r>
      <w:r w:rsidR="00EB47B9" w:rsidRPr="00F66D4F">
        <w:rPr>
          <w:szCs w:val="24"/>
        </w:rPr>
        <w:t xml:space="preserve"> an interval of 28 days. </w:t>
      </w:r>
      <w:r w:rsidR="00EB47B9" w:rsidRPr="00BA7B2E">
        <w:rPr>
          <w:b/>
          <w:szCs w:val="24"/>
        </w:rPr>
        <w:t>(A-C)</w:t>
      </w:r>
      <w:r w:rsidR="00EB47B9" w:rsidRPr="00F66D4F">
        <w:rPr>
          <w:szCs w:val="24"/>
        </w:rPr>
        <w:t xml:space="preserve"> Detection of the wild-type (A), Beta (B) or Delta (C) RBD-specific IgG titers in the sera from immunized mice using immunization program with interval of 28 days or 42 days. </w:t>
      </w:r>
      <w:r w:rsidR="00EB47B9" w:rsidRPr="00BA7B2E">
        <w:rPr>
          <w:b/>
          <w:szCs w:val="24"/>
        </w:rPr>
        <w:t>(D-F)</w:t>
      </w:r>
      <w:r w:rsidR="00EB47B9" w:rsidRPr="00F66D4F">
        <w:rPr>
          <w:szCs w:val="24"/>
        </w:rPr>
        <w:t xml:space="preserve"> The </w:t>
      </w:r>
      <w:proofErr w:type="spellStart"/>
      <w:r w:rsidR="00EB47B9" w:rsidRPr="00F66D4F">
        <w:rPr>
          <w:szCs w:val="24"/>
        </w:rPr>
        <w:t>NAb</w:t>
      </w:r>
      <w:proofErr w:type="spellEnd"/>
      <w:r w:rsidR="00EB47B9" w:rsidRPr="00F66D4F">
        <w:rPr>
          <w:szCs w:val="24"/>
        </w:rPr>
        <w:t xml:space="preserve"> titers against wild-type (D), Beta (E)</w:t>
      </w:r>
      <w:r w:rsidR="00EB47B9" w:rsidRPr="00F66D4F">
        <w:rPr>
          <w:rFonts w:hint="eastAsia"/>
          <w:szCs w:val="24"/>
          <w:lang w:eastAsia="zh-CN"/>
        </w:rPr>
        <w:t>,</w:t>
      </w:r>
      <w:r w:rsidR="00EB47B9" w:rsidRPr="00F66D4F">
        <w:rPr>
          <w:szCs w:val="24"/>
        </w:rPr>
        <w:t xml:space="preserve"> or Delta (F) SARS-CoV-2 in sera of immunized mice were measured 14 days after the third dose by the </w:t>
      </w:r>
      <w:proofErr w:type="spellStart"/>
      <w:r w:rsidR="00EB47B9" w:rsidRPr="00F66D4F">
        <w:rPr>
          <w:szCs w:val="24"/>
        </w:rPr>
        <w:t>pseudovirus</w:t>
      </w:r>
      <w:proofErr w:type="spellEnd"/>
      <w:r w:rsidR="00EB47B9" w:rsidRPr="00F66D4F">
        <w:rPr>
          <w:szCs w:val="24"/>
        </w:rPr>
        <w:t xml:space="preserve"> neutralization assay. Data are the mean ± SD. </w:t>
      </w:r>
      <w:r w:rsidR="00EB47B9" w:rsidRPr="00F66D4F">
        <w:rPr>
          <w:i/>
          <w:szCs w:val="24"/>
        </w:rPr>
        <w:t>p</w:t>
      </w:r>
      <w:r w:rsidR="00EB47B9" w:rsidRPr="00F66D4F">
        <w:rPr>
          <w:szCs w:val="24"/>
        </w:rPr>
        <w:t>-values were calculated using one-way ANOVA. *</w:t>
      </w:r>
      <w:r w:rsidR="00EB47B9" w:rsidRPr="00F66D4F">
        <w:rPr>
          <w:i/>
          <w:szCs w:val="24"/>
        </w:rPr>
        <w:t xml:space="preserve"> </w:t>
      </w:r>
      <w:proofErr w:type="gramStart"/>
      <w:r w:rsidR="00EB47B9" w:rsidRPr="00F66D4F">
        <w:rPr>
          <w:i/>
          <w:szCs w:val="24"/>
        </w:rPr>
        <w:t>p</w:t>
      </w:r>
      <w:proofErr w:type="gramEnd"/>
      <w:r w:rsidR="00EB47B9" w:rsidRPr="00F66D4F">
        <w:rPr>
          <w:szCs w:val="24"/>
        </w:rPr>
        <w:t xml:space="preserve"> &lt; 0.05, ** </w:t>
      </w:r>
      <w:r w:rsidR="00EB47B9" w:rsidRPr="00F66D4F">
        <w:rPr>
          <w:i/>
          <w:szCs w:val="24"/>
        </w:rPr>
        <w:t>p</w:t>
      </w:r>
      <w:r w:rsidR="00EB47B9" w:rsidRPr="00F66D4F">
        <w:rPr>
          <w:szCs w:val="24"/>
        </w:rPr>
        <w:t xml:space="preserve"> &lt; 0.01, *** </w:t>
      </w:r>
      <w:r w:rsidR="00EB47B9" w:rsidRPr="00F66D4F">
        <w:rPr>
          <w:i/>
          <w:szCs w:val="24"/>
        </w:rPr>
        <w:t>p</w:t>
      </w:r>
      <w:r w:rsidR="00EB47B9" w:rsidRPr="00F66D4F">
        <w:rPr>
          <w:szCs w:val="24"/>
        </w:rPr>
        <w:t xml:space="preserve"> &lt; 0.001; ns, not significant.</w:t>
      </w:r>
    </w:p>
    <w:p w14:paraId="38335F5D" w14:textId="77777777" w:rsidR="00EB47B9" w:rsidRDefault="00EB47B9" w:rsidP="00EB47B9">
      <w:pPr>
        <w:rPr>
          <w:b/>
          <w:sz w:val="22"/>
        </w:rPr>
      </w:pPr>
      <w:r>
        <w:rPr>
          <w:b/>
          <w:sz w:val="22"/>
        </w:rPr>
        <w:br w:type="page"/>
      </w:r>
    </w:p>
    <w:p w14:paraId="30DFB83F" w14:textId="77777777" w:rsidR="00F66D4F" w:rsidRDefault="00EB47B9" w:rsidP="00F66D4F">
      <w:pPr>
        <w:jc w:val="center"/>
        <w:rPr>
          <w:b/>
          <w:sz w:val="22"/>
        </w:rPr>
      </w:pPr>
      <w:r w:rsidRPr="00A342AF">
        <w:rPr>
          <w:b/>
          <w:noProof/>
          <w:sz w:val="22"/>
          <w:lang w:eastAsia="zh-CN"/>
        </w:rPr>
        <w:lastRenderedPageBreak/>
        <w:drawing>
          <wp:inline distT="0" distB="0" distL="0" distR="0" wp14:anchorId="07D2E631" wp14:editId="40D58AD1">
            <wp:extent cx="5396865" cy="2581229"/>
            <wp:effectExtent l="0" t="0" r="0" b="0"/>
            <wp:docPr id="31" name="图片 31" descr="C:\Users\77272\Desktop\RBD酵母文章\作图-新\sf4\delta RBD-1-新统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7272\Desktop\RBD酵母文章\作图-新\sf4\delta RBD-1-新统计.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6865" cy="2581229"/>
                    </a:xfrm>
                    <a:prstGeom prst="rect">
                      <a:avLst/>
                    </a:prstGeom>
                    <a:noFill/>
                    <a:ln>
                      <a:noFill/>
                    </a:ln>
                  </pic:spPr>
                </pic:pic>
              </a:graphicData>
            </a:graphic>
          </wp:inline>
        </w:drawing>
      </w:r>
    </w:p>
    <w:p w14:paraId="25DE5684" w14:textId="62A8470B" w:rsidR="00EB47B9" w:rsidRPr="00F66D4F" w:rsidRDefault="00F66D4F" w:rsidP="00F66D4F">
      <w:pPr>
        <w:rPr>
          <w:szCs w:val="24"/>
        </w:rPr>
      </w:pPr>
      <w:r w:rsidRPr="00F66D4F">
        <w:rPr>
          <w:rFonts w:cs="Times New Roman"/>
          <w:b/>
          <w:szCs w:val="24"/>
        </w:rPr>
        <w:t xml:space="preserve">Supplementary Figure </w:t>
      </w:r>
      <w:r w:rsidR="00EB47B9" w:rsidRPr="00F66D4F">
        <w:rPr>
          <w:b/>
          <w:szCs w:val="24"/>
        </w:rPr>
        <w:t xml:space="preserve">4. </w:t>
      </w:r>
      <w:r w:rsidR="00EB47B9" w:rsidRPr="00F66D4F">
        <w:rPr>
          <w:szCs w:val="24"/>
        </w:rPr>
        <w:t>Humoral immune responses elicited by yeast-expressed Delta RBD in mice.</w:t>
      </w:r>
      <w:r w:rsidR="00EB47B9" w:rsidRPr="00F66D4F">
        <w:rPr>
          <w:b/>
          <w:szCs w:val="24"/>
        </w:rPr>
        <w:t xml:space="preserve"> </w:t>
      </w:r>
      <w:r w:rsidR="00EB47B9" w:rsidRPr="00F66D4F">
        <w:rPr>
          <w:szCs w:val="24"/>
        </w:rPr>
        <w:t xml:space="preserve">Antibodies binding to the Delta RBD in sera from immunized mice </w:t>
      </w:r>
      <w:r w:rsidR="00EB47B9" w:rsidRPr="00F66D4F">
        <w:rPr>
          <w:rFonts w:hint="eastAsia"/>
          <w:szCs w:val="24"/>
          <w:lang w:eastAsia="zh-CN"/>
        </w:rPr>
        <w:t>with</w:t>
      </w:r>
      <w:r w:rsidR="00EB47B9" w:rsidRPr="00F66D4F">
        <w:rPr>
          <w:szCs w:val="24"/>
        </w:rPr>
        <w:t xml:space="preserve"> a 28-day interval were measured by ELISA. Data are the mean ± SD.</w:t>
      </w:r>
      <w:r w:rsidR="00EB47B9" w:rsidRPr="00F66D4F">
        <w:rPr>
          <w:i/>
          <w:szCs w:val="24"/>
        </w:rPr>
        <w:t xml:space="preserve"> p</w:t>
      </w:r>
      <w:r w:rsidR="00EB47B9" w:rsidRPr="00F66D4F">
        <w:rPr>
          <w:szCs w:val="24"/>
        </w:rPr>
        <w:t xml:space="preserve">-values were calculated using unpaired Student’s t-test. </w:t>
      </w:r>
      <w:bookmarkStart w:id="1" w:name="OLE_LINK2"/>
      <w:r w:rsidR="00EB47B9" w:rsidRPr="00F66D4F">
        <w:rPr>
          <w:szCs w:val="24"/>
        </w:rPr>
        <w:t xml:space="preserve">**** </w:t>
      </w:r>
      <w:proofErr w:type="gramStart"/>
      <w:r w:rsidR="00EB47B9" w:rsidRPr="00F66D4F">
        <w:rPr>
          <w:i/>
          <w:szCs w:val="24"/>
        </w:rPr>
        <w:t>p</w:t>
      </w:r>
      <w:proofErr w:type="gramEnd"/>
      <w:r w:rsidR="00EB47B9" w:rsidRPr="00F66D4F">
        <w:rPr>
          <w:szCs w:val="24"/>
        </w:rPr>
        <w:t xml:space="preserve"> &lt; 0.0001</w:t>
      </w:r>
      <w:bookmarkEnd w:id="1"/>
      <w:r w:rsidR="00EB47B9" w:rsidRPr="00F66D4F">
        <w:rPr>
          <w:szCs w:val="24"/>
        </w:rPr>
        <w:t>; ns, not significant.</w:t>
      </w:r>
    </w:p>
    <w:p w14:paraId="63610D6C" w14:textId="7A2E2492" w:rsidR="009E6EDE" w:rsidRPr="00240840" w:rsidRDefault="00EB47B9" w:rsidP="00F66D4F">
      <w:pPr>
        <w:rPr>
          <w:sz w:val="22"/>
        </w:rPr>
      </w:pPr>
      <w:r>
        <w:rPr>
          <w:sz w:val="22"/>
        </w:rPr>
        <w:br w:type="page"/>
      </w:r>
    </w:p>
    <w:p w14:paraId="579F7011" w14:textId="0086F9C1" w:rsidR="00EB47B9" w:rsidRPr="00F66D4F" w:rsidRDefault="009E6EDE" w:rsidP="00F66D4F">
      <w:pPr>
        <w:rPr>
          <w:szCs w:val="24"/>
        </w:rPr>
      </w:pPr>
      <w:r w:rsidRPr="009E6EDE">
        <w:rPr>
          <w:rFonts w:cs="Times New Roman"/>
          <w:b/>
          <w:noProof/>
          <w:szCs w:val="24"/>
          <w:lang w:eastAsia="zh-CN"/>
        </w:rPr>
        <w:lastRenderedPageBreak/>
        <w:drawing>
          <wp:inline distT="0" distB="0" distL="0" distR="0" wp14:anchorId="5131A754" wp14:editId="7B6678D7">
            <wp:extent cx="6208395" cy="2476966"/>
            <wp:effectExtent l="0" t="0" r="1905" b="0"/>
            <wp:docPr id="8" name="图片 8" descr="C:\Users\77272\Desktop\Fii-revise\figure-frontiers-revised\SF5\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272\Desktop\Fii-revise\figure-frontiers-revised\SF5\S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8395" cy="2476966"/>
                    </a:xfrm>
                    <a:prstGeom prst="rect">
                      <a:avLst/>
                    </a:prstGeom>
                    <a:noFill/>
                    <a:ln>
                      <a:noFill/>
                    </a:ln>
                  </pic:spPr>
                </pic:pic>
              </a:graphicData>
            </a:graphic>
          </wp:inline>
        </w:drawing>
      </w:r>
      <w:r w:rsidR="00F66D4F" w:rsidRPr="00F66D4F">
        <w:rPr>
          <w:rFonts w:cs="Times New Roman"/>
          <w:b/>
          <w:szCs w:val="24"/>
        </w:rPr>
        <w:t xml:space="preserve">Supplementary Figure </w:t>
      </w:r>
      <w:r w:rsidR="00EB47B9" w:rsidRPr="00F66D4F">
        <w:rPr>
          <w:b/>
          <w:szCs w:val="24"/>
        </w:rPr>
        <w:t xml:space="preserve">5. </w:t>
      </w:r>
      <w:r w:rsidR="00EB47B9" w:rsidRPr="00F66D4F">
        <w:rPr>
          <w:szCs w:val="24"/>
        </w:rPr>
        <w:t xml:space="preserve">Humoral immune responses against the Delta SARS-CoV-2 variant induced by yeast-expressed </w:t>
      </w:r>
      <w:proofErr w:type="spellStart"/>
      <w:r w:rsidR="00EB47B9" w:rsidRPr="00F66D4F">
        <w:rPr>
          <w:szCs w:val="24"/>
        </w:rPr>
        <w:t>wtRBD</w:t>
      </w:r>
      <w:proofErr w:type="spellEnd"/>
      <w:r w:rsidR="00EB47B9" w:rsidRPr="00F66D4F">
        <w:rPr>
          <w:szCs w:val="24"/>
        </w:rPr>
        <w:t xml:space="preserve"> or Delta RBD in mice.</w:t>
      </w:r>
      <w:r w:rsidR="00EB47B9" w:rsidRPr="00F66D4F">
        <w:rPr>
          <w:b/>
          <w:szCs w:val="24"/>
        </w:rPr>
        <w:t xml:space="preserve"> </w:t>
      </w:r>
      <w:r w:rsidR="00EB47B9" w:rsidRPr="00F66D4F">
        <w:rPr>
          <w:szCs w:val="24"/>
        </w:rPr>
        <w:t xml:space="preserve">Groups of mice were immunized with 30 </w:t>
      </w:r>
      <w:proofErr w:type="spellStart"/>
      <w:r w:rsidR="00EB47B9" w:rsidRPr="00F66D4F">
        <w:rPr>
          <w:szCs w:val="24"/>
        </w:rPr>
        <w:t>μg</w:t>
      </w:r>
      <w:proofErr w:type="spellEnd"/>
      <w:r w:rsidR="00EB47B9" w:rsidRPr="00F66D4F">
        <w:rPr>
          <w:szCs w:val="24"/>
        </w:rPr>
        <w:t xml:space="preserve"> of </w:t>
      </w:r>
      <w:proofErr w:type="spellStart"/>
      <w:r w:rsidR="00EB47B9" w:rsidRPr="00F66D4F">
        <w:rPr>
          <w:szCs w:val="24"/>
        </w:rPr>
        <w:t>wtRBD</w:t>
      </w:r>
      <w:proofErr w:type="spellEnd"/>
      <w:r w:rsidR="00EB47B9" w:rsidRPr="00F66D4F">
        <w:rPr>
          <w:szCs w:val="24"/>
        </w:rPr>
        <w:t xml:space="preserve"> or Delta RBD in the presence of Alum adjuvant three times with an interval of 28 days apart, and only PBS plus Alum adjuvant as a negative control. Serum samples were obtained at the time points as shown</w:t>
      </w:r>
      <w:r w:rsidR="00BA7B2E">
        <w:rPr>
          <w:szCs w:val="24"/>
        </w:rPr>
        <w:t xml:space="preserve"> in Figure 4D</w:t>
      </w:r>
      <w:r w:rsidR="00EB47B9" w:rsidRPr="00F66D4F">
        <w:rPr>
          <w:szCs w:val="24"/>
        </w:rPr>
        <w:t xml:space="preserve"> (Immunization program 3). </w:t>
      </w:r>
      <w:r w:rsidR="00EB47B9" w:rsidRPr="00BA7B2E">
        <w:rPr>
          <w:b/>
          <w:szCs w:val="24"/>
        </w:rPr>
        <w:t xml:space="preserve">(A) </w:t>
      </w:r>
      <w:r w:rsidR="00EB47B9" w:rsidRPr="00F66D4F">
        <w:rPr>
          <w:szCs w:val="24"/>
        </w:rPr>
        <w:t xml:space="preserve">Detection of the Delta RBD-specific IgG titers in sera from immunized mice with </w:t>
      </w:r>
      <w:proofErr w:type="spellStart"/>
      <w:r w:rsidR="00EB47B9" w:rsidRPr="00F66D4F">
        <w:rPr>
          <w:szCs w:val="24"/>
        </w:rPr>
        <w:t>wtRBD</w:t>
      </w:r>
      <w:proofErr w:type="spellEnd"/>
      <w:r w:rsidR="00EB47B9" w:rsidRPr="00F66D4F">
        <w:rPr>
          <w:szCs w:val="24"/>
        </w:rPr>
        <w:t xml:space="preserve"> (Red) or Delta RBD (Blue). </w:t>
      </w:r>
      <w:r w:rsidR="00EB47B9" w:rsidRPr="00BA7B2E">
        <w:rPr>
          <w:b/>
          <w:szCs w:val="24"/>
        </w:rPr>
        <w:t>(B)</w:t>
      </w:r>
      <w:r w:rsidR="00EB47B9" w:rsidRPr="00F66D4F">
        <w:rPr>
          <w:szCs w:val="24"/>
        </w:rPr>
        <w:t xml:space="preserve"> The </w:t>
      </w:r>
      <w:proofErr w:type="spellStart"/>
      <w:r w:rsidR="00EB47B9" w:rsidRPr="00F66D4F">
        <w:rPr>
          <w:szCs w:val="24"/>
        </w:rPr>
        <w:t>NAb</w:t>
      </w:r>
      <w:proofErr w:type="spellEnd"/>
      <w:r w:rsidR="00EB47B9" w:rsidRPr="00F66D4F">
        <w:rPr>
          <w:szCs w:val="24"/>
        </w:rPr>
        <w:t xml:space="preserve"> titers against the Delta SARS-CoV-2</w:t>
      </w:r>
      <w:r w:rsidR="006F2C12">
        <w:rPr>
          <w:szCs w:val="24"/>
        </w:rPr>
        <w:t xml:space="preserve"> variant in the endpoint sera (d</w:t>
      </w:r>
      <w:bookmarkStart w:id="2" w:name="_GoBack"/>
      <w:bookmarkEnd w:id="2"/>
      <w:r w:rsidR="00EB47B9" w:rsidRPr="00F66D4F">
        <w:rPr>
          <w:szCs w:val="24"/>
        </w:rPr>
        <w:t xml:space="preserve">ay 84) of immunized mice were measured by the </w:t>
      </w:r>
      <w:proofErr w:type="spellStart"/>
      <w:r w:rsidR="00EB47B9" w:rsidRPr="00F66D4F">
        <w:rPr>
          <w:szCs w:val="24"/>
        </w:rPr>
        <w:t>pseudovirus</w:t>
      </w:r>
      <w:proofErr w:type="spellEnd"/>
      <w:r w:rsidR="00EB47B9" w:rsidRPr="00F66D4F">
        <w:rPr>
          <w:szCs w:val="24"/>
        </w:rPr>
        <w:t xml:space="preserve"> neutralization assay. Data are the mean ± SD. </w:t>
      </w:r>
      <w:r w:rsidR="00EB47B9" w:rsidRPr="00F66D4F">
        <w:rPr>
          <w:i/>
          <w:szCs w:val="24"/>
        </w:rPr>
        <w:t>p</w:t>
      </w:r>
      <w:r w:rsidR="00EB47B9" w:rsidRPr="00F66D4F">
        <w:rPr>
          <w:szCs w:val="24"/>
        </w:rPr>
        <w:t xml:space="preserve">-values were calculated using </w:t>
      </w:r>
      <w:bookmarkStart w:id="3" w:name="OLE_LINK5"/>
      <w:r w:rsidR="00EB47B9" w:rsidRPr="00F66D4F">
        <w:rPr>
          <w:szCs w:val="24"/>
        </w:rPr>
        <w:t>unpaired Student’s t-test</w:t>
      </w:r>
      <w:bookmarkEnd w:id="3"/>
      <w:r w:rsidR="00EB47B9" w:rsidRPr="00F66D4F">
        <w:rPr>
          <w:szCs w:val="24"/>
        </w:rPr>
        <w:t xml:space="preserve">. </w:t>
      </w:r>
      <w:proofErr w:type="gramStart"/>
      <w:r w:rsidR="00EB47B9" w:rsidRPr="00F66D4F">
        <w:rPr>
          <w:szCs w:val="24"/>
        </w:rPr>
        <w:t>ns</w:t>
      </w:r>
      <w:proofErr w:type="gramEnd"/>
      <w:r w:rsidR="00EB47B9" w:rsidRPr="00F66D4F">
        <w:rPr>
          <w:szCs w:val="24"/>
        </w:rPr>
        <w:t>, not significant.</w:t>
      </w:r>
    </w:p>
    <w:p w14:paraId="602C3C8F" w14:textId="7EE7BDFD" w:rsidR="00F66D4F" w:rsidRPr="00240840" w:rsidRDefault="00BA7B2E" w:rsidP="00240840">
      <w:pPr>
        <w:spacing w:before="0" w:after="200" w:line="276" w:lineRule="auto"/>
        <w:rPr>
          <w:sz w:val="22"/>
        </w:rPr>
      </w:pPr>
      <w:r>
        <w:rPr>
          <w:sz w:val="22"/>
        </w:rPr>
        <w:br w:type="page"/>
      </w:r>
    </w:p>
    <w:p w14:paraId="2536D5A1" w14:textId="76B7009F" w:rsidR="009E6EDE" w:rsidRDefault="009E6EDE" w:rsidP="00F66D4F">
      <w:pPr>
        <w:jc w:val="center"/>
        <w:rPr>
          <w:b/>
          <w:sz w:val="22"/>
        </w:rPr>
      </w:pPr>
      <w:r w:rsidRPr="009E6EDE">
        <w:rPr>
          <w:b/>
          <w:noProof/>
          <w:sz w:val="22"/>
          <w:lang w:eastAsia="zh-CN"/>
        </w:rPr>
        <w:lastRenderedPageBreak/>
        <w:drawing>
          <wp:inline distT="0" distB="0" distL="0" distR="0" wp14:anchorId="067883CD" wp14:editId="29F77530">
            <wp:extent cx="6208395" cy="3217693"/>
            <wp:effectExtent l="0" t="0" r="1905" b="1905"/>
            <wp:docPr id="11" name="图片 11" descr="C:\Users\77272\Desktop\Fii-revise\figure-frontiers-revised\SF6\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272\Desktop\Fii-revise\figure-frontiers-revised\SF6\S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8395" cy="3217693"/>
                    </a:xfrm>
                    <a:prstGeom prst="rect">
                      <a:avLst/>
                    </a:prstGeom>
                    <a:noFill/>
                    <a:ln>
                      <a:noFill/>
                    </a:ln>
                  </pic:spPr>
                </pic:pic>
              </a:graphicData>
            </a:graphic>
          </wp:inline>
        </w:drawing>
      </w:r>
    </w:p>
    <w:p w14:paraId="35E8E4C8" w14:textId="37EDEE7E" w:rsidR="00EB47B9" w:rsidRPr="00BA7B2E" w:rsidRDefault="00F66D4F" w:rsidP="00F66D4F">
      <w:pPr>
        <w:rPr>
          <w:color w:val="000000" w:themeColor="text1"/>
          <w:szCs w:val="24"/>
        </w:rPr>
      </w:pPr>
      <w:r w:rsidRPr="00BA7B2E">
        <w:rPr>
          <w:rFonts w:cs="Times New Roman"/>
          <w:b/>
          <w:szCs w:val="24"/>
        </w:rPr>
        <w:t xml:space="preserve">Supplementary Figure </w:t>
      </w:r>
      <w:r w:rsidR="00EB47B9" w:rsidRPr="00BA7B2E">
        <w:rPr>
          <w:b/>
          <w:szCs w:val="24"/>
        </w:rPr>
        <w:t xml:space="preserve">6. </w:t>
      </w:r>
      <w:r w:rsidR="00EB47B9" w:rsidRPr="00BA7B2E">
        <w:rPr>
          <w:szCs w:val="24"/>
        </w:rPr>
        <w:t xml:space="preserve">Cross-reactivity of antisera from mice immunized with </w:t>
      </w:r>
      <w:proofErr w:type="spellStart"/>
      <w:r w:rsidR="00EB47B9" w:rsidRPr="00BA7B2E">
        <w:rPr>
          <w:szCs w:val="24"/>
        </w:rPr>
        <w:t>wtRBD</w:t>
      </w:r>
      <w:proofErr w:type="spellEnd"/>
      <w:r w:rsidR="00EB47B9" w:rsidRPr="00BA7B2E">
        <w:rPr>
          <w:szCs w:val="24"/>
        </w:rPr>
        <w:t xml:space="preserve"> against Delta SARS-CoV-2 variants.</w:t>
      </w:r>
      <w:r w:rsidR="00EB47B9" w:rsidRPr="00BA7B2E">
        <w:rPr>
          <w:b/>
          <w:szCs w:val="24"/>
        </w:rPr>
        <w:t xml:space="preserve"> (A) </w:t>
      </w:r>
      <w:r w:rsidR="00EB47B9" w:rsidRPr="00BA7B2E">
        <w:rPr>
          <w:szCs w:val="24"/>
        </w:rPr>
        <w:t xml:space="preserve">Schematic of immunization program 4. Groups of mice were immunized with 30 </w:t>
      </w:r>
      <w:proofErr w:type="spellStart"/>
      <w:r w:rsidR="00EB47B9" w:rsidRPr="00BA7B2E">
        <w:rPr>
          <w:szCs w:val="24"/>
        </w:rPr>
        <w:t>μg</w:t>
      </w:r>
      <w:proofErr w:type="spellEnd"/>
      <w:r w:rsidR="00EB47B9" w:rsidRPr="00BA7B2E">
        <w:rPr>
          <w:szCs w:val="24"/>
        </w:rPr>
        <w:t xml:space="preserve"> of </w:t>
      </w:r>
      <w:proofErr w:type="spellStart"/>
      <w:r w:rsidR="00EB47B9" w:rsidRPr="00BA7B2E">
        <w:rPr>
          <w:szCs w:val="24"/>
        </w:rPr>
        <w:t>wtRBD</w:t>
      </w:r>
      <w:proofErr w:type="spellEnd"/>
      <w:r w:rsidR="00EB47B9" w:rsidRPr="00BA7B2E">
        <w:rPr>
          <w:szCs w:val="24"/>
        </w:rPr>
        <w:t xml:space="preserve"> in the presence of Alum or </w:t>
      </w:r>
      <w:proofErr w:type="spellStart"/>
      <w:r w:rsidR="00EB47B9" w:rsidRPr="00BA7B2E">
        <w:rPr>
          <w:szCs w:val="24"/>
        </w:rPr>
        <w:t>CpG+Alum</w:t>
      </w:r>
      <w:proofErr w:type="spellEnd"/>
      <w:r w:rsidR="00EB47B9" w:rsidRPr="00BA7B2E">
        <w:rPr>
          <w:szCs w:val="24"/>
        </w:rPr>
        <w:t xml:space="preserve"> adjuvant three times in 28-day intervals, and only PBS plus adjuvant were used as a negative control. Serum samples were obtained at the indicated time points. </w:t>
      </w:r>
      <w:r w:rsidR="00EB47B9" w:rsidRPr="00BA7B2E">
        <w:rPr>
          <w:b/>
          <w:szCs w:val="24"/>
        </w:rPr>
        <w:t>(B)</w:t>
      </w:r>
      <w:r w:rsidR="00EB47B9" w:rsidRPr="00BA7B2E">
        <w:rPr>
          <w:szCs w:val="24"/>
        </w:rPr>
        <w:t xml:space="preserve"> Detection of the Delta RBD-specific IgG titers in sera from immunized mice at 28-day intervals. </w:t>
      </w:r>
      <w:r w:rsidR="00EB47B9" w:rsidRPr="00BA7B2E">
        <w:rPr>
          <w:b/>
          <w:szCs w:val="24"/>
        </w:rPr>
        <w:t>(C)</w:t>
      </w:r>
      <w:r w:rsidR="00EB47B9" w:rsidRPr="00BA7B2E">
        <w:rPr>
          <w:szCs w:val="24"/>
        </w:rPr>
        <w:t xml:space="preserve"> The </w:t>
      </w:r>
      <w:proofErr w:type="spellStart"/>
      <w:r w:rsidR="00EB47B9" w:rsidRPr="00BA7B2E">
        <w:rPr>
          <w:szCs w:val="24"/>
        </w:rPr>
        <w:t>NAb</w:t>
      </w:r>
      <w:proofErr w:type="spellEnd"/>
      <w:r w:rsidR="00EB47B9" w:rsidRPr="00BA7B2E">
        <w:rPr>
          <w:szCs w:val="24"/>
        </w:rPr>
        <w:t xml:space="preserve"> titers against the Delta SARS-CoV-2</w:t>
      </w:r>
      <w:r w:rsidR="00BA7B2E" w:rsidRPr="00BA7B2E">
        <w:rPr>
          <w:szCs w:val="24"/>
        </w:rPr>
        <w:t xml:space="preserve"> variant in the endpoint sera (</w:t>
      </w:r>
      <w:r w:rsidR="00BA7B2E" w:rsidRPr="00BA7B2E">
        <w:rPr>
          <w:rFonts w:eastAsiaTheme="minorEastAsia" w:cs="Times New Roman"/>
          <w:szCs w:val="24"/>
          <w:lang w:eastAsia="zh-CN"/>
        </w:rPr>
        <w:t>d</w:t>
      </w:r>
      <w:r w:rsidR="00EB47B9" w:rsidRPr="00BA7B2E">
        <w:rPr>
          <w:szCs w:val="24"/>
        </w:rPr>
        <w:t xml:space="preserve">ay 84) of immunized mice were measured by the </w:t>
      </w:r>
      <w:proofErr w:type="spellStart"/>
      <w:r w:rsidR="00EB47B9" w:rsidRPr="00BA7B2E">
        <w:rPr>
          <w:szCs w:val="24"/>
        </w:rPr>
        <w:t>pseudovirus</w:t>
      </w:r>
      <w:proofErr w:type="spellEnd"/>
      <w:r w:rsidR="00EB47B9" w:rsidRPr="00BA7B2E">
        <w:rPr>
          <w:szCs w:val="24"/>
        </w:rPr>
        <w:t xml:space="preserve"> neutralization assay. Data are the mean ± SD. </w:t>
      </w:r>
      <w:r w:rsidR="00EB47B9" w:rsidRPr="00BA7B2E">
        <w:rPr>
          <w:i/>
          <w:szCs w:val="24"/>
        </w:rPr>
        <w:t>p</w:t>
      </w:r>
      <w:r w:rsidR="00EB47B9" w:rsidRPr="00BA7B2E">
        <w:rPr>
          <w:szCs w:val="24"/>
        </w:rPr>
        <w:t xml:space="preserve">-values were calculated using unpaired Student’s t-test. * </w:t>
      </w:r>
      <w:proofErr w:type="gramStart"/>
      <w:r w:rsidR="00EB47B9" w:rsidRPr="00BA7B2E">
        <w:rPr>
          <w:i/>
          <w:szCs w:val="24"/>
        </w:rPr>
        <w:t>p</w:t>
      </w:r>
      <w:proofErr w:type="gramEnd"/>
      <w:r w:rsidR="00EB47B9" w:rsidRPr="00BA7B2E">
        <w:rPr>
          <w:szCs w:val="24"/>
        </w:rPr>
        <w:t xml:space="preserve"> &lt; 0.05, ** </w:t>
      </w:r>
      <w:r w:rsidR="00EB47B9" w:rsidRPr="00BA7B2E">
        <w:rPr>
          <w:i/>
          <w:szCs w:val="24"/>
        </w:rPr>
        <w:t>p</w:t>
      </w:r>
      <w:r w:rsidR="00EB47B9" w:rsidRPr="00BA7B2E">
        <w:rPr>
          <w:szCs w:val="24"/>
        </w:rPr>
        <w:t xml:space="preserve"> &lt; 0.01, **** </w:t>
      </w:r>
      <w:r w:rsidR="00EB47B9" w:rsidRPr="00BA7B2E">
        <w:rPr>
          <w:i/>
          <w:szCs w:val="24"/>
        </w:rPr>
        <w:t>p</w:t>
      </w:r>
      <w:r w:rsidR="00EB47B9" w:rsidRPr="00BA7B2E">
        <w:rPr>
          <w:szCs w:val="24"/>
        </w:rPr>
        <w:t xml:space="preserve"> &lt; 0.0001; ns, not significant.</w:t>
      </w:r>
    </w:p>
    <w:p w14:paraId="429D9842" w14:textId="4D6AD988" w:rsidR="00EB47B9" w:rsidRPr="005222C9" w:rsidRDefault="009E6EDE" w:rsidP="00F66D4F">
      <w:pPr>
        <w:jc w:val="center"/>
        <w:rPr>
          <w:color w:val="000000" w:themeColor="text1"/>
          <w:sz w:val="20"/>
          <w:szCs w:val="20"/>
        </w:rPr>
      </w:pPr>
      <w:r w:rsidRPr="009E6EDE">
        <w:rPr>
          <w:noProof/>
          <w:color w:val="000000" w:themeColor="text1"/>
          <w:sz w:val="20"/>
          <w:szCs w:val="20"/>
          <w:lang w:eastAsia="zh-CN"/>
        </w:rPr>
        <w:lastRenderedPageBreak/>
        <w:drawing>
          <wp:inline distT="0" distB="0" distL="0" distR="0" wp14:anchorId="1961A8AC" wp14:editId="122E2238">
            <wp:extent cx="5334000" cy="3721100"/>
            <wp:effectExtent l="0" t="0" r="0" b="0"/>
            <wp:docPr id="12" name="图片 12" descr="C:\Users\77272\Desktop\Fii-revise\figure-frontiers-revised\SF7\delta and omicron Ig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272\Desktop\Fii-revise\figure-frontiers-revised\SF7\delta and omicron IgG-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0" cy="3721100"/>
                    </a:xfrm>
                    <a:prstGeom prst="rect">
                      <a:avLst/>
                    </a:prstGeom>
                    <a:noFill/>
                    <a:ln>
                      <a:noFill/>
                    </a:ln>
                  </pic:spPr>
                </pic:pic>
              </a:graphicData>
            </a:graphic>
          </wp:inline>
        </w:drawing>
      </w:r>
    </w:p>
    <w:p w14:paraId="32E70062" w14:textId="127F2856" w:rsidR="00EB47B9" w:rsidRPr="00BA7B2E" w:rsidRDefault="00F66D4F" w:rsidP="00EB47B9">
      <w:pPr>
        <w:jc w:val="both"/>
        <w:rPr>
          <w:szCs w:val="24"/>
        </w:rPr>
      </w:pPr>
      <w:r w:rsidRPr="00BA7B2E">
        <w:rPr>
          <w:rFonts w:cs="Times New Roman"/>
          <w:b/>
          <w:szCs w:val="24"/>
        </w:rPr>
        <w:t xml:space="preserve">Supplementary Figure </w:t>
      </w:r>
      <w:r w:rsidR="00EB47B9" w:rsidRPr="00BA7B2E">
        <w:rPr>
          <w:b/>
          <w:szCs w:val="24"/>
        </w:rPr>
        <w:t xml:space="preserve">7. </w:t>
      </w:r>
      <w:r w:rsidR="00EB47B9" w:rsidRPr="00BA7B2E">
        <w:rPr>
          <w:szCs w:val="24"/>
        </w:rPr>
        <w:t>Cross-reactivity of the antisera from mice immunized with Delta RBD</w:t>
      </w:r>
      <w:r w:rsidR="00EB47B9" w:rsidRPr="00BA7B2E" w:rsidDel="009B27AC">
        <w:rPr>
          <w:szCs w:val="24"/>
        </w:rPr>
        <w:t xml:space="preserve"> </w:t>
      </w:r>
      <w:r w:rsidR="00EB47B9" w:rsidRPr="00BA7B2E">
        <w:rPr>
          <w:szCs w:val="24"/>
        </w:rPr>
        <w:t xml:space="preserve">against the Omicron variant. The endpoint (day 84) serum samples from the mice immunized with 5 </w:t>
      </w:r>
      <w:proofErr w:type="spellStart"/>
      <w:r w:rsidR="00EB47B9" w:rsidRPr="00BA7B2E">
        <w:rPr>
          <w:szCs w:val="24"/>
        </w:rPr>
        <w:t>μg</w:t>
      </w:r>
      <w:proofErr w:type="spellEnd"/>
      <w:r w:rsidR="00EB47B9" w:rsidRPr="00BA7B2E">
        <w:rPr>
          <w:szCs w:val="24"/>
        </w:rPr>
        <w:t xml:space="preserve"> of Delta RBD (Figure 5A) were used for the Omicron RBD-specific IgG binding antibodies. Each symbol indicates data from one mouse; geometric means of each group are shown.</w:t>
      </w:r>
    </w:p>
    <w:p w14:paraId="6306725C" w14:textId="77777777" w:rsidR="00EB47B9" w:rsidRPr="00FA3933" w:rsidRDefault="00EB47B9" w:rsidP="00EB47B9">
      <w:pPr>
        <w:rPr>
          <w:b/>
          <w:sz w:val="22"/>
        </w:rPr>
      </w:pPr>
      <w:r>
        <w:rPr>
          <w:b/>
          <w:sz w:val="22"/>
        </w:rPr>
        <w:br w:type="page"/>
      </w:r>
    </w:p>
    <w:p w14:paraId="095E2D8F" w14:textId="77777777" w:rsidR="00EB47B9" w:rsidRPr="005222C9" w:rsidRDefault="00EB47B9" w:rsidP="00EB47B9">
      <w:pPr>
        <w:rPr>
          <w:rFonts w:eastAsia="Times New Roman"/>
          <w:snapToGrid w:val="0"/>
          <w:color w:val="000000"/>
          <w:w w:val="0"/>
          <w:sz w:val="0"/>
          <w:szCs w:val="0"/>
          <w:u w:color="000000"/>
          <w:bdr w:val="none" w:sz="0" w:space="0" w:color="000000"/>
          <w:shd w:val="clear" w:color="000000" w:fill="000000"/>
          <w:lang w:val="x-none" w:eastAsia="x-none" w:bidi="x-none"/>
        </w:rPr>
      </w:pPr>
      <w:r w:rsidRPr="005222C9">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7D067D45" w14:textId="172827C7" w:rsidR="00EB47B9" w:rsidRPr="005222C9" w:rsidRDefault="009E6EDE" w:rsidP="00F66D4F">
      <w:pPr>
        <w:jc w:val="center"/>
        <w:rPr>
          <w:color w:val="000000" w:themeColor="text1"/>
        </w:rPr>
      </w:pPr>
      <w:r w:rsidRPr="009E6EDE">
        <w:rPr>
          <w:noProof/>
          <w:color w:val="000000" w:themeColor="text1"/>
          <w:lang w:eastAsia="zh-CN"/>
        </w:rPr>
        <w:drawing>
          <wp:inline distT="0" distB="0" distL="0" distR="0" wp14:anchorId="12FE8862" wp14:editId="0B6D6AB6">
            <wp:extent cx="6208395" cy="1801963"/>
            <wp:effectExtent l="0" t="0" r="1905" b="8255"/>
            <wp:docPr id="13" name="图片 13" descr="C:\Users\77272\Desktop\Fii-revise\figure-frontiers-revised\SF8\S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272\Desktop\Fii-revise\figure-frontiers-revised\SF8\S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8395" cy="1801963"/>
                    </a:xfrm>
                    <a:prstGeom prst="rect">
                      <a:avLst/>
                    </a:prstGeom>
                    <a:noFill/>
                    <a:ln>
                      <a:noFill/>
                    </a:ln>
                  </pic:spPr>
                </pic:pic>
              </a:graphicData>
            </a:graphic>
          </wp:inline>
        </w:drawing>
      </w:r>
    </w:p>
    <w:p w14:paraId="7D00B45A" w14:textId="55D5227E" w:rsidR="00F42B8D" w:rsidRDefault="00F66D4F" w:rsidP="00EB47B9">
      <w:pPr>
        <w:jc w:val="both"/>
        <w:rPr>
          <w:szCs w:val="24"/>
        </w:rPr>
      </w:pPr>
      <w:r w:rsidRPr="00BA7B2E">
        <w:rPr>
          <w:rFonts w:cs="Times New Roman"/>
          <w:b/>
          <w:szCs w:val="24"/>
        </w:rPr>
        <w:t xml:space="preserve">Supplementary Figure </w:t>
      </w:r>
      <w:r w:rsidR="00EB47B9" w:rsidRPr="00BA7B2E">
        <w:rPr>
          <w:b/>
          <w:szCs w:val="24"/>
        </w:rPr>
        <w:t xml:space="preserve">8. </w:t>
      </w:r>
      <w:r w:rsidR="00EB47B9" w:rsidRPr="00BA7B2E">
        <w:rPr>
          <w:szCs w:val="24"/>
        </w:rPr>
        <w:t xml:space="preserve">Cross-reactivity of the antiserum from mice immunized with </w:t>
      </w:r>
      <w:proofErr w:type="spellStart"/>
      <w:r w:rsidR="00EB47B9" w:rsidRPr="00BA7B2E">
        <w:rPr>
          <w:szCs w:val="24"/>
        </w:rPr>
        <w:t>wtRBD</w:t>
      </w:r>
      <w:proofErr w:type="spellEnd"/>
      <w:r w:rsidR="00EB47B9" w:rsidRPr="00BA7B2E">
        <w:rPr>
          <w:szCs w:val="24"/>
        </w:rPr>
        <w:t xml:space="preserve"> against the Omicron SARS-CoV-2 variants.</w:t>
      </w:r>
      <w:r w:rsidR="00EB47B9" w:rsidRPr="00BA7B2E">
        <w:rPr>
          <w:b/>
          <w:szCs w:val="24"/>
        </w:rPr>
        <w:t xml:space="preserve"> (A)</w:t>
      </w:r>
      <w:r w:rsidR="00EB47B9" w:rsidRPr="00BA7B2E">
        <w:rPr>
          <w:szCs w:val="24"/>
        </w:rPr>
        <w:t xml:space="preserve"> The titers of antibody binding to the Omicron RBD in serum were measured by ELISA at four weeks after the third immunization. </w:t>
      </w:r>
      <w:r w:rsidR="00EB47B9" w:rsidRPr="00BA7B2E">
        <w:rPr>
          <w:b/>
          <w:szCs w:val="24"/>
        </w:rPr>
        <w:t>(B)</w:t>
      </w:r>
      <w:r w:rsidR="00EB47B9" w:rsidRPr="00BA7B2E">
        <w:rPr>
          <w:szCs w:val="24"/>
        </w:rPr>
        <w:t xml:space="preserve"> The </w:t>
      </w:r>
      <w:proofErr w:type="spellStart"/>
      <w:r w:rsidR="00EB47B9" w:rsidRPr="00BA7B2E">
        <w:rPr>
          <w:szCs w:val="24"/>
        </w:rPr>
        <w:t>NAb</w:t>
      </w:r>
      <w:proofErr w:type="spellEnd"/>
      <w:r w:rsidR="00EB47B9" w:rsidRPr="00BA7B2E">
        <w:rPr>
          <w:szCs w:val="24"/>
        </w:rPr>
        <w:t xml:space="preserve"> titers against Omicron SARS-CoV-2 variants in antiserum were evaluated at 28 days after the third dose by the </w:t>
      </w:r>
      <w:proofErr w:type="spellStart"/>
      <w:r w:rsidR="00EB47B9" w:rsidRPr="00BA7B2E">
        <w:rPr>
          <w:szCs w:val="24"/>
        </w:rPr>
        <w:t>pseudovirus</w:t>
      </w:r>
      <w:proofErr w:type="spellEnd"/>
      <w:r w:rsidR="00EB47B9" w:rsidRPr="00BA7B2E">
        <w:rPr>
          <w:szCs w:val="24"/>
        </w:rPr>
        <w:t xml:space="preserve"> neutralization assay. Each symbol indicates data from one mouse (n = 5 mice/group); geometric means of each group are shown.</w:t>
      </w:r>
    </w:p>
    <w:p w14:paraId="5EA13473" w14:textId="77777777" w:rsidR="006F1287" w:rsidRDefault="006F1287">
      <w:pPr>
        <w:spacing w:before="0" w:after="200" w:line="276" w:lineRule="auto"/>
        <w:rPr>
          <w:szCs w:val="24"/>
        </w:rPr>
      </w:pPr>
      <w:r>
        <w:rPr>
          <w:szCs w:val="24"/>
        </w:rPr>
        <w:br w:type="page"/>
      </w:r>
    </w:p>
    <w:p w14:paraId="1F13DD4E" w14:textId="1E7CE987" w:rsidR="00EB47B9" w:rsidRDefault="00EB47B9" w:rsidP="002F3C5A">
      <w:pPr>
        <w:spacing w:before="0" w:after="200" w:line="276" w:lineRule="auto"/>
        <w:rPr>
          <w:sz w:val="22"/>
        </w:rPr>
      </w:pPr>
    </w:p>
    <w:p w14:paraId="04966172" w14:textId="5BD671C2" w:rsidR="006F1287" w:rsidRDefault="00D833F2" w:rsidP="00EB47B9">
      <w:pPr>
        <w:rPr>
          <w:sz w:val="22"/>
        </w:rPr>
      </w:pPr>
      <w:r w:rsidRPr="00F42B8D">
        <w:rPr>
          <w:noProof/>
          <w:sz w:val="22"/>
          <w:lang w:eastAsia="zh-CN"/>
        </w:rPr>
        <w:drawing>
          <wp:inline distT="0" distB="0" distL="0" distR="0" wp14:anchorId="4CD71916" wp14:editId="72EA3343">
            <wp:extent cx="6080125" cy="2784475"/>
            <wp:effectExtent l="0" t="0" r="0" b="0"/>
            <wp:docPr id="3" name="图片 3" descr="C:\Users\77272\Desktop\Mouse and human serum IgG t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272\Desktop\Mouse and human serum IgG ti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0125" cy="2784475"/>
                    </a:xfrm>
                    <a:prstGeom prst="rect">
                      <a:avLst/>
                    </a:prstGeom>
                    <a:noFill/>
                    <a:ln>
                      <a:noFill/>
                    </a:ln>
                  </pic:spPr>
                </pic:pic>
              </a:graphicData>
            </a:graphic>
          </wp:inline>
        </w:drawing>
      </w:r>
    </w:p>
    <w:p w14:paraId="7FD86366" w14:textId="77777777" w:rsidR="00D833F2" w:rsidRPr="00F42B8D" w:rsidRDefault="00D833F2" w:rsidP="00D833F2">
      <w:pPr>
        <w:rPr>
          <w:sz w:val="22"/>
          <w:lang w:eastAsia="zh-CN"/>
        </w:rPr>
      </w:pPr>
      <w:r w:rsidRPr="00BA7B2E">
        <w:rPr>
          <w:rFonts w:cs="Times New Roman"/>
          <w:b/>
          <w:szCs w:val="24"/>
        </w:rPr>
        <w:t>Supplementary Figure</w:t>
      </w:r>
      <w:r>
        <w:rPr>
          <w:rFonts w:cs="Times New Roman"/>
          <w:b/>
          <w:szCs w:val="24"/>
        </w:rPr>
        <w:t xml:space="preserve"> 9</w:t>
      </w:r>
      <w:r>
        <w:rPr>
          <w:rFonts w:cs="Times New Roman" w:hint="eastAsia"/>
          <w:b/>
          <w:szCs w:val="24"/>
          <w:lang w:eastAsia="zh-CN"/>
        </w:rPr>
        <w:t>.</w:t>
      </w:r>
      <w:r>
        <w:rPr>
          <w:rFonts w:cs="Times New Roman"/>
          <w:b/>
          <w:szCs w:val="24"/>
          <w:lang w:eastAsia="zh-CN"/>
        </w:rPr>
        <w:t xml:space="preserve"> </w:t>
      </w:r>
      <w:r w:rsidRPr="00E87171">
        <w:rPr>
          <w:rFonts w:cs="Times New Roman"/>
          <w:szCs w:val="24"/>
          <w:lang w:eastAsia="zh-CN"/>
        </w:rPr>
        <w:t xml:space="preserve">Comparison of the antigenicity of Delta RBD derived from </w:t>
      </w:r>
      <w:r w:rsidRPr="00E87171">
        <w:rPr>
          <w:rFonts w:cs="Times New Roman"/>
          <w:i/>
          <w:szCs w:val="24"/>
          <w:lang w:eastAsia="zh-CN"/>
        </w:rPr>
        <w:t>Pichia pastoris</w:t>
      </w:r>
      <w:r w:rsidRPr="00E87171">
        <w:rPr>
          <w:rFonts w:cs="Times New Roman"/>
          <w:szCs w:val="24"/>
          <w:lang w:eastAsia="zh-CN"/>
        </w:rPr>
        <w:t xml:space="preserve"> and mammalian cells. Human serum samples containing RBD antibody were obtained from the volunteer vaccinated with recombinant RBD protein expressed in CHO cells. Mouse serum samples containing RBD antibody were obtained from the group immunized with 5 </w:t>
      </w:r>
      <w:proofErr w:type="spellStart"/>
      <w:r w:rsidRPr="00E87171">
        <w:rPr>
          <w:rFonts w:cs="Times New Roman"/>
          <w:szCs w:val="24"/>
          <w:lang w:eastAsia="zh-CN"/>
        </w:rPr>
        <w:t>μg</w:t>
      </w:r>
      <w:proofErr w:type="spellEnd"/>
      <w:r w:rsidRPr="00E87171">
        <w:rPr>
          <w:rFonts w:cs="Times New Roman"/>
          <w:szCs w:val="24"/>
          <w:lang w:eastAsia="zh-CN"/>
        </w:rPr>
        <w:t xml:space="preserve"> of Delta RBD protein expressed in </w:t>
      </w:r>
      <w:r w:rsidRPr="00E87171">
        <w:rPr>
          <w:rFonts w:cs="Times New Roman"/>
          <w:i/>
          <w:szCs w:val="24"/>
          <w:lang w:eastAsia="zh-CN"/>
        </w:rPr>
        <w:t>Pichia pastoris</w:t>
      </w:r>
      <w:r w:rsidRPr="00E87171">
        <w:rPr>
          <w:rFonts w:cs="Times New Roman"/>
          <w:szCs w:val="24"/>
          <w:lang w:eastAsia="zh-CN"/>
        </w:rPr>
        <w:t xml:space="preserve"> cells (Figure 5A). Delta RBD-specific antibody titers were measured by ELISA.  Delta RBD derived from </w:t>
      </w:r>
      <w:r w:rsidRPr="00E87171">
        <w:rPr>
          <w:rFonts w:cs="Times New Roman"/>
          <w:i/>
          <w:szCs w:val="24"/>
          <w:lang w:eastAsia="zh-CN"/>
        </w:rPr>
        <w:t>Pichia pastoris</w:t>
      </w:r>
      <w:r w:rsidRPr="00E87171">
        <w:rPr>
          <w:rFonts w:cs="Times New Roman"/>
          <w:szCs w:val="24"/>
          <w:lang w:eastAsia="zh-CN"/>
        </w:rPr>
        <w:t xml:space="preserve"> and mammalian cells were pre-coated in 96-well plates with 200 ng per well, and serial dilutions (3-fold with an initial dilution of 40) of the serum samples were tested by ELISA.</w:t>
      </w:r>
    </w:p>
    <w:p w14:paraId="05E2F495" w14:textId="1754536B" w:rsidR="00EB47B9" w:rsidRPr="00BA7B2E" w:rsidRDefault="00EB47B9" w:rsidP="002F3C5A">
      <w:pPr>
        <w:jc w:val="center"/>
        <w:rPr>
          <w:szCs w:val="24"/>
          <w:lang w:eastAsia="zh-CN"/>
        </w:rPr>
      </w:pPr>
    </w:p>
    <w:p w14:paraId="6ECDB03F" w14:textId="77777777" w:rsidR="00EB47B9" w:rsidRPr="005222C9" w:rsidRDefault="00EB47B9" w:rsidP="00EB47B9">
      <w:pPr>
        <w:rPr>
          <w:sz w:val="22"/>
        </w:rPr>
      </w:pPr>
      <w:r>
        <w:rPr>
          <w:sz w:val="22"/>
        </w:rPr>
        <w:br w:type="page"/>
      </w:r>
    </w:p>
    <w:p w14:paraId="0DC99AB9" w14:textId="77777777" w:rsidR="00877EB9" w:rsidRDefault="00877EB9" w:rsidP="00F66D4F">
      <w:pPr>
        <w:jc w:val="center"/>
        <w:rPr>
          <w:rFonts w:eastAsia="Times New Roman"/>
          <w:snapToGrid w:val="0"/>
          <w:color w:val="000000"/>
          <w:w w:val="0"/>
          <w:sz w:val="0"/>
          <w:szCs w:val="0"/>
          <w:u w:color="000000"/>
          <w:bdr w:val="none" w:sz="0" w:space="0" w:color="000000"/>
          <w:shd w:val="clear" w:color="000000" w:fill="000000"/>
          <w:lang w:val="x-none" w:eastAsia="x-none" w:bidi="x-none"/>
        </w:rPr>
      </w:pPr>
    </w:p>
    <w:p w14:paraId="4A26B4C4" w14:textId="34A6B302" w:rsidR="00EB47B9" w:rsidRDefault="009E6EDE" w:rsidP="00F66D4F">
      <w:pPr>
        <w:jc w:val="center"/>
        <w:rPr>
          <w:rFonts w:eastAsia="Times New Roman"/>
          <w:snapToGrid w:val="0"/>
          <w:color w:val="000000"/>
          <w:w w:val="0"/>
          <w:sz w:val="0"/>
          <w:szCs w:val="0"/>
          <w:u w:color="000000"/>
          <w:bdr w:val="none" w:sz="0" w:space="0" w:color="000000"/>
          <w:shd w:val="clear" w:color="000000" w:fill="000000"/>
          <w:lang w:val="x-none" w:eastAsia="x-none" w:bidi="x-none"/>
        </w:rPr>
      </w:pPr>
      <w:r w:rsidRPr="009E6EDE">
        <w:rPr>
          <w:rFonts w:eastAsia="Times New Roman"/>
          <w:noProof/>
          <w:snapToGrid w:val="0"/>
          <w:color w:val="000000"/>
          <w:w w:val="0"/>
          <w:sz w:val="0"/>
          <w:szCs w:val="0"/>
          <w:u w:color="000000"/>
          <w:bdr w:val="none" w:sz="0" w:space="0" w:color="000000"/>
          <w:shd w:val="clear" w:color="000000" w:fill="000000"/>
          <w:lang w:eastAsia="zh-CN"/>
        </w:rPr>
        <w:drawing>
          <wp:anchor distT="0" distB="0" distL="114300" distR="114300" simplePos="0" relativeHeight="251658240" behindDoc="0" locked="0" layoutInCell="1" allowOverlap="1" wp14:anchorId="0A416F2C" wp14:editId="5F3CA06F">
            <wp:simplePos x="0" y="0"/>
            <wp:positionH relativeFrom="column">
              <wp:posOffset>-1270</wp:posOffset>
            </wp:positionH>
            <wp:positionV relativeFrom="paragraph">
              <wp:posOffset>1905</wp:posOffset>
            </wp:positionV>
            <wp:extent cx="6208395" cy="3882111"/>
            <wp:effectExtent l="0" t="0" r="1905" b="4445"/>
            <wp:wrapSquare wrapText="bothSides"/>
            <wp:docPr id="16" name="图片 16" descr="C:\Users\77272\Desktop\Fii-revise\figure-frontiers-revised\SF10\s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272\Desktop\Fii-revise\figure-frontiers-revised\SF10\sf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8395" cy="3882111"/>
                    </a:xfrm>
                    <a:prstGeom prst="rect">
                      <a:avLst/>
                    </a:prstGeom>
                    <a:noFill/>
                    <a:ln>
                      <a:noFill/>
                    </a:ln>
                  </pic:spPr>
                </pic:pic>
              </a:graphicData>
            </a:graphic>
          </wp:anchor>
        </w:drawing>
      </w:r>
    </w:p>
    <w:p w14:paraId="63EF62F6" w14:textId="6A9AC844" w:rsidR="00EB47B9" w:rsidRPr="00BA7B2E" w:rsidRDefault="00F66D4F" w:rsidP="00EB47B9">
      <w:pPr>
        <w:jc w:val="both"/>
        <w:rPr>
          <w:szCs w:val="24"/>
        </w:rPr>
      </w:pPr>
      <w:r w:rsidRPr="00BA7B2E">
        <w:rPr>
          <w:rFonts w:cs="Times New Roman"/>
          <w:b/>
          <w:szCs w:val="24"/>
        </w:rPr>
        <w:t xml:space="preserve">Supplementary Figure </w:t>
      </w:r>
      <w:r w:rsidR="00EB47B9" w:rsidRPr="00BA7B2E">
        <w:rPr>
          <w:b/>
          <w:szCs w:val="24"/>
        </w:rPr>
        <w:t xml:space="preserve">10. </w:t>
      </w:r>
      <w:r w:rsidR="00EB47B9" w:rsidRPr="00BA7B2E">
        <w:rPr>
          <w:szCs w:val="24"/>
        </w:rPr>
        <w:t xml:space="preserve">Cross-reactivity of serum samples from mice injected with yeast-expressed Delta RBD. </w:t>
      </w:r>
      <w:r w:rsidR="00EB47B9" w:rsidRPr="00BA7B2E">
        <w:rPr>
          <w:b/>
          <w:szCs w:val="24"/>
        </w:rPr>
        <w:t>(A)</w:t>
      </w:r>
      <w:r w:rsidR="00EB47B9" w:rsidRPr="00BA7B2E">
        <w:rPr>
          <w:szCs w:val="24"/>
        </w:rPr>
        <w:t xml:space="preserve"> Schematic of immunization program 5. Groups of mice were immunized with 30 </w:t>
      </w:r>
      <w:proofErr w:type="spellStart"/>
      <w:r w:rsidR="00EB47B9" w:rsidRPr="00BA7B2E">
        <w:rPr>
          <w:szCs w:val="24"/>
        </w:rPr>
        <w:t>μg</w:t>
      </w:r>
      <w:proofErr w:type="spellEnd"/>
      <w:r w:rsidR="00EB47B9" w:rsidRPr="00BA7B2E">
        <w:rPr>
          <w:szCs w:val="24"/>
        </w:rPr>
        <w:t xml:space="preserve"> of </w:t>
      </w:r>
      <w:proofErr w:type="spellStart"/>
      <w:r w:rsidR="00EB47B9" w:rsidRPr="00BA7B2E">
        <w:rPr>
          <w:szCs w:val="24"/>
        </w:rPr>
        <w:t>wtRBD</w:t>
      </w:r>
      <w:proofErr w:type="spellEnd"/>
      <w:r w:rsidR="00EB47B9" w:rsidRPr="00BA7B2E">
        <w:rPr>
          <w:szCs w:val="24"/>
        </w:rPr>
        <w:t xml:space="preserve"> in the presence of Alum adjuvant three times with a 14-day interval, and only PBS plus adjuvant as a negative control. The endpoint serum samples from the mice immunized with Delta RBD at 28 days after the third dose were used for the IgG binding antibody and </w:t>
      </w:r>
      <w:proofErr w:type="spellStart"/>
      <w:r w:rsidR="00EB47B9" w:rsidRPr="00BA7B2E">
        <w:rPr>
          <w:szCs w:val="24"/>
        </w:rPr>
        <w:t>NAb</w:t>
      </w:r>
      <w:proofErr w:type="spellEnd"/>
      <w:r w:rsidR="00EB47B9" w:rsidRPr="00BA7B2E">
        <w:rPr>
          <w:szCs w:val="24"/>
        </w:rPr>
        <w:t xml:space="preserve"> assays. </w:t>
      </w:r>
      <w:r w:rsidR="00EB47B9" w:rsidRPr="00BA7B2E">
        <w:rPr>
          <w:b/>
          <w:szCs w:val="24"/>
        </w:rPr>
        <w:t>(B)</w:t>
      </w:r>
      <w:r w:rsidR="00EB47B9" w:rsidRPr="00BA7B2E">
        <w:rPr>
          <w:szCs w:val="24"/>
        </w:rPr>
        <w:t xml:space="preserve"> Detection of the Delta RBD-specific IgG titers in endpoint sera from immunized mice at 14-day (red, immunization program 5) or 28-day (blue, immunization program 3) intervals. Data are the mean ± SD. </w:t>
      </w:r>
      <w:r w:rsidR="00EB47B9" w:rsidRPr="00BA7B2E">
        <w:rPr>
          <w:i/>
          <w:szCs w:val="24"/>
        </w:rPr>
        <w:t>p</w:t>
      </w:r>
      <w:r w:rsidR="00EB47B9" w:rsidRPr="00BA7B2E">
        <w:rPr>
          <w:szCs w:val="24"/>
        </w:rPr>
        <w:t xml:space="preserve">-values were calculated using an unpaired Student’s t-test. </w:t>
      </w:r>
      <w:proofErr w:type="gramStart"/>
      <w:r w:rsidR="00EB47B9" w:rsidRPr="00BA7B2E">
        <w:rPr>
          <w:szCs w:val="24"/>
        </w:rPr>
        <w:t>ns</w:t>
      </w:r>
      <w:proofErr w:type="gramEnd"/>
      <w:r w:rsidR="00EB47B9" w:rsidRPr="00BA7B2E">
        <w:rPr>
          <w:szCs w:val="24"/>
        </w:rPr>
        <w:t xml:space="preserve">, not significant. </w:t>
      </w:r>
      <w:r w:rsidR="00EB47B9" w:rsidRPr="00BA7B2E">
        <w:rPr>
          <w:b/>
          <w:szCs w:val="24"/>
        </w:rPr>
        <w:t>(C)</w:t>
      </w:r>
      <w:r w:rsidR="00EB47B9" w:rsidRPr="00BA7B2E">
        <w:rPr>
          <w:szCs w:val="24"/>
        </w:rPr>
        <w:t xml:space="preserve"> The </w:t>
      </w:r>
      <w:proofErr w:type="spellStart"/>
      <w:r w:rsidR="00EB47B9" w:rsidRPr="00BA7B2E">
        <w:rPr>
          <w:szCs w:val="24"/>
        </w:rPr>
        <w:t>NAb</w:t>
      </w:r>
      <w:proofErr w:type="spellEnd"/>
      <w:r w:rsidR="00EB47B9" w:rsidRPr="00BA7B2E">
        <w:rPr>
          <w:szCs w:val="24"/>
        </w:rPr>
        <w:t xml:space="preserve"> titers against the Delta SARS-CoV-2 variant in endpoint sera of immunized mice were measured by the </w:t>
      </w:r>
      <w:proofErr w:type="spellStart"/>
      <w:r w:rsidR="00EB47B9" w:rsidRPr="00BA7B2E">
        <w:rPr>
          <w:szCs w:val="24"/>
        </w:rPr>
        <w:t>pseudovirus</w:t>
      </w:r>
      <w:proofErr w:type="spellEnd"/>
      <w:r w:rsidR="00EB47B9" w:rsidRPr="00BA7B2E">
        <w:rPr>
          <w:szCs w:val="24"/>
        </w:rPr>
        <w:t xml:space="preserve"> neutralization assay. Data are the mean ± SD. </w:t>
      </w:r>
      <w:r w:rsidR="00EB47B9" w:rsidRPr="00BA7B2E">
        <w:rPr>
          <w:i/>
          <w:szCs w:val="24"/>
        </w:rPr>
        <w:t>p</w:t>
      </w:r>
      <w:r w:rsidR="00EB47B9" w:rsidRPr="00BA7B2E">
        <w:rPr>
          <w:szCs w:val="24"/>
        </w:rPr>
        <w:t>-values were calculated using one-way ANOVA. *</w:t>
      </w:r>
      <w:r w:rsidR="00EB47B9" w:rsidRPr="00BA7B2E">
        <w:rPr>
          <w:i/>
          <w:szCs w:val="24"/>
        </w:rPr>
        <w:t xml:space="preserve"> </w:t>
      </w:r>
      <w:proofErr w:type="gramStart"/>
      <w:r w:rsidR="00EB47B9" w:rsidRPr="00BA7B2E">
        <w:rPr>
          <w:i/>
          <w:szCs w:val="24"/>
        </w:rPr>
        <w:t>p</w:t>
      </w:r>
      <w:proofErr w:type="gramEnd"/>
      <w:r w:rsidR="00EB47B9" w:rsidRPr="00BA7B2E">
        <w:rPr>
          <w:szCs w:val="24"/>
        </w:rPr>
        <w:t xml:space="preserve"> &lt; 0.05, **** </w:t>
      </w:r>
      <w:r w:rsidR="00EB47B9" w:rsidRPr="00BA7B2E">
        <w:rPr>
          <w:i/>
          <w:szCs w:val="24"/>
        </w:rPr>
        <w:t>p</w:t>
      </w:r>
      <w:r w:rsidR="00EB47B9" w:rsidRPr="00BA7B2E">
        <w:rPr>
          <w:szCs w:val="24"/>
        </w:rPr>
        <w:t xml:space="preserve"> &lt; 0.0001</w:t>
      </w:r>
      <w:bookmarkStart w:id="4" w:name="OLE_LINK3"/>
      <w:r w:rsidR="00EB47B9" w:rsidRPr="00BA7B2E">
        <w:rPr>
          <w:szCs w:val="24"/>
        </w:rPr>
        <w:t xml:space="preserve">; ns, not significant. </w:t>
      </w:r>
      <w:bookmarkEnd w:id="4"/>
    </w:p>
    <w:p w14:paraId="6754D378" w14:textId="77777777" w:rsidR="00994A3D" w:rsidRDefault="00994A3D" w:rsidP="00994A3D">
      <w:pPr>
        <w:keepNext/>
        <w:rPr>
          <w:rFonts w:cs="Times New Roman"/>
          <w:szCs w:val="24"/>
        </w:rPr>
      </w:pPr>
    </w:p>
    <w:p w14:paraId="07B070A0" w14:textId="77777777" w:rsidR="00BA7B2E" w:rsidRDefault="00BA7B2E" w:rsidP="00994A3D">
      <w:pPr>
        <w:keepNext/>
        <w:rPr>
          <w:rFonts w:cs="Times New Roman"/>
          <w:szCs w:val="24"/>
        </w:rPr>
      </w:pPr>
    </w:p>
    <w:p w14:paraId="3546838C" w14:textId="55453FBB" w:rsidR="00BA7B2E" w:rsidRPr="001549D3" w:rsidRDefault="00B1744A" w:rsidP="00994A3D">
      <w:pPr>
        <w:keepNext/>
        <w:rPr>
          <w:rFonts w:cs="Times New Roman"/>
          <w:szCs w:val="24"/>
        </w:rPr>
      </w:pPr>
      <w:r>
        <w:rPr>
          <w:rFonts w:cs="Times New Roman"/>
          <w:szCs w:val="24"/>
        </w:rPr>
        <w:br w:type="page"/>
      </w:r>
    </w:p>
    <w:p w14:paraId="1A29429C" w14:textId="5CAAC252" w:rsidR="00BA7B2E" w:rsidRPr="00BA7B2E" w:rsidRDefault="00BA7B2E" w:rsidP="00BA7B2E">
      <w:pPr>
        <w:pStyle w:val="2"/>
        <w:numPr>
          <w:ilvl w:val="1"/>
          <w:numId w:val="14"/>
        </w:numPr>
      </w:pPr>
      <w:r w:rsidRPr="0001436A">
        <w:lastRenderedPageBreak/>
        <w:t>Supplementary</w:t>
      </w:r>
      <w:r w:rsidRPr="001549D3">
        <w:t xml:space="preserve"> </w:t>
      </w:r>
      <w:r w:rsidR="00B1744A">
        <w:t>Tables</w:t>
      </w:r>
    </w:p>
    <w:tbl>
      <w:tblPr>
        <w:tblW w:w="9340" w:type="dxa"/>
        <w:tblLayout w:type="fixed"/>
        <w:tblCellMar>
          <w:left w:w="0" w:type="dxa"/>
          <w:right w:w="0" w:type="dxa"/>
        </w:tblCellMar>
        <w:tblLook w:val="0420" w:firstRow="1" w:lastRow="0" w:firstColumn="0" w:lastColumn="0" w:noHBand="0" w:noVBand="1"/>
      </w:tblPr>
      <w:tblGrid>
        <w:gridCol w:w="1550"/>
        <w:gridCol w:w="7790"/>
      </w:tblGrid>
      <w:tr w:rsidR="00BA7B2E" w:rsidRPr="005222C9" w14:paraId="4DBE86ED" w14:textId="77777777" w:rsidTr="00BA7B2E">
        <w:trPr>
          <w:trHeight w:val="292"/>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ED254D" w14:textId="77777777" w:rsidR="00BA7B2E" w:rsidRPr="005222C9" w:rsidRDefault="00BA7B2E" w:rsidP="00F91BF1">
            <w:pPr>
              <w:jc w:val="center"/>
              <w:rPr>
                <w:b/>
                <w:bCs/>
                <w:color w:val="000000" w:themeColor="text1"/>
              </w:rPr>
            </w:pPr>
            <w:r w:rsidRPr="005222C9">
              <w:rPr>
                <w:b/>
                <w:bCs/>
                <w:color w:val="000000" w:themeColor="text1"/>
              </w:rPr>
              <w:t>Gene name</w:t>
            </w:r>
          </w:p>
        </w:tc>
        <w:tc>
          <w:tcPr>
            <w:tcW w:w="7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BCD185" w14:textId="77777777" w:rsidR="00BA7B2E" w:rsidRPr="005222C9" w:rsidRDefault="00BA7B2E" w:rsidP="00F91BF1">
            <w:pPr>
              <w:jc w:val="center"/>
              <w:rPr>
                <w:b/>
                <w:color w:val="000000" w:themeColor="text1"/>
              </w:rPr>
            </w:pPr>
            <w:r w:rsidRPr="005222C9">
              <w:rPr>
                <w:b/>
                <w:bCs/>
                <w:color w:val="000000" w:themeColor="text1"/>
              </w:rPr>
              <w:t>Sequence (5’-3’)</w:t>
            </w:r>
          </w:p>
        </w:tc>
      </w:tr>
      <w:tr w:rsidR="00BA7B2E" w:rsidRPr="005222C9" w14:paraId="1578B847" w14:textId="77777777" w:rsidTr="00F91BF1">
        <w:trPr>
          <w:trHeight w:val="584"/>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4B0100" w14:textId="77777777" w:rsidR="00BA7B2E" w:rsidRPr="005222C9" w:rsidRDefault="00BA7B2E" w:rsidP="00F91BF1">
            <w:pPr>
              <w:rPr>
                <w:b/>
                <w:color w:val="000000" w:themeColor="text1"/>
              </w:rPr>
            </w:pPr>
            <w:proofErr w:type="spellStart"/>
            <w:r w:rsidRPr="005222C9">
              <w:rPr>
                <w:b/>
                <w:color w:val="000000" w:themeColor="text1"/>
              </w:rPr>
              <w:t>wtRBD</w:t>
            </w:r>
            <w:proofErr w:type="spellEnd"/>
            <w:r w:rsidRPr="005222C9">
              <w:rPr>
                <w:b/>
                <w:color w:val="000000" w:themeColor="text1"/>
              </w:rPr>
              <w:t>-co</w:t>
            </w:r>
          </w:p>
        </w:tc>
        <w:tc>
          <w:tcPr>
            <w:tcW w:w="7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721ABD" w14:textId="77777777" w:rsidR="00BA7B2E" w:rsidRPr="005222C9" w:rsidRDefault="00BA7B2E" w:rsidP="00F91BF1">
            <w:pPr>
              <w:rPr>
                <w:caps/>
                <w:color w:val="000000" w:themeColor="text1"/>
              </w:rPr>
            </w:pPr>
            <w:r w:rsidRPr="005222C9">
              <w:rPr>
                <w:caps/>
                <w:color w:val="000000" w:themeColor="text1"/>
              </w:rPr>
              <w:t>atg</w:t>
            </w:r>
            <w:r w:rsidRPr="00E520F8">
              <w:rPr>
                <w:caps/>
                <w:color w:val="00B0F0"/>
              </w:rPr>
              <w:t>agatttccttcaatttttactgctgttttattcgcagcatcctccgcattagctgctccagtcaacactacaacagaagatgaaacggcacaaattccggctgaagctgtcatcggttactcagatttagaaggggatttcgatgttgctgttttgccattttccaacagcacaaataacgggttattgtttataaatactactattgccagcattgctgctaaagaagaaggggtatctctcgagaaaagagaggctgaagct</w:t>
            </w:r>
            <w:r w:rsidRPr="00E520F8">
              <w:rPr>
                <w:caps/>
                <w:color w:val="EC84C2"/>
              </w:rPr>
              <w:t>agagttcagccaactgagtccatcgtcagattcccaaacatcaccaacttgtgcccattcggtgaggttttcaacgctactagattcgcttccgtttacgcctggaacagaaagagaatctccaactgcgttgctgactactccgtcttgtacaactctgcttcattctccaccttcaagtgctacggtgtttccccaactaagttgaacgacctgtgtttcactaacgtctacgccgactccttcgttattagaggtgacgaggttagacagatcgctccaggtcaaactggtaagatcgctgactacaactacaagctgccagacgacttcaccggttgtgttattgcttggaactccaacaacctggactccaaggttggtggtaactacaattaccggtaccgtctgttcagaaagtccaacctgaagccattcgagagagacatctccaccgaaatctaccaagctggttccaagccatgtaacggtgttgagggtttcaactgttacttcccattgcagtcctacggtttccagccaactaatggtgttggttaccagccatacagagtcgtcgttttgtccttcgagttgttgcatgctccagctactgtttgcggtccaaagaagtccactaacctggtcaagaacaagtgcgtcaacttt</w:t>
            </w:r>
            <w:r w:rsidRPr="00E520F8">
              <w:rPr>
                <w:caps/>
                <w:color w:val="E36C0A" w:themeColor="accent6" w:themeShade="BF"/>
              </w:rPr>
              <w:t>gatgatgacgacaag</w:t>
            </w:r>
            <w:r w:rsidRPr="00E520F8">
              <w:rPr>
                <w:caps/>
                <w:color w:val="00B050"/>
              </w:rPr>
              <w:t>ggtggtggtggttcc</w:t>
            </w:r>
            <w:r w:rsidRPr="00E520F8">
              <w:rPr>
                <w:caps/>
                <w:color w:val="7030A0"/>
              </w:rPr>
              <w:t>catcatcatcatcatcat</w:t>
            </w:r>
            <w:r w:rsidRPr="005222C9">
              <w:rPr>
                <w:caps/>
                <w:color w:val="000000" w:themeColor="text1"/>
              </w:rPr>
              <w:t>tga</w:t>
            </w:r>
          </w:p>
        </w:tc>
      </w:tr>
      <w:tr w:rsidR="00BA7B2E" w:rsidRPr="005222C9" w14:paraId="0F6819DB" w14:textId="77777777" w:rsidTr="00F91BF1">
        <w:trPr>
          <w:trHeight w:val="584"/>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4239AF" w14:textId="77777777" w:rsidR="00BA7B2E" w:rsidRPr="005222C9" w:rsidRDefault="00BA7B2E" w:rsidP="00F91BF1">
            <w:pPr>
              <w:rPr>
                <w:b/>
                <w:color w:val="000000" w:themeColor="text1"/>
              </w:rPr>
            </w:pPr>
            <w:r w:rsidRPr="005222C9">
              <w:rPr>
                <w:b/>
                <w:color w:val="000000" w:themeColor="text1"/>
              </w:rPr>
              <w:t>wtRBD-co1</w:t>
            </w:r>
          </w:p>
        </w:tc>
        <w:tc>
          <w:tcPr>
            <w:tcW w:w="7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ABC9C3" w14:textId="77777777" w:rsidR="00BA7B2E" w:rsidRPr="005222C9" w:rsidRDefault="00BA7B2E" w:rsidP="00F91BF1">
            <w:pPr>
              <w:rPr>
                <w:caps/>
                <w:color w:val="000000" w:themeColor="text1"/>
              </w:rPr>
            </w:pPr>
            <w:r w:rsidRPr="005222C9">
              <w:rPr>
                <w:caps/>
                <w:color w:val="000000" w:themeColor="text1"/>
              </w:rPr>
              <w:t>ATg</w:t>
            </w:r>
            <w:r w:rsidRPr="00E520F8">
              <w:rPr>
                <w:caps/>
                <w:color w:val="EC84C2"/>
              </w:rPr>
              <w:t>AGAGTCCAACCGACTGAGTCCATCGTTCGATTTCCCAACATCACTAACCTGTGTCCTTTCGGGGAGGTATTTAATGCGACGCGGTTCGCTTCAGTGTACGCTTGGAATAGGAAACGTATCTCTAATTGTGTCGCAGATTACTCAGTTCTTTACAACAGTGCCAGTTTTTCAACGTTTAAGTGTTATGGCGTGAGCCCGACAAAGCTGAACGATCTATGTTTTACTAACGTATATGCAGACAGCTTCGTTATACGTGGGGATGAAGTCCGCCAAATTGCCCCTGGGCAAACCGGAAAAATTGCCGACTATAACTATAAGTTGCCGGACGATTTTACCGGCTGCGTGATAGCATGGAACTCGAACAATTTAGACAGCAAGGTAGGCGGAAATTACAATTACCTATATCGACTTTTCCGGAAGTCGAATCTCAAACCATTTGAACGCGACATAAGTACGGAGATTTACCAGGCGGGGTCCACACCATGCAACGGAGTTGAAGGCTTCAATTGTTATTTCCCTCTGCAGTCTTACGGTTTTCAGCCCACTAATGGAGTAGGTTATCAACCCTACAGGGTGGTTGTGTTATCGTTCGAATTGCTCCACGCTCCCGCGACAGTATGCGGTCCAAAAAAGTCCACCAACCTAGTCAAAAACAAATGCGTCAATTTC</w:t>
            </w:r>
            <w:r w:rsidRPr="00E520F8">
              <w:rPr>
                <w:caps/>
                <w:color w:val="E36C0A" w:themeColor="accent6" w:themeShade="BF"/>
              </w:rPr>
              <w:t>GATGATGACGACAAG</w:t>
            </w:r>
            <w:r w:rsidRPr="00E520F8">
              <w:rPr>
                <w:caps/>
                <w:color w:val="00B050"/>
              </w:rPr>
              <w:t>GGTGGTGGTGGTTCC</w:t>
            </w:r>
            <w:r w:rsidRPr="00E520F8">
              <w:rPr>
                <w:caps/>
                <w:color w:val="7030A0"/>
              </w:rPr>
              <w:t>CATCATCATCATCATCAT</w:t>
            </w:r>
            <w:r w:rsidRPr="005222C9">
              <w:rPr>
                <w:caps/>
                <w:color w:val="000000" w:themeColor="text1"/>
              </w:rPr>
              <w:t>TAA</w:t>
            </w:r>
          </w:p>
        </w:tc>
      </w:tr>
    </w:tbl>
    <w:p w14:paraId="27B49C22" w14:textId="77777777" w:rsidR="00BA7B2E" w:rsidRDefault="00BA7B2E" w:rsidP="00BA7B2E">
      <w:pPr>
        <w:rPr>
          <w:color w:val="000000" w:themeColor="text1"/>
          <w:sz w:val="20"/>
          <w:szCs w:val="20"/>
          <w:lang w:eastAsia="zh-CN"/>
        </w:rPr>
      </w:pPr>
      <w:r w:rsidRPr="00D132CA">
        <w:rPr>
          <w:color w:val="000000" w:themeColor="text1"/>
          <w:sz w:val="20"/>
          <w:szCs w:val="20"/>
        </w:rPr>
        <w:t xml:space="preserve">Blue, </w:t>
      </w:r>
      <w:r w:rsidRPr="00D132CA">
        <w:rPr>
          <w:color w:val="000000" w:themeColor="text1"/>
          <w:sz w:val="20"/>
          <w:szCs w:val="20"/>
          <w:lang w:eastAsia="zh-CN"/>
        </w:rPr>
        <w:t>α-factor; Pink, RBD; Orange, EK; Green, Linker; Purple, 6×His</w:t>
      </w:r>
      <w:r>
        <w:rPr>
          <w:rFonts w:hint="eastAsia"/>
          <w:color w:val="000000" w:themeColor="text1"/>
          <w:sz w:val="20"/>
          <w:szCs w:val="20"/>
          <w:lang w:eastAsia="zh-CN"/>
        </w:rPr>
        <w:t>.</w:t>
      </w:r>
    </w:p>
    <w:p w14:paraId="0B658CC0" w14:textId="1652911D" w:rsidR="00BA7B2E" w:rsidRPr="00BA7B2E" w:rsidRDefault="00BA7B2E" w:rsidP="00BA7B2E">
      <w:pPr>
        <w:rPr>
          <w:color w:val="000000" w:themeColor="text1"/>
          <w:sz w:val="20"/>
          <w:szCs w:val="20"/>
        </w:rPr>
      </w:pPr>
      <w:r w:rsidRPr="005222C9">
        <w:rPr>
          <w:b/>
        </w:rPr>
        <w:lastRenderedPageBreak/>
        <w:t xml:space="preserve">Table S1. </w:t>
      </w:r>
      <w:r w:rsidRPr="005222C9">
        <w:t>The codon</w:t>
      </w:r>
      <w:r>
        <w:t>-</w:t>
      </w:r>
      <w:r w:rsidRPr="005222C9">
        <w:t>optimized sequence</w:t>
      </w:r>
      <w:r>
        <w:t>s</w:t>
      </w:r>
      <w:r w:rsidRPr="005222C9">
        <w:t xml:space="preserve"> of SARS-CoV-2 RBD.</w:t>
      </w:r>
    </w:p>
    <w:tbl>
      <w:tblPr>
        <w:tblW w:w="8222" w:type="dxa"/>
        <w:tblLayout w:type="fixed"/>
        <w:tblCellMar>
          <w:left w:w="0" w:type="dxa"/>
          <w:right w:w="0" w:type="dxa"/>
        </w:tblCellMar>
        <w:tblLook w:val="0420" w:firstRow="1" w:lastRow="0" w:firstColumn="0" w:lastColumn="0" w:noHBand="0" w:noVBand="1"/>
      </w:tblPr>
      <w:tblGrid>
        <w:gridCol w:w="1276"/>
        <w:gridCol w:w="2552"/>
        <w:gridCol w:w="4394"/>
      </w:tblGrid>
      <w:tr w:rsidR="00BA7B2E" w:rsidRPr="005222C9" w14:paraId="0A979494" w14:textId="77777777" w:rsidTr="00F91BF1">
        <w:trPr>
          <w:trHeight w:val="20"/>
        </w:trPr>
        <w:tc>
          <w:tcPr>
            <w:tcW w:w="127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1D56689" w14:textId="77777777" w:rsidR="00BA7B2E" w:rsidRPr="005222C9" w:rsidRDefault="00BA7B2E" w:rsidP="00F91BF1">
            <w:pPr>
              <w:jc w:val="center"/>
              <w:rPr>
                <w:rFonts w:eastAsia="Times New Roman"/>
                <w:color w:val="000000" w:themeColor="text1"/>
              </w:rPr>
            </w:pPr>
            <w:r w:rsidRPr="005222C9">
              <w:rPr>
                <w:rFonts w:eastAsia="Times New Roman"/>
                <w:b/>
                <w:bCs/>
                <w:color w:val="000000" w:themeColor="text1"/>
                <w:kern w:val="24"/>
              </w:rPr>
              <w:t xml:space="preserve">Number </w:t>
            </w:r>
          </w:p>
        </w:tc>
        <w:tc>
          <w:tcPr>
            <w:tcW w:w="255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2CB65DF" w14:textId="77777777" w:rsidR="00BA7B2E" w:rsidRPr="005222C9" w:rsidRDefault="00BA7B2E" w:rsidP="00F91BF1">
            <w:pPr>
              <w:jc w:val="center"/>
              <w:rPr>
                <w:rFonts w:eastAsia="Times New Roman"/>
                <w:color w:val="000000" w:themeColor="text1"/>
              </w:rPr>
            </w:pPr>
            <w:r w:rsidRPr="005222C9">
              <w:rPr>
                <w:rFonts w:eastAsia="Times New Roman"/>
                <w:b/>
                <w:bCs/>
                <w:color w:val="000000" w:themeColor="text1"/>
                <w:kern w:val="24"/>
              </w:rPr>
              <w:t>Primer name</w:t>
            </w:r>
          </w:p>
        </w:tc>
        <w:tc>
          <w:tcPr>
            <w:tcW w:w="439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00FD628" w14:textId="77777777" w:rsidR="00BA7B2E" w:rsidRPr="005222C9" w:rsidRDefault="00BA7B2E" w:rsidP="00F91BF1">
            <w:pPr>
              <w:jc w:val="center"/>
              <w:rPr>
                <w:rFonts w:eastAsia="Times New Roman"/>
                <w:color w:val="000000" w:themeColor="text1"/>
              </w:rPr>
            </w:pPr>
            <w:r w:rsidRPr="005222C9">
              <w:rPr>
                <w:rFonts w:eastAsia="Times New Roman"/>
                <w:b/>
                <w:bCs/>
                <w:color w:val="000000" w:themeColor="text1"/>
                <w:kern w:val="24"/>
              </w:rPr>
              <w:t>Primer sequence (5’-3’)</w:t>
            </w:r>
          </w:p>
        </w:tc>
      </w:tr>
      <w:tr w:rsidR="00BA7B2E" w:rsidRPr="005222C9" w14:paraId="7C6648A5" w14:textId="77777777" w:rsidTr="00F91BF1">
        <w:trPr>
          <w:trHeight w:val="20"/>
        </w:trPr>
        <w:tc>
          <w:tcPr>
            <w:tcW w:w="1276"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42BA64A" w14:textId="77777777" w:rsidR="00BA7B2E" w:rsidRPr="005222C9" w:rsidRDefault="00BA7B2E" w:rsidP="00F91BF1">
            <w:pPr>
              <w:jc w:val="center"/>
              <w:textAlignment w:val="center"/>
              <w:rPr>
                <w:rFonts w:eastAsia="Times New Roman"/>
                <w:color w:val="000000" w:themeColor="text1"/>
              </w:rPr>
            </w:pPr>
            <w:r w:rsidRPr="005222C9">
              <w:rPr>
                <w:color w:val="000000" w:themeColor="text1"/>
                <w:kern w:val="24"/>
              </w:rPr>
              <w:t>1</w:t>
            </w:r>
          </w:p>
        </w:tc>
        <w:tc>
          <w:tcPr>
            <w:tcW w:w="2552"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9974B62" w14:textId="77777777" w:rsidR="00BA7B2E" w:rsidRPr="005222C9" w:rsidRDefault="00BA7B2E" w:rsidP="00F91BF1">
            <w:pPr>
              <w:textAlignment w:val="center"/>
              <w:rPr>
                <w:rFonts w:eastAsia="Times New Roman"/>
                <w:color w:val="000000" w:themeColor="text1"/>
              </w:rPr>
            </w:pPr>
            <w:r w:rsidRPr="005222C9">
              <w:rPr>
                <w:color w:val="000000" w:themeColor="text1"/>
                <w:kern w:val="24"/>
              </w:rPr>
              <w:t>afactor-F1-EcoRI</w:t>
            </w:r>
          </w:p>
        </w:tc>
        <w:tc>
          <w:tcPr>
            <w:tcW w:w="4394"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C33DB06" w14:textId="77777777" w:rsidR="00BA7B2E" w:rsidRPr="005222C9" w:rsidRDefault="00BA7B2E" w:rsidP="00F91BF1">
            <w:pPr>
              <w:textAlignment w:val="center"/>
              <w:rPr>
                <w:rFonts w:eastAsia="Times New Roman"/>
                <w:caps/>
                <w:color w:val="000000" w:themeColor="text1"/>
              </w:rPr>
            </w:pPr>
            <w:r w:rsidRPr="005222C9">
              <w:rPr>
                <w:rFonts w:eastAsia="Times New Roman"/>
                <w:caps/>
                <w:color w:val="000000" w:themeColor="text1"/>
              </w:rPr>
              <w:t>aCCgaattcatgagatttccttcaatttttac</w:t>
            </w:r>
          </w:p>
        </w:tc>
      </w:tr>
      <w:tr w:rsidR="00BA7B2E" w:rsidRPr="005222C9" w14:paraId="6FA79C40" w14:textId="77777777" w:rsidTr="00F91BF1">
        <w:trPr>
          <w:trHeight w:val="20"/>
        </w:trPr>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7AFDEF7A" w14:textId="77777777" w:rsidR="00BA7B2E" w:rsidRPr="005222C9" w:rsidRDefault="00BA7B2E" w:rsidP="00F91BF1">
            <w:pPr>
              <w:jc w:val="center"/>
              <w:textAlignment w:val="center"/>
              <w:rPr>
                <w:rFonts w:eastAsia="Times New Roman"/>
                <w:color w:val="000000" w:themeColor="text1"/>
              </w:rPr>
            </w:pPr>
            <w:r w:rsidRPr="005222C9">
              <w:rPr>
                <w:color w:val="000000" w:themeColor="text1"/>
                <w:kern w:val="24"/>
              </w:rPr>
              <w:t>2</w:t>
            </w:r>
          </w:p>
        </w:tc>
        <w:tc>
          <w:tcPr>
            <w:tcW w:w="2552" w:type="dxa"/>
            <w:tcBorders>
              <w:top w:val="nil"/>
              <w:left w:val="nil"/>
              <w:bottom w:val="nil"/>
              <w:right w:val="nil"/>
            </w:tcBorders>
            <w:shd w:val="clear" w:color="auto" w:fill="auto"/>
            <w:tcMar>
              <w:top w:w="15" w:type="dxa"/>
              <w:left w:w="15" w:type="dxa"/>
              <w:bottom w:w="0" w:type="dxa"/>
              <w:right w:w="15" w:type="dxa"/>
            </w:tcMar>
            <w:vAlign w:val="center"/>
            <w:hideMark/>
          </w:tcPr>
          <w:p w14:paraId="7AD9202A" w14:textId="77777777" w:rsidR="00BA7B2E" w:rsidRPr="005222C9" w:rsidRDefault="00BA7B2E" w:rsidP="00F91BF1">
            <w:pPr>
              <w:textAlignment w:val="center"/>
              <w:rPr>
                <w:rFonts w:eastAsia="Times New Roman"/>
                <w:color w:val="000000" w:themeColor="text1"/>
              </w:rPr>
            </w:pPr>
            <w:r w:rsidRPr="005222C9">
              <w:rPr>
                <w:color w:val="000000" w:themeColor="text1"/>
                <w:kern w:val="24"/>
              </w:rPr>
              <w:t>afactor-R1-EcoRI</w:t>
            </w:r>
          </w:p>
        </w:tc>
        <w:tc>
          <w:tcPr>
            <w:tcW w:w="4394" w:type="dxa"/>
            <w:tcBorders>
              <w:top w:val="nil"/>
              <w:left w:val="nil"/>
              <w:bottom w:val="nil"/>
              <w:right w:val="nil"/>
            </w:tcBorders>
            <w:shd w:val="clear" w:color="auto" w:fill="auto"/>
            <w:tcMar>
              <w:top w:w="15" w:type="dxa"/>
              <w:left w:w="15" w:type="dxa"/>
              <w:bottom w:w="0" w:type="dxa"/>
              <w:right w:w="15" w:type="dxa"/>
            </w:tcMar>
            <w:vAlign w:val="center"/>
            <w:hideMark/>
          </w:tcPr>
          <w:p w14:paraId="76B3ED68" w14:textId="77777777" w:rsidR="00BA7B2E" w:rsidRPr="005222C9" w:rsidRDefault="00BA7B2E" w:rsidP="00F91BF1">
            <w:pPr>
              <w:textAlignment w:val="center"/>
              <w:rPr>
                <w:rFonts w:eastAsia="Times New Roman"/>
                <w:caps/>
                <w:color w:val="000000" w:themeColor="text1"/>
              </w:rPr>
            </w:pPr>
            <w:r w:rsidRPr="005222C9">
              <w:rPr>
                <w:caps/>
                <w:color w:val="000000" w:themeColor="text1"/>
                <w:kern w:val="24"/>
              </w:rPr>
              <w:t>agcttcagcctctcttttctcgagag</w:t>
            </w:r>
          </w:p>
        </w:tc>
      </w:tr>
      <w:tr w:rsidR="00BA7B2E" w:rsidRPr="005222C9" w14:paraId="35A1F647" w14:textId="77777777" w:rsidTr="00F91BF1">
        <w:trPr>
          <w:trHeight w:val="20"/>
        </w:trPr>
        <w:tc>
          <w:tcPr>
            <w:tcW w:w="1276" w:type="dxa"/>
            <w:tcBorders>
              <w:top w:val="nil"/>
              <w:left w:val="nil"/>
              <w:bottom w:val="nil"/>
              <w:right w:val="nil"/>
            </w:tcBorders>
            <w:shd w:val="clear" w:color="auto" w:fill="auto"/>
            <w:tcMar>
              <w:top w:w="15" w:type="dxa"/>
              <w:left w:w="15" w:type="dxa"/>
              <w:bottom w:w="0" w:type="dxa"/>
              <w:right w:w="15" w:type="dxa"/>
            </w:tcMar>
            <w:vAlign w:val="center"/>
            <w:hideMark/>
          </w:tcPr>
          <w:p w14:paraId="0C222BA1" w14:textId="77777777" w:rsidR="00BA7B2E" w:rsidRPr="005222C9" w:rsidRDefault="00BA7B2E" w:rsidP="00F91BF1">
            <w:pPr>
              <w:jc w:val="center"/>
              <w:textAlignment w:val="center"/>
              <w:rPr>
                <w:rFonts w:eastAsia="Times New Roman"/>
                <w:color w:val="000000" w:themeColor="text1"/>
              </w:rPr>
            </w:pPr>
            <w:r w:rsidRPr="005222C9">
              <w:rPr>
                <w:color w:val="000000" w:themeColor="text1"/>
                <w:kern w:val="24"/>
              </w:rPr>
              <w:t>3</w:t>
            </w:r>
          </w:p>
        </w:tc>
        <w:tc>
          <w:tcPr>
            <w:tcW w:w="2552" w:type="dxa"/>
            <w:tcBorders>
              <w:top w:val="nil"/>
              <w:left w:val="nil"/>
              <w:bottom w:val="nil"/>
              <w:right w:val="nil"/>
            </w:tcBorders>
            <w:shd w:val="clear" w:color="auto" w:fill="auto"/>
            <w:tcMar>
              <w:top w:w="15" w:type="dxa"/>
              <w:left w:w="15" w:type="dxa"/>
              <w:bottom w:w="0" w:type="dxa"/>
              <w:right w:w="15" w:type="dxa"/>
            </w:tcMar>
            <w:vAlign w:val="center"/>
            <w:hideMark/>
          </w:tcPr>
          <w:p w14:paraId="15F07404" w14:textId="77777777" w:rsidR="00BA7B2E" w:rsidRPr="005222C9" w:rsidRDefault="00BA7B2E" w:rsidP="00F91BF1">
            <w:pPr>
              <w:textAlignment w:val="center"/>
              <w:rPr>
                <w:rFonts w:eastAsia="Times New Roman"/>
                <w:color w:val="000000" w:themeColor="text1"/>
              </w:rPr>
            </w:pPr>
            <w:r w:rsidRPr="005222C9">
              <w:rPr>
                <w:color w:val="000000" w:themeColor="text1"/>
                <w:kern w:val="24"/>
              </w:rPr>
              <w:t>RBDco1-F2</w:t>
            </w:r>
          </w:p>
        </w:tc>
        <w:tc>
          <w:tcPr>
            <w:tcW w:w="4394" w:type="dxa"/>
            <w:tcBorders>
              <w:top w:val="nil"/>
              <w:left w:val="nil"/>
              <w:bottom w:val="nil"/>
              <w:right w:val="nil"/>
            </w:tcBorders>
            <w:shd w:val="clear" w:color="auto" w:fill="auto"/>
            <w:tcMar>
              <w:top w:w="15" w:type="dxa"/>
              <w:left w:w="15" w:type="dxa"/>
              <w:bottom w:w="0" w:type="dxa"/>
              <w:right w:w="15" w:type="dxa"/>
            </w:tcMar>
            <w:vAlign w:val="center"/>
            <w:hideMark/>
          </w:tcPr>
          <w:p w14:paraId="449F7D97" w14:textId="77777777" w:rsidR="00BA7B2E" w:rsidRPr="005222C9" w:rsidRDefault="00BA7B2E" w:rsidP="00F91BF1">
            <w:pPr>
              <w:textAlignment w:val="center"/>
              <w:rPr>
                <w:rFonts w:eastAsia="Times New Roman"/>
                <w:caps/>
                <w:color w:val="000000" w:themeColor="text1"/>
              </w:rPr>
            </w:pPr>
            <w:r w:rsidRPr="005222C9">
              <w:rPr>
                <w:caps/>
                <w:color w:val="000000" w:themeColor="text1"/>
                <w:kern w:val="24"/>
              </w:rPr>
              <w:t>tctcgagaaaagagaggctgaagctagagtccaaccgactgagtccatc</w:t>
            </w:r>
          </w:p>
        </w:tc>
      </w:tr>
      <w:tr w:rsidR="00BA7B2E" w:rsidRPr="005222C9" w14:paraId="772C7487" w14:textId="77777777" w:rsidTr="00F91BF1">
        <w:trPr>
          <w:trHeight w:val="20"/>
        </w:trPr>
        <w:tc>
          <w:tcPr>
            <w:tcW w:w="1276" w:type="dxa"/>
            <w:tcBorders>
              <w:top w:val="nil"/>
              <w:left w:val="nil"/>
              <w:bottom w:val="nil"/>
              <w:right w:val="nil"/>
            </w:tcBorders>
            <w:shd w:val="clear" w:color="auto" w:fill="auto"/>
            <w:tcMar>
              <w:top w:w="15" w:type="dxa"/>
              <w:left w:w="15" w:type="dxa"/>
              <w:bottom w:w="0" w:type="dxa"/>
              <w:right w:w="15" w:type="dxa"/>
            </w:tcMar>
            <w:vAlign w:val="center"/>
          </w:tcPr>
          <w:p w14:paraId="2171D544" w14:textId="77777777" w:rsidR="00BA7B2E" w:rsidRPr="005222C9" w:rsidRDefault="00BA7B2E" w:rsidP="00F91BF1">
            <w:pPr>
              <w:jc w:val="center"/>
              <w:textAlignment w:val="center"/>
              <w:rPr>
                <w:color w:val="000000" w:themeColor="text1"/>
                <w:kern w:val="24"/>
              </w:rPr>
            </w:pPr>
            <w:r w:rsidRPr="005222C9">
              <w:rPr>
                <w:color w:val="000000" w:themeColor="text1"/>
                <w:kern w:val="24"/>
              </w:rPr>
              <w:t>4</w:t>
            </w:r>
          </w:p>
        </w:tc>
        <w:tc>
          <w:tcPr>
            <w:tcW w:w="2552" w:type="dxa"/>
            <w:tcBorders>
              <w:top w:val="nil"/>
              <w:left w:val="nil"/>
              <w:bottom w:val="nil"/>
              <w:right w:val="nil"/>
            </w:tcBorders>
            <w:shd w:val="clear" w:color="auto" w:fill="auto"/>
            <w:tcMar>
              <w:top w:w="15" w:type="dxa"/>
              <w:left w:w="15" w:type="dxa"/>
              <w:bottom w:w="0" w:type="dxa"/>
              <w:right w:w="15" w:type="dxa"/>
            </w:tcMar>
            <w:vAlign w:val="center"/>
          </w:tcPr>
          <w:p w14:paraId="270F5285" w14:textId="77777777" w:rsidR="00BA7B2E" w:rsidRPr="005222C9" w:rsidRDefault="00BA7B2E" w:rsidP="00F91BF1">
            <w:pPr>
              <w:textAlignment w:val="center"/>
              <w:rPr>
                <w:rFonts w:eastAsia="Times New Roman"/>
                <w:color w:val="000000" w:themeColor="text1"/>
                <w:kern w:val="24"/>
              </w:rPr>
            </w:pPr>
            <w:r w:rsidRPr="005222C9">
              <w:rPr>
                <w:color w:val="000000" w:themeColor="text1"/>
              </w:rPr>
              <w:t>RBD-</w:t>
            </w:r>
            <w:proofErr w:type="spellStart"/>
            <w:r w:rsidRPr="005222C9">
              <w:rPr>
                <w:color w:val="000000" w:themeColor="text1"/>
              </w:rPr>
              <w:t>SalI</w:t>
            </w:r>
            <w:proofErr w:type="spellEnd"/>
            <w:r w:rsidRPr="005222C9">
              <w:rPr>
                <w:color w:val="000000" w:themeColor="text1"/>
              </w:rPr>
              <w:t>-R</w:t>
            </w:r>
          </w:p>
        </w:tc>
        <w:tc>
          <w:tcPr>
            <w:tcW w:w="4394" w:type="dxa"/>
            <w:tcBorders>
              <w:top w:val="nil"/>
              <w:left w:val="nil"/>
              <w:bottom w:val="nil"/>
              <w:right w:val="nil"/>
            </w:tcBorders>
            <w:shd w:val="clear" w:color="auto" w:fill="auto"/>
            <w:tcMar>
              <w:top w:w="15" w:type="dxa"/>
              <w:left w:w="15" w:type="dxa"/>
              <w:bottom w:w="0" w:type="dxa"/>
              <w:right w:w="15" w:type="dxa"/>
            </w:tcMar>
            <w:vAlign w:val="center"/>
          </w:tcPr>
          <w:p w14:paraId="11DD705E" w14:textId="77777777" w:rsidR="00BA7B2E" w:rsidRPr="005222C9" w:rsidRDefault="00BA7B2E" w:rsidP="00F91BF1">
            <w:pPr>
              <w:textAlignment w:val="center"/>
              <w:rPr>
                <w:rFonts w:eastAsia="Times New Roman"/>
                <w:caps/>
                <w:color w:val="000000" w:themeColor="text1"/>
                <w:kern w:val="24"/>
              </w:rPr>
            </w:pPr>
            <w:r w:rsidRPr="005222C9">
              <w:rPr>
                <w:rFonts w:eastAsia="Times New Roman"/>
                <w:caps/>
                <w:color w:val="000000" w:themeColor="text1"/>
                <w:kern w:val="24"/>
              </w:rPr>
              <w:t>attgtcgacttaatgatgatgatgatgatgggaaccaccaccacc</w:t>
            </w:r>
          </w:p>
        </w:tc>
      </w:tr>
      <w:tr w:rsidR="00BA7B2E" w:rsidRPr="005222C9" w14:paraId="6E6978E1" w14:textId="77777777" w:rsidTr="00F91BF1">
        <w:trPr>
          <w:trHeight w:val="20"/>
        </w:trPr>
        <w:tc>
          <w:tcPr>
            <w:tcW w:w="1276" w:type="dxa"/>
            <w:tcBorders>
              <w:top w:val="nil"/>
              <w:left w:val="nil"/>
              <w:bottom w:val="nil"/>
              <w:right w:val="nil"/>
            </w:tcBorders>
            <w:shd w:val="clear" w:color="auto" w:fill="auto"/>
            <w:tcMar>
              <w:top w:w="15" w:type="dxa"/>
              <w:left w:w="15" w:type="dxa"/>
              <w:bottom w:w="0" w:type="dxa"/>
              <w:right w:w="15" w:type="dxa"/>
            </w:tcMar>
            <w:vAlign w:val="center"/>
          </w:tcPr>
          <w:p w14:paraId="7F7F4996" w14:textId="77777777" w:rsidR="00BA7B2E" w:rsidRPr="005222C9" w:rsidRDefault="00BA7B2E" w:rsidP="00F91BF1">
            <w:pPr>
              <w:jc w:val="center"/>
              <w:textAlignment w:val="center"/>
              <w:rPr>
                <w:color w:val="000000" w:themeColor="text1"/>
                <w:kern w:val="24"/>
              </w:rPr>
            </w:pPr>
            <w:r w:rsidRPr="005222C9">
              <w:rPr>
                <w:color w:val="000000" w:themeColor="text1"/>
                <w:kern w:val="24"/>
              </w:rPr>
              <w:t>5</w:t>
            </w:r>
          </w:p>
        </w:tc>
        <w:tc>
          <w:tcPr>
            <w:tcW w:w="2552" w:type="dxa"/>
            <w:tcBorders>
              <w:top w:val="nil"/>
              <w:left w:val="nil"/>
              <w:bottom w:val="nil"/>
              <w:right w:val="nil"/>
            </w:tcBorders>
            <w:shd w:val="clear" w:color="auto" w:fill="auto"/>
            <w:tcMar>
              <w:top w:w="15" w:type="dxa"/>
              <w:left w:w="15" w:type="dxa"/>
              <w:bottom w:w="0" w:type="dxa"/>
              <w:right w:w="15" w:type="dxa"/>
            </w:tcMar>
            <w:vAlign w:val="center"/>
          </w:tcPr>
          <w:p w14:paraId="51370B15" w14:textId="77777777" w:rsidR="00BA7B2E" w:rsidRPr="005222C9" w:rsidRDefault="00BA7B2E" w:rsidP="00F91BF1">
            <w:pPr>
              <w:textAlignment w:val="center"/>
              <w:rPr>
                <w:color w:val="000000" w:themeColor="text1"/>
              </w:rPr>
            </w:pPr>
            <w:r w:rsidRPr="005222C9">
              <w:rPr>
                <w:color w:val="000000" w:themeColor="text1"/>
              </w:rPr>
              <w:t>Delta RBD-R1</w:t>
            </w:r>
          </w:p>
        </w:tc>
        <w:tc>
          <w:tcPr>
            <w:tcW w:w="4394" w:type="dxa"/>
            <w:tcBorders>
              <w:top w:val="nil"/>
              <w:left w:val="nil"/>
              <w:bottom w:val="nil"/>
              <w:right w:val="nil"/>
            </w:tcBorders>
            <w:shd w:val="clear" w:color="auto" w:fill="auto"/>
            <w:tcMar>
              <w:top w:w="15" w:type="dxa"/>
              <w:left w:w="15" w:type="dxa"/>
              <w:bottom w:w="0" w:type="dxa"/>
              <w:right w:w="15" w:type="dxa"/>
            </w:tcMar>
            <w:vAlign w:val="center"/>
          </w:tcPr>
          <w:p w14:paraId="47B10DC1" w14:textId="77777777" w:rsidR="00BA7B2E" w:rsidRPr="005222C9" w:rsidRDefault="00BA7B2E" w:rsidP="00F91BF1">
            <w:pPr>
              <w:textAlignment w:val="center"/>
              <w:rPr>
                <w:rFonts w:eastAsia="Times New Roman"/>
                <w:caps/>
                <w:color w:val="000000" w:themeColor="text1"/>
                <w:kern w:val="24"/>
              </w:rPr>
            </w:pPr>
            <w:r w:rsidRPr="005222C9">
              <w:rPr>
                <w:rFonts w:eastAsia="Times New Roman"/>
                <w:caps/>
                <w:color w:val="000000" w:themeColor="text1"/>
                <w:kern w:val="24"/>
              </w:rPr>
              <w:t>tgtcgcgttcaaatggtttgagattcgacttccggaaaagtcgatatCggtaattgtaa</w:t>
            </w:r>
          </w:p>
        </w:tc>
      </w:tr>
      <w:tr w:rsidR="00BA7B2E" w:rsidRPr="005222C9" w14:paraId="446B64E7" w14:textId="77777777" w:rsidTr="00F91BF1">
        <w:trPr>
          <w:trHeight w:val="20"/>
        </w:trPr>
        <w:tc>
          <w:tcPr>
            <w:tcW w:w="1276" w:type="dxa"/>
            <w:tcBorders>
              <w:top w:val="nil"/>
              <w:left w:val="nil"/>
              <w:bottom w:val="nil"/>
              <w:right w:val="nil"/>
            </w:tcBorders>
            <w:shd w:val="clear" w:color="auto" w:fill="auto"/>
            <w:tcMar>
              <w:top w:w="15" w:type="dxa"/>
              <w:left w:w="15" w:type="dxa"/>
              <w:bottom w:w="0" w:type="dxa"/>
              <w:right w:w="15" w:type="dxa"/>
            </w:tcMar>
            <w:vAlign w:val="center"/>
          </w:tcPr>
          <w:p w14:paraId="5F4F52C9" w14:textId="77777777" w:rsidR="00BA7B2E" w:rsidRPr="005222C9" w:rsidRDefault="00BA7B2E" w:rsidP="00F91BF1">
            <w:pPr>
              <w:jc w:val="center"/>
              <w:textAlignment w:val="center"/>
              <w:rPr>
                <w:color w:val="000000" w:themeColor="text1"/>
                <w:kern w:val="24"/>
              </w:rPr>
            </w:pPr>
            <w:r w:rsidRPr="005222C9">
              <w:rPr>
                <w:color w:val="000000" w:themeColor="text1"/>
                <w:kern w:val="24"/>
              </w:rPr>
              <w:t>6</w:t>
            </w:r>
          </w:p>
        </w:tc>
        <w:tc>
          <w:tcPr>
            <w:tcW w:w="2552" w:type="dxa"/>
            <w:tcBorders>
              <w:top w:val="nil"/>
              <w:left w:val="nil"/>
              <w:bottom w:val="nil"/>
              <w:right w:val="nil"/>
            </w:tcBorders>
            <w:shd w:val="clear" w:color="auto" w:fill="auto"/>
            <w:tcMar>
              <w:top w:w="15" w:type="dxa"/>
              <w:left w:w="15" w:type="dxa"/>
              <w:bottom w:w="0" w:type="dxa"/>
              <w:right w:w="15" w:type="dxa"/>
            </w:tcMar>
            <w:vAlign w:val="center"/>
          </w:tcPr>
          <w:p w14:paraId="0127DD63" w14:textId="77777777" w:rsidR="00BA7B2E" w:rsidRPr="005222C9" w:rsidRDefault="00BA7B2E" w:rsidP="00F91BF1">
            <w:pPr>
              <w:textAlignment w:val="center"/>
              <w:rPr>
                <w:color w:val="000000" w:themeColor="text1"/>
              </w:rPr>
            </w:pPr>
            <w:r w:rsidRPr="005222C9">
              <w:rPr>
                <w:color w:val="000000" w:themeColor="text1"/>
              </w:rPr>
              <w:t>Delta RBD-F2</w:t>
            </w:r>
          </w:p>
        </w:tc>
        <w:tc>
          <w:tcPr>
            <w:tcW w:w="4394" w:type="dxa"/>
            <w:tcBorders>
              <w:top w:val="nil"/>
              <w:left w:val="nil"/>
              <w:bottom w:val="nil"/>
              <w:right w:val="nil"/>
            </w:tcBorders>
            <w:shd w:val="clear" w:color="auto" w:fill="auto"/>
            <w:tcMar>
              <w:top w:w="15" w:type="dxa"/>
              <w:left w:w="15" w:type="dxa"/>
              <w:bottom w:w="0" w:type="dxa"/>
              <w:right w:w="15" w:type="dxa"/>
            </w:tcMar>
            <w:vAlign w:val="center"/>
          </w:tcPr>
          <w:p w14:paraId="7164D5CF" w14:textId="77777777" w:rsidR="00BA7B2E" w:rsidRPr="005222C9" w:rsidRDefault="00BA7B2E" w:rsidP="00F91BF1">
            <w:pPr>
              <w:textAlignment w:val="center"/>
              <w:rPr>
                <w:rFonts w:eastAsia="Times New Roman"/>
                <w:caps/>
                <w:color w:val="000000" w:themeColor="text1"/>
                <w:kern w:val="24"/>
              </w:rPr>
            </w:pPr>
            <w:r w:rsidRPr="005222C9">
              <w:rPr>
                <w:rFonts w:eastAsia="Times New Roman"/>
                <w:caps/>
                <w:color w:val="000000" w:themeColor="text1"/>
                <w:kern w:val="24"/>
              </w:rPr>
              <w:t>aaccatttgaacgcgacataagtacggagatttaccaggcggggtccaAaccatgcaac</w:t>
            </w:r>
          </w:p>
        </w:tc>
      </w:tr>
      <w:tr w:rsidR="00BA7B2E" w:rsidRPr="005222C9" w14:paraId="553A15D6" w14:textId="77777777" w:rsidTr="00F91BF1">
        <w:trPr>
          <w:trHeight w:val="20"/>
        </w:trPr>
        <w:tc>
          <w:tcPr>
            <w:tcW w:w="1276" w:type="dxa"/>
            <w:tcBorders>
              <w:top w:val="nil"/>
              <w:left w:val="nil"/>
              <w:bottom w:val="nil"/>
              <w:right w:val="nil"/>
            </w:tcBorders>
            <w:shd w:val="clear" w:color="auto" w:fill="auto"/>
            <w:tcMar>
              <w:top w:w="15" w:type="dxa"/>
              <w:left w:w="15" w:type="dxa"/>
              <w:bottom w:w="0" w:type="dxa"/>
              <w:right w:w="15" w:type="dxa"/>
            </w:tcMar>
            <w:vAlign w:val="center"/>
          </w:tcPr>
          <w:p w14:paraId="670ADD4A" w14:textId="77777777" w:rsidR="00BA7B2E" w:rsidRPr="005222C9" w:rsidRDefault="00BA7B2E" w:rsidP="00F91BF1">
            <w:pPr>
              <w:jc w:val="center"/>
              <w:textAlignment w:val="center"/>
              <w:rPr>
                <w:color w:val="000000" w:themeColor="text1"/>
                <w:kern w:val="24"/>
              </w:rPr>
            </w:pPr>
            <w:r w:rsidRPr="005222C9">
              <w:rPr>
                <w:color w:val="000000" w:themeColor="text1"/>
                <w:kern w:val="24"/>
              </w:rPr>
              <w:t>7</w:t>
            </w:r>
          </w:p>
        </w:tc>
        <w:tc>
          <w:tcPr>
            <w:tcW w:w="2552" w:type="dxa"/>
            <w:tcBorders>
              <w:top w:val="nil"/>
              <w:left w:val="nil"/>
              <w:bottom w:val="nil"/>
              <w:right w:val="nil"/>
            </w:tcBorders>
            <w:shd w:val="clear" w:color="auto" w:fill="auto"/>
            <w:tcMar>
              <w:top w:w="15" w:type="dxa"/>
              <w:left w:w="15" w:type="dxa"/>
              <w:bottom w:w="0" w:type="dxa"/>
              <w:right w:w="15" w:type="dxa"/>
            </w:tcMar>
            <w:vAlign w:val="center"/>
          </w:tcPr>
          <w:p w14:paraId="26D844E3" w14:textId="77777777" w:rsidR="00BA7B2E" w:rsidRPr="005222C9" w:rsidRDefault="00BA7B2E" w:rsidP="00F91BF1">
            <w:pPr>
              <w:textAlignment w:val="center"/>
              <w:rPr>
                <w:color w:val="000000" w:themeColor="text1"/>
              </w:rPr>
            </w:pPr>
            <w:r w:rsidRPr="005222C9">
              <w:rPr>
                <w:color w:val="000000" w:themeColor="text1"/>
              </w:rPr>
              <w:t>5'AOX</w:t>
            </w:r>
          </w:p>
        </w:tc>
        <w:tc>
          <w:tcPr>
            <w:tcW w:w="4394" w:type="dxa"/>
            <w:tcBorders>
              <w:top w:val="nil"/>
              <w:left w:val="nil"/>
              <w:bottom w:val="nil"/>
              <w:right w:val="nil"/>
            </w:tcBorders>
            <w:shd w:val="clear" w:color="auto" w:fill="auto"/>
            <w:tcMar>
              <w:top w:w="15" w:type="dxa"/>
              <w:left w:w="15" w:type="dxa"/>
              <w:bottom w:w="0" w:type="dxa"/>
              <w:right w:w="15" w:type="dxa"/>
            </w:tcMar>
            <w:vAlign w:val="center"/>
          </w:tcPr>
          <w:p w14:paraId="51D78C9C" w14:textId="77777777" w:rsidR="00BA7B2E" w:rsidRPr="005222C9" w:rsidRDefault="00BA7B2E" w:rsidP="00F91BF1">
            <w:pPr>
              <w:textAlignment w:val="center"/>
              <w:rPr>
                <w:rFonts w:eastAsia="Times New Roman"/>
                <w:caps/>
                <w:color w:val="000000" w:themeColor="text1"/>
                <w:kern w:val="24"/>
              </w:rPr>
            </w:pPr>
            <w:r w:rsidRPr="005222C9">
              <w:rPr>
                <w:rFonts w:eastAsia="Times New Roman"/>
                <w:caps/>
                <w:color w:val="000000" w:themeColor="text1"/>
                <w:kern w:val="24"/>
              </w:rPr>
              <w:t>GACTGGTTCCAATTGACAAGC</w:t>
            </w:r>
          </w:p>
        </w:tc>
      </w:tr>
      <w:tr w:rsidR="00BA7B2E" w:rsidRPr="005222C9" w14:paraId="3207D254" w14:textId="77777777" w:rsidTr="00F91BF1">
        <w:trPr>
          <w:trHeight w:val="20"/>
        </w:trPr>
        <w:tc>
          <w:tcPr>
            <w:tcW w:w="1276" w:type="dxa"/>
            <w:tcBorders>
              <w:top w:val="nil"/>
              <w:left w:val="nil"/>
              <w:bottom w:val="single" w:sz="8" w:space="0" w:color="000000"/>
              <w:right w:val="nil"/>
            </w:tcBorders>
            <w:shd w:val="clear" w:color="auto" w:fill="auto"/>
            <w:tcMar>
              <w:top w:w="15" w:type="dxa"/>
              <w:left w:w="15" w:type="dxa"/>
              <w:bottom w:w="0" w:type="dxa"/>
              <w:right w:w="15" w:type="dxa"/>
            </w:tcMar>
            <w:vAlign w:val="center"/>
          </w:tcPr>
          <w:p w14:paraId="3064926D" w14:textId="77777777" w:rsidR="00BA7B2E" w:rsidRPr="005222C9" w:rsidRDefault="00BA7B2E" w:rsidP="00F91BF1">
            <w:pPr>
              <w:jc w:val="center"/>
              <w:textAlignment w:val="center"/>
              <w:rPr>
                <w:color w:val="000000" w:themeColor="text1"/>
                <w:kern w:val="24"/>
              </w:rPr>
            </w:pPr>
            <w:r w:rsidRPr="005222C9">
              <w:rPr>
                <w:color w:val="000000" w:themeColor="text1"/>
                <w:kern w:val="24"/>
              </w:rPr>
              <w:t>8</w:t>
            </w:r>
          </w:p>
        </w:tc>
        <w:tc>
          <w:tcPr>
            <w:tcW w:w="2552" w:type="dxa"/>
            <w:tcBorders>
              <w:top w:val="nil"/>
              <w:left w:val="nil"/>
              <w:bottom w:val="single" w:sz="8" w:space="0" w:color="000000"/>
              <w:right w:val="nil"/>
            </w:tcBorders>
            <w:shd w:val="clear" w:color="auto" w:fill="auto"/>
            <w:tcMar>
              <w:top w:w="15" w:type="dxa"/>
              <w:left w:w="15" w:type="dxa"/>
              <w:bottom w:w="0" w:type="dxa"/>
              <w:right w:w="15" w:type="dxa"/>
            </w:tcMar>
            <w:vAlign w:val="center"/>
          </w:tcPr>
          <w:p w14:paraId="1D5237B7" w14:textId="77777777" w:rsidR="00BA7B2E" w:rsidRPr="005222C9" w:rsidRDefault="00BA7B2E" w:rsidP="00F91BF1">
            <w:pPr>
              <w:textAlignment w:val="center"/>
              <w:rPr>
                <w:color w:val="000000" w:themeColor="text1"/>
              </w:rPr>
            </w:pPr>
            <w:r w:rsidRPr="005222C9">
              <w:rPr>
                <w:color w:val="000000" w:themeColor="text1"/>
              </w:rPr>
              <w:t>3'AOX</w:t>
            </w:r>
          </w:p>
        </w:tc>
        <w:tc>
          <w:tcPr>
            <w:tcW w:w="4394" w:type="dxa"/>
            <w:tcBorders>
              <w:top w:val="nil"/>
              <w:left w:val="nil"/>
              <w:bottom w:val="single" w:sz="8" w:space="0" w:color="000000"/>
              <w:right w:val="nil"/>
            </w:tcBorders>
            <w:shd w:val="clear" w:color="auto" w:fill="auto"/>
            <w:tcMar>
              <w:top w:w="15" w:type="dxa"/>
              <w:left w:w="15" w:type="dxa"/>
              <w:bottom w:w="0" w:type="dxa"/>
              <w:right w:w="15" w:type="dxa"/>
            </w:tcMar>
            <w:vAlign w:val="center"/>
          </w:tcPr>
          <w:p w14:paraId="76303255" w14:textId="77777777" w:rsidR="00BA7B2E" w:rsidRPr="005222C9" w:rsidRDefault="00BA7B2E" w:rsidP="00F91BF1">
            <w:pPr>
              <w:textAlignment w:val="center"/>
              <w:rPr>
                <w:rFonts w:eastAsia="Times New Roman"/>
                <w:caps/>
                <w:color w:val="000000" w:themeColor="text1"/>
                <w:kern w:val="24"/>
              </w:rPr>
            </w:pPr>
            <w:r w:rsidRPr="005222C9">
              <w:rPr>
                <w:rFonts w:eastAsia="Times New Roman"/>
                <w:caps/>
                <w:color w:val="000000" w:themeColor="text1"/>
                <w:kern w:val="24"/>
              </w:rPr>
              <w:t>GCAAATGGCATTCTGACATCC</w:t>
            </w:r>
          </w:p>
        </w:tc>
      </w:tr>
    </w:tbl>
    <w:p w14:paraId="711CA645" w14:textId="5358F241" w:rsidR="00BA7B2E" w:rsidRDefault="00BA7B2E" w:rsidP="00BA7B2E">
      <w:pPr>
        <w:rPr>
          <w:color w:val="000000" w:themeColor="text1"/>
          <w:sz w:val="20"/>
          <w:szCs w:val="20"/>
        </w:rPr>
      </w:pPr>
      <w:r w:rsidRPr="005222C9">
        <w:rPr>
          <w:b/>
          <w:bCs/>
        </w:rPr>
        <w:t xml:space="preserve">Table S2. </w:t>
      </w:r>
      <w:r w:rsidRPr="005222C9">
        <w:t xml:space="preserve">The primers </w:t>
      </w:r>
      <w:r>
        <w:t xml:space="preserve">utilized </w:t>
      </w:r>
      <w:r w:rsidRPr="005222C9">
        <w:t>for the constructed plasmids.</w:t>
      </w:r>
    </w:p>
    <w:p w14:paraId="7323A963" w14:textId="0ED5DD66" w:rsidR="00BA7B2E" w:rsidRPr="005222C9" w:rsidRDefault="00BA7B2E" w:rsidP="00BA7B2E">
      <w:pPr>
        <w:rPr>
          <w:color w:val="000000" w:themeColor="text1"/>
          <w:sz w:val="20"/>
          <w:szCs w:val="20"/>
        </w:rPr>
      </w:pPr>
    </w:p>
    <w:sectPr w:rsidR="00BA7B2E" w:rsidRPr="005222C9"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E904F8" w14:textId="77777777" w:rsidR="00E05022" w:rsidRDefault="00E05022" w:rsidP="00117666">
      <w:pPr>
        <w:spacing w:after="0"/>
      </w:pPr>
      <w:r>
        <w:separator/>
      </w:r>
    </w:p>
  </w:endnote>
  <w:endnote w:type="continuationSeparator" w:id="0">
    <w:p w14:paraId="3F156745" w14:textId="77777777" w:rsidR="00E05022" w:rsidRDefault="00E0502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F2C12">
                            <w:rPr>
                              <w:noProof/>
                              <w:color w:val="000000" w:themeColor="text1"/>
                              <w:szCs w:val="40"/>
                            </w:rPr>
                            <w:t>10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F2C12">
                      <w:rPr>
                        <w:noProof/>
                        <w:color w:val="000000" w:themeColor="text1"/>
                        <w:szCs w:val="40"/>
                      </w:rPr>
                      <w:t>10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F2C12">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F2C12">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ABD352" w14:textId="77777777" w:rsidR="00E05022" w:rsidRDefault="00E05022" w:rsidP="00117666">
      <w:pPr>
        <w:spacing w:after="0"/>
      </w:pPr>
      <w:r>
        <w:separator/>
      </w:r>
    </w:p>
  </w:footnote>
  <w:footnote w:type="continuationSeparator" w:id="0">
    <w:p w14:paraId="037E0DC1" w14:textId="77777777" w:rsidR="00E05022" w:rsidRDefault="00E05022"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995F6A" w:rsidRDefault="0093429D"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105FD9"/>
    <w:rsid w:val="00117666"/>
    <w:rsid w:val="00140BE7"/>
    <w:rsid w:val="001549D3"/>
    <w:rsid w:val="00160065"/>
    <w:rsid w:val="00177D84"/>
    <w:rsid w:val="002350CE"/>
    <w:rsid w:val="00240840"/>
    <w:rsid w:val="00267D18"/>
    <w:rsid w:val="00274347"/>
    <w:rsid w:val="002868E2"/>
    <w:rsid w:val="002869C3"/>
    <w:rsid w:val="002936E4"/>
    <w:rsid w:val="00296EFF"/>
    <w:rsid w:val="002B4A57"/>
    <w:rsid w:val="002C74CA"/>
    <w:rsid w:val="002F3C5A"/>
    <w:rsid w:val="003123F4"/>
    <w:rsid w:val="00341E2E"/>
    <w:rsid w:val="003544FB"/>
    <w:rsid w:val="003D2F2D"/>
    <w:rsid w:val="00401590"/>
    <w:rsid w:val="00447801"/>
    <w:rsid w:val="00452E9C"/>
    <w:rsid w:val="004735C8"/>
    <w:rsid w:val="004947A6"/>
    <w:rsid w:val="004961FF"/>
    <w:rsid w:val="004D01BC"/>
    <w:rsid w:val="004F71F0"/>
    <w:rsid w:val="00517A89"/>
    <w:rsid w:val="005250F2"/>
    <w:rsid w:val="00593EEA"/>
    <w:rsid w:val="005A5EEE"/>
    <w:rsid w:val="005B1D20"/>
    <w:rsid w:val="00613147"/>
    <w:rsid w:val="006375C7"/>
    <w:rsid w:val="00654E8F"/>
    <w:rsid w:val="00660D05"/>
    <w:rsid w:val="0067732C"/>
    <w:rsid w:val="006820B1"/>
    <w:rsid w:val="00696474"/>
    <w:rsid w:val="006B7D14"/>
    <w:rsid w:val="006F1287"/>
    <w:rsid w:val="006F2C12"/>
    <w:rsid w:val="00701727"/>
    <w:rsid w:val="0070566C"/>
    <w:rsid w:val="00714C50"/>
    <w:rsid w:val="00725A7D"/>
    <w:rsid w:val="007501BE"/>
    <w:rsid w:val="00790BB3"/>
    <w:rsid w:val="007C206C"/>
    <w:rsid w:val="007C4B6C"/>
    <w:rsid w:val="00817DD6"/>
    <w:rsid w:val="0083759F"/>
    <w:rsid w:val="008601BC"/>
    <w:rsid w:val="00877EB9"/>
    <w:rsid w:val="00885156"/>
    <w:rsid w:val="009151AA"/>
    <w:rsid w:val="0093429D"/>
    <w:rsid w:val="00943573"/>
    <w:rsid w:val="00964134"/>
    <w:rsid w:val="00970F7D"/>
    <w:rsid w:val="00994A3D"/>
    <w:rsid w:val="00997654"/>
    <w:rsid w:val="009C2B12"/>
    <w:rsid w:val="009E6EDE"/>
    <w:rsid w:val="00A174D9"/>
    <w:rsid w:val="00A30A47"/>
    <w:rsid w:val="00AA3982"/>
    <w:rsid w:val="00AA4D24"/>
    <w:rsid w:val="00AB6715"/>
    <w:rsid w:val="00B1671E"/>
    <w:rsid w:val="00B1744A"/>
    <w:rsid w:val="00B25EB8"/>
    <w:rsid w:val="00B37F4D"/>
    <w:rsid w:val="00B76CC1"/>
    <w:rsid w:val="00BA7387"/>
    <w:rsid w:val="00BA7B2E"/>
    <w:rsid w:val="00C048D7"/>
    <w:rsid w:val="00C47809"/>
    <w:rsid w:val="00C52A7B"/>
    <w:rsid w:val="00C56BAF"/>
    <w:rsid w:val="00C679AA"/>
    <w:rsid w:val="00C75972"/>
    <w:rsid w:val="00CD066B"/>
    <w:rsid w:val="00CE4FEE"/>
    <w:rsid w:val="00D060CF"/>
    <w:rsid w:val="00D833F2"/>
    <w:rsid w:val="00DB59C3"/>
    <w:rsid w:val="00DC259A"/>
    <w:rsid w:val="00DE23E8"/>
    <w:rsid w:val="00E05022"/>
    <w:rsid w:val="00E32F74"/>
    <w:rsid w:val="00E52377"/>
    <w:rsid w:val="00E537AD"/>
    <w:rsid w:val="00E64E17"/>
    <w:rsid w:val="00E866C9"/>
    <w:rsid w:val="00EA3D3C"/>
    <w:rsid w:val="00EB47B9"/>
    <w:rsid w:val="00EC090A"/>
    <w:rsid w:val="00ED20B5"/>
    <w:rsid w:val="00F42B8D"/>
    <w:rsid w:val="00F46900"/>
    <w:rsid w:val="00F61D89"/>
    <w:rsid w:val="00F66D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AB6715"/>
    <w:rPr>
      <w:rFonts w:ascii="Times New Roman" w:eastAsia="Cambria" w:hAnsi="Times New Roman" w:cs="Times New Roman"/>
      <w:b/>
      <w:sz w:val="24"/>
      <w:szCs w:val="24"/>
    </w:rPr>
  </w:style>
  <w:style w:type="character" w:customStyle="1" w:styleId="2Char">
    <w:name w:val="标题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副标题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批注框文本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批注文字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批注主题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尾注文本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页脚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脚注文本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页眉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标题 3 Char"/>
    <w:basedOn w:val="a1"/>
    <w:link w:val="3"/>
    <w:uiPriority w:val="2"/>
    <w:rsid w:val="00AB6715"/>
    <w:rPr>
      <w:rFonts w:ascii="Times New Roman" w:eastAsiaTheme="majorEastAsia" w:hAnsi="Times New Roman" w:cstheme="majorBidi"/>
      <w:b/>
      <w:sz w:val="24"/>
      <w:szCs w:val="24"/>
    </w:rPr>
  </w:style>
  <w:style w:type="character" w:customStyle="1" w:styleId="4Char">
    <w:name w:val="标题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引用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标题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 w:type="paragraph" w:customStyle="1" w:styleId="Footnotes">
    <w:name w:val="Footnotes"/>
    <w:basedOn w:val="a0"/>
    <w:qFormat/>
    <w:rsid w:val="00EB47B9"/>
    <w:pPr>
      <w:spacing w:after="0" w:line="360" w:lineRule="auto"/>
      <w:ind w:left="482" w:hanging="482"/>
      <w:contextualSpacing/>
    </w:pPr>
    <w:rPr>
      <w:rFonts w:cs="Times New Roman"/>
      <w:sz w:val="22"/>
      <w:szCs w:val="24"/>
      <w:lang w:val="en-GB" w:eastAsia="en-GB"/>
    </w:rPr>
  </w:style>
  <w:style w:type="paragraph" w:customStyle="1" w:styleId="Tabletitle">
    <w:name w:val="Table title"/>
    <w:basedOn w:val="a0"/>
    <w:next w:val="a0"/>
    <w:qFormat/>
    <w:rsid w:val="00BA7B2E"/>
    <w:pPr>
      <w:spacing w:before="240" w:after="0" w:line="360" w:lineRule="auto"/>
    </w:pPr>
    <w:rPr>
      <w:rFonts w:cs="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104A732-024B-4B86-B44E-DF1022359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195</TotalTime>
  <Pages>12</Pages>
  <Words>1292</Words>
  <Characters>7365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Microsoft account</cp:lastModifiedBy>
  <cp:revision>20</cp:revision>
  <cp:lastPrinted>2013-10-03T12:51:00Z</cp:lastPrinted>
  <dcterms:created xsi:type="dcterms:W3CDTF">2018-11-23T08:58:00Z</dcterms:created>
  <dcterms:modified xsi:type="dcterms:W3CDTF">2022-10-30T09:12:00Z</dcterms:modified>
</cp:coreProperties>
</file>