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F7" w:rsidRDefault="006111F7" w:rsidP="006111F7">
      <w:pPr>
        <w:spacing w:before="156"/>
      </w:pPr>
      <w:r>
        <w:t>Supplementary figure legends</w:t>
      </w:r>
    </w:p>
    <w:p w:rsidR="006111F7" w:rsidRDefault="006111F7" w:rsidP="006111F7">
      <w:pPr>
        <w:spacing w:before="156"/>
      </w:pPr>
      <w:r>
        <w:t>Figure S1. De-batching effects from the GEO dataset. A: Before de-batching. B: After de-batching.</w:t>
      </w:r>
    </w:p>
    <w:p w:rsidR="006111F7" w:rsidRDefault="006111F7" w:rsidP="006111F7">
      <w:pPr>
        <w:spacing w:before="156"/>
      </w:pPr>
      <w:r>
        <w:t>Figure S2. GO/KEGG enrichment analysis. A: BP annotation map of Macrophage Score positively related genes. B: CC annotation map of Macrophage Score positively related genes. C: MF annotation of Macrophage Score positively associated genes. D: KEGG annotation of Macrophage Score positively associated genes.</w:t>
      </w:r>
    </w:p>
    <w:p w:rsidR="006111F7" w:rsidRDefault="006111F7" w:rsidP="006111F7">
      <w:pPr>
        <w:spacing w:before="156"/>
      </w:pPr>
      <w:r>
        <w:t xml:space="preserve">Figure S3. A: </w:t>
      </w:r>
      <w:proofErr w:type="spellStart"/>
      <w:r>
        <w:t>Univariate</w:t>
      </w:r>
      <w:proofErr w:type="spellEnd"/>
      <w:r>
        <w:t xml:space="preserve"> analysis of Macrophage Score positively associated genes significantly associated with prognosis; B: Pearson correlation analysis between 65 prognosis-associated genes.</w:t>
      </w:r>
    </w:p>
    <w:p w:rsidR="006111F7" w:rsidRDefault="006111F7" w:rsidP="006111F7">
      <w:pPr>
        <w:spacing w:before="156"/>
      </w:pPr>
      <w:r>
        <w:t>Figure S4. Heat map of the expression clusters of 65 macrophage-related prognostic genes in different isoforms.</w:t>
      </w:r>
    </w:p>
    <w:p w:rsidR="006111F7" w:rsidRDefault="006111F7" w:rsidP="006111F7">
      <w:pPr>
        <w:spacing w:before="156"/>
      </w:pPr>
      <w:r>
        <w:t>Figure S5. Differences in clinical variable characteristics distribution throughout subtypes. A: Survival status characteristics of molecular subtypes of the TCGA cohort; B: Age characteristics of molecular subtypes of the TCGA cohort; C: Gender characteristics of molecular subtypes of the TCGA cohort; D: T Stage characteristics of molecular subtypes of the TCGA cohort; E: N Stage characteristics of molecular subtypes of the TCGA cohort. F: M Stage characteristics of molecular subtypes of the TCGA cohort; G: Stage characteristics of molecular subtypes of the TCGA cohort. (The lower half was the proportion and the upper half was the statistical significance of the difference between the two distributions-log10 (p-value).</w:t>
      </w:r>
    </w:p>
    <w:p w:rsidR="006111F7" w:rsidRDefault="006111F7" w:rsidP="006111F7">
      <w:pPr>
        <w:spacing w:before="156"/>
      </w:pPr>
      <w:r>
        <w:t xml:space="preserve">Figure S6. Construction of the </w:t>
      </w:r>
      <w:proofErr w:type="spellStart"/>
      <w:r>
        <w:t>RiskScore</w:t>
      </w:r>
      <w:proofErr w:type="spellEnd"/>
      <w:r>
        <w:t xml:space="preserve"> prognostic model. A: A total of promising candidates were identified through the survival analysis of the Macrophage Score related; B: Trajectory of each independent variable with lambda; C: Confidence interval under lambda; D: Distribution of LASSO coefficients of the Macrophage Score related prognostic gene signature; E: Multifactor Cox forest plot of the eight genes in the GEO training set.</w:t>
      </w:r>
    </w:p>
    <w:p w:rsidR="006111F7" w:rsidRDefault="006111F7" w:rsidP="006111F7">
      <w:pPr>
        <w:spacing w:before="156"/>
      </w:pPr>
      <w:r>
        <w:lastRenderedPageBreak/>
        <w:t xml:space="preserve">Figure S7. </w:t>
      </w:r>
      <w:proofErr w:type="spellStart"/>
      <w:r>
        <w:t>RiskScore</w:t>
      </w:r>
      <w:proofErr w:type="spellEnd"/>
      <w:r>
        <w:t xml:space="preserve"> differences within the TCGA cohort's different </w:t>
      </w:r>
      <w:proofErr w:type="spellStart"/>
      <w:r>
        <w:t>clinicopathological</w:t>
      </w:r>
      <w:proofErr w:type="spellEnd"/>
      <w:r>
        <w:t xml:space="preserve"> subtypes.</w:t>
      </w:r>
    </w:p>
    <w:p w:rsidR="006111F7" w:rsidRDefault="006111F7" w:rsidP="006111F7">
      <w:pPr>
        <w:spacing w:before="156"/>
      </w:pPr>
      <w:r>
        <w:t xml:space="preserve">Figure S8. TCGA cohort survival KM curves for different </w:t>
      </w:r>
      <w:proofErr w:type="spellStart"/>
      <w:r>
        <w:t>clinicopathological</w:t>
      </w:r>
      <w:proofErr w:type="spellEnd"/>
      <w:r>
        <w:t xml:space="preserve"> subtypes.</w:t>
      </w:r>
    </w:p>
    <w:p w:rsidR="00B4687D" w:rsidRDefault="006111F7" w:rsidP="006111F7">
      <w:pPr>
        <w:spacing w:before="156"/>
      </w:pPr>
      <w:r>
        <w:t xml:space="preserve">Figure S9. Relationship between </w:t>
      </w:r>
      <w:proofErr w:type="spellStart"/>
      <w:r>
        <w:t>RiskScore</w:t>
      </w:r>
      <w:proofErr w:type="spellEnd"/>
      <w:r>
        <w:t xml:space="preserve"> and different immune cells and pathways. A: Correlation between 28 </w:t>
      </w:r>
      <w:proofErr w:type="spellStart"/>
      <w:r>
        <w:t>ssGSEA</w:t>
      </w:r>
      <w:proofErr w:type="spellEnd"/>
      <w:r>
        <w:t xml:space="preserve"> immune cell scores and </w:t>
      </w:r>
      <w:proofErr w:type="spellStart"/>
      <w:r>
        <w:t>RiskScore</w:t>
      </w:r>
      <w:proofErr w:type="spellEnd"/>
      <w:r>
        <w:t xml:space="preserve">. B: Results of correlation analysis between TCGA data and KEGG pathways with a correlation greater than 0.5 with </w:t>
      </w:r>
      <w:proofErr w:type="spellStart"/>
      <w:r>
        <w:t>RiskScore</w:t>
      </w:r>
      <w:proofErr w:type="spellEnd"/>
      <w:r>
        <w:t>.</w:t>
      </w:r>
      <w:bookmarkStart w:id="0" w:name="_GoBack"/>
      <w:bookmarkEnd w:id="0"/>
    </w:p>
    <w:sectPr w:rsidR="00B4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6F"/>
    <w:rsid w:val="000C4594"/>
    <w:rsid w:val="001D5969"/>
    <w:rsid w:val="001E65AC"/>
    <w:rsid w:val="00422406"/>
    <w:rsid w:val="00606EB9"/>
    <w:rsid w:val="006111F7"/>
    <w:rsid w:val="00A3310A"/>
    <w:rsid w:val="00AA228D"/>
    <w:rsid w:val="00C862C3"/>
    <w:rsid w:val="00CC0A53"/>
    <w:rsid w:val="00F7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29CB7-865E-4374-A9D0-2AD5203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AC"/>
    <w:pPr>
      <w:widowControl w:val="0"/>
      <w:spacing w:beforeLines="50" w:before="50" w:line="36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5AC"/>
    <w:pPr>
      <w:keepNext/>
      <w:keepLines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5AC"/>
    <w:pPr>
      <w:keepNext/>
      <w:keepLines/>
      <w:outlineLvl w:val="2"/>
    </w:pPr>
    <w:rPr>
      <w:bCs/>
      <w:i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E65AC"/>
    <w:rPr>
      <w:rFonts w:ascii="Times New Roman" w:eastAsiaTheme="majorEastAsia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5AC"/>
    <w:rPr>
      <w:rFonts w:ascii="Times New Roman" w:hAnsi="Times New Roman"/>
      <w:bCs/>
      <w:i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2022-07-18T05:42:00Z</dcterms:created>
  <dcterms:modified xsi:type="dcterms:W3CDTF">2022-07-18T05:42:00Z</dcterms:modified>
</cp:coreProperties>
</file>