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4479" w14:textId="79602803" w:rsidR="00813CD7" w:rsidRPr="00396588" w:rsidRDefault="00813CD7" w:rsidP="00813CD7">
      <w:pPr>
        <w:rPr>
          <w:rFonts w:cstheme="minorHAnsi"/>
          <w:b/>
          <w:bCs/>
          <w:szCs w:val="24"/>
        </w:rPr>
      </w:pPr>
      <w:r w:rsidRPr="00396588">
        <w:rPr>
          <w:rFonts w:cstheme="minorHAnsi"/>
          <w:szCs w:val="24"/>
        </w:rPr>
        <w:t xml:space="preserve">Table </w:t>
      </w:r>
      <w:r>
        <w:rPr>
          <w:rFonts w:cstheme="minorHAnsi"/>
          <w:szCs w:val="24"/>
        </w:rPr>
        <w:t>A1</w:t>
      </w:r>
      <w:r w:rsidRPr="00396588">
        <w:rPr>
          <w:rFonts w:cstheme="minorHAnsi"/>
          <w:szCs w:val="24"/>
        </w:rPr>
        <w:t xml:space="preserve"> – Waiting periods before the Member </w:t>
      </w:r>
      <w:r>
        <w:rPr>
          <w:rFonts w:cstheme="minorHAnsi"/>
          <w:szCs w:val="24"/>
        </w:rPr>
        <w:t>can</w:t>
      </w:r>
      <w:r w:rsidRPr="00396588">
        <w:rPr>
          <w:rFonts w:cstheme="minorHAnsi"/>
          <w:szCs w:val="24"/>
        </w:rPr>
        <w:t xml:space="preserve"> apply for recovery of FMD-free status, based on the strategy(s) implemented in the country or zone according to the different editions of the FMD Chapter of the </w:t>
      </w:r>
      <w:r w:rsidRPr="00396588">
        <w:rPr>
          <w:rFonts w:cstheme="minorHAnsi"/>
          <w:i/>
          <w:iCs/>
          <w:szCs w:val="24"/>
        </w:rPr>
        <w:t>Terrestrial Code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2194"/>
        <w:gridCol w:w="1033"/>
        <w:gridCol w:w="1029"/>
        <w:gridCol w:w="1128"/>
        <w:gridCol w:w="1128"/>
        <w:gridCol w:w="1123"/>
      </w:tblGrid>
      <w:tr w:rsidR="00813CD7" w:rsidRPr="00396588" w14:paraId="791B289C" w14:textId="77777777" w:rsidTr="00736764">
        <w:trPr>
          <w:trHeight w:val="432"/>
        </w:trPr>
        <w:tc>
          <w:tcPr>
            <w:tcW w:w="770" w:type="pct"/>
            <w:vMerge w:val="restart"/>
            <w:vAlign w:val="center"/>
          </w:tcPr>
          <w:p w14:paraId="37F4C0CE" w14:textId="77777777" w:rsidR="00813CD7" w:rsidRPr="00396588" w:rsidRDefault="00813CD7" w:rsidP="00736764">
            <w:pPr>
              <w:pStyle w:val="NoSpacing"/>
              <w:jc w:val="center"/>
              <w:rPr>
                <w:rFonts w:asciiTheme="minorHAnsi" w:hAnsiTheme="minorHAnsi" w:cstheme="minorHAnsi"/>
                <w:b/>
                <w:bCs/>
                <w:sz w:val="20"/>
                <w:szCs w:val="20"/>
              </w:rPr>
            </w:pPr>
            <w:bookmarkStart w:id="0" w:name="_Hlk41313053"/>
            <w:r w:rsidRPr="00396588">
              <w:rPr>
                <w:rFonts w:asciiTheme="minorHAnsi" w:hAnsiTheme="minorHAnsi" w:cstheme="minorHAnsi"/>
                <w:b/>
                <w:bCs/>
                <w:sz w:val="20"/>
                <w:szCs w:val="20"/>
              </w:rPr>
              <w:t>Official FMD-free status</w:t>
            </w:r>
          </w:p>
        </w:tc>
        <w:tc>
          <w:tcPr>
            <w:tcW w:w="1215" w:type="pct"/>
            <w:vMerge w:val="restart"/>
            <w:vAlign w:val="center"/>
          </w:tcPr>
          <w:p w14:paraId="4395796D" w14:textId="77777777" w:rsidR="00813CD7" w:rsidRPr="00396588" w:rsidRDefault="00813CD7" w:rsidP="00736764">
            <w:pPr>
              <w:pStyle w:val="NoSpacing"/>
              <w:jc w:val="center"/>
              <w:rPr>
                <w:rFonts w:asciiTheme="minorHAnsi" w:hAnsiTheme="minorHAnsi" w:cstheme="minorHAnsi"/>
                <w:b/>
                <w:bCs/>
                <w:sz w:val="20"/>
                <w:szCs w:val="20"/>
                <w:lang w:val="en-US"/>
              </w:rPr>
            </w:pPr>
            <w:r w:rsidRPr="00396588">
              <w:rPr>
                <w:rFonts w:asciiTheme="minorHAnsi" w:hAnsiTheme="minorHAnsi" w:cstheme="minorHAnsi"/>
                <w:b/>
                <w:bCs/>
                <w:sz w:val="20"/>
                <w:szCs w:val="20"/>
                <w:lang w:val="en-US"/>
              </w:rPr>
              <w:t>Strategy(s) implemented to control the FMD outbreak</w:t>
            </w:r>
          </w:p>
        </w:tc>
        <w:tc>
          <w:tcPr>
            <w:tcW w:w="3014" w:type="pct"/>
            <w:gridSpan w:val="5"/>
            <w:tcBorders>
              <w:bottom w:val="single" w:sz="4" w:space="0" w:color="auto"/>
            </w:tcBorders>
            <w:vAlign w:val="center"/>
          </w:tcPr>
          <w:p w14:paraId="5860153A" w14:textId="77777777" w:rsidR="00813CD7" w:rsidRPr="00396588" w:rsidRDefault="00813CD7" w:rsidP="00736764">
            <w:pPr>
              <w:pStyle w:val="NoSpacing"/>
              <w:jc w:val="center"/>
              <w:rPr>
                <w:rFonts w:asciiTheme="minorHAnsi" w:hAnsiTheme="minorHAnsi" w:cstheme="minorHAnsi"/>
                <w:b/>
                <w:bCs/>
                <w:sz w:val="20"/>
                <w:szCs w:val="20"/>
                <w:vertAlign w:val="superscript"/>
                <w:lang w:val="en-US"/>
              </w:rPr>
            </w:pPr>
            <w:r w:rsidRPr="00396588">
              <w:rPr>
                <w:rFonts w:asciiTheme="minorHAnsi" w:hAnsiTheme="minorHAnsi" w:cstheme="minorHAnsi"/>
                <w:b/>
                <w:bCs/>
                <w:sz w:val="20"/>
                <w:szCs w:val="20"/>
                <w:lang w:val="en-US"/>
              </w:rPr>
              <w:t xml:space="preserve">Waiting period (in months) in the FMD Chapter of the </w:t>
            </w:r>
            <w:r w:rsidRPr="00396588">
              <w:rPr>
                <w:rFonts w:asciiTheme="minorHAnsi" w:hAnsiTheme="minorHAnsi" w:cstheme="minorHAnsi"/>
                <w:b/>
                <w:bCs/>
                <w:i/>
                <w:iCs/>
                <w:sz w:val="20"/>
                <w:szCs w:val="20"/>
                <w:lang w:val="en-US"/>
              </w:rPr>
              <w:t>Terrestrial Code</w:t>
            </w:r>
          </w:p>
        </w:tc>
      </w:tr>
      <w:tr w:rsidR="00813CD7" w:rsidRPr="00396588" w14:paraId="37F3B542" w14:textId="77777777" w:rsidTr="00736764">
        <w:trPr>
          <w:trHeight w:val="432"/>
        </w:trPr>
        <w:tc>
          <w:tcPr>
            <w:tcW w:w="770" w:type="pct"/>
            <w:vMerge/>
            <w:tcBorders>
              <w:bottom w:val="single" w:sz="4" w:space="0" w:color="auto"/>
            </w:tcBorders>
            <w:vAlign w:val="center"/>
          </w:tcPr>
          <w:p w14:paraId="21F1E102" w14:textId="77777777" w:rsidR="00813CD7" w:rsidRPr="00396588" w:rsidRDefault="00813CD7" w:rsidP="00736764">
            <w:pPr>
              <w:pStyle w:val="NoSpacing"/>
              <w:jc w:val="center"/>
              <w:rPr>
                <w:rFonts w:asciiTheme="minorHAnsi" w:hAnsiTheme="minorHAnsi" w:cstheme="minorHAnsi"/>
                <w:b/>
                <w:bCs/>
                <w:sz w:val="20"/>
                <w:szCs w:val="20"/>
                <w:lang w:val="en-US"/>
              </w:rPr>
            </w:pPr>
          </w:p>
        </w:tc>
        <w:tc>
          <w:tcPr>
            <w:tcW w:w="1215" w:type="pct"/>
            <w:vMerge/>
            <w:tcBorders>
              <w:bottom w:val="single" w:sz="4" w:space="0" w:color="auto"/>
            </w:tcBorders>
            <w:vAlign w:val="center"/>
          </w:tcPr>
          <w:p w14:paraId="5751D8C6" w14:textId="77777777" w:rsidR="00813CD7" w:rsidRPr="00396588" w:rsidRDefault="00813CD7" w:rsidP="00736764">
            <w:pPr>
              <w:pStyle w:val="NoSpacing"/>
              <w:jc w:val="center"/>
              <w:rPr>
                <w:rFonts w:asciiTheme="minorHAnsi" w:hAnsiTheme="minorHAnsi" w:cstheme="minorHAnsi"/>
                <w:b/>
                <w:bCs/>
                <w:sz w:val="20"/>
                <w:szCs w:val="20"/>
                <w:lang w:val="en-US"/>
              </w:rPr>
            </w:pPr>
          </w:p>
        </w:tc>
        <w:tc>
          <w:tcPr>
            <w:tcW w:w="572" w:type="pct"/>
            <w:tcBorders>
              <w:top w:val="single" w:sz="4" w:space="0" w:color="auto"/>
              <w:bottom w:val="single" w:sz="4" w:space="0" w:color="auto"/>
            </w:tcBorders>
            <w:vAlign w:val="center"/>
          </w:tcPr>
          <w:p w14:paraId="79F615F8" w14:textId="77777777" w:rsidR="00813CD7" w:rsidRPr="00396588" w:rsidRDefault="00813CD7" w:rsidP="00736764">
            <w:pPr>
              <w:pStyle w:val="NoSpacing"/>
              <w:jc w:val="center"/>
              <w:rPr>
                <w:rFonts w:asciiTheme="minorHAnsi" w:hAnsiTheme="minorHAnsi" w:cstheme="minorHAnsi"/>
                <w:b/>
                <w:bCs/>
                <w:sz w:val="20"/>
                <w:szCs w:val="20"/>
              </w:rPr>
            </w:pPr>
            <w:r w:rsidRPr="00396588">
              <w:rPr>
                <w:rFonts w:asciiTheme="minorHAnsi" w:hAnsiTheme="minorHAnsi" w:cstheme="minorHAnsi"/>
                <w:b/>
                <w:bCs/>
                <w:sz w:val="20"/>
                <w:szCs w:val="20"/>
              </w:rPr>
              <w:t>1996-2001</w:t>
            </w:r>
          </w:p>
        </w:tc>
        <w:tc>
          <w:tcPr>
            <w:tcW w:w="570" w:type="pct"/>
            <w:tcBorders>
              <w:top w:val="single" w:sz="4" w:space="0" w:color="auto"/>
              <w:bottom w:val="single" w:sz="4" w:space="0" w:color="auto"/>
            </w:tcBorders>
            <w:vAlign w:val="center"/>
          </w:tcPr>
          <w:p w14:paraId="70B5B677" w14:textId="77777777" w:rsidR="00813CD7" w:rsidRPr="00396588" w:rsidRDefault="00813CD7" w:rsidP="00736764">
            <w:pPr>
              <w:pStyle w:val="NoSpacing"/>
              <w:jc w:val="center"/>
              <w:rPr>
                <w:rFonts w:asciiTheme="minorHAnsi" w:hAnsiTheme="minorHAnsi" w:cstheme="minorHAnsi"/>
                <w:b/>
                <w:bCs/>
                <w:sz w:val="20"/>
                <w:szCs w:val="20"/>
              </w:rPr>
            </w:pPr>
            <w:r w:rsidRPr="00396588">
              <w:rPr>
                <w:rFonts w:asciiTheme="minorHAnsi" w:hAnsiTheme="minorHAnsi" w:cstheme="minorHAnsi"/>
                <w:b/>
                <w:bCs/>
                <w:sz w:val="20"/>
                <w:szCs w:val="20"/>
              </w:rPr>
              <w:t>2002</w:t>
            </w:r>
          </w:p>
        </w:tc>
        <w:tc>
          <w:tcPr>
            <w:tcW w:w="625" w:type="pct"/>
            <w:tcBorders>
              <w:top w:val="single" w:sz="4" w:space="0" w:color="auto"/>
              <w:bottom w:val="single" w:sz="4" w:space="0" w:color="auto"/>
            </w:tcBorders>
            <w:vAlign w:val="center"/>
          </w:tcPr>
          <w:p w14:paraId="0625D850" w14:textId="77777777" w:rsidR="00813CD7" w:rsidRPr="00396588" w:rsidRDefault="00813CD7" w:rsidP="00736764">
            <w:pPr>
              <w:pStyle w:val="NoSpacing"/>
              <w:jc w:val="center"/>
              <w:rPr>
                <w:rFonts w:asciiTheme="minorHAnsi" w:hAnsiTheme="minorHAnsi" w:cstheme="minorHAnsi"/>
                <w:b/>
                <w:bCs/>
                <w:sz w:val="20"/>
                <w:szCs w:val="20"/>
              </w:rPr>
            </w:pPr>
            <w:r w:rsidRPr="00396588">
              <w:rPr>
                <w:rFonts w:asciiTheme="minorHAnsi" w:hAnsiTheme="minorHAnsi" w:cstheme="minorHAnsi"/>
                <w:b/>
                <w:bCs/>
                <w:sz w:val="20"/>
                <w:szCs w:val="20"/>
              </w:rPr>
              <w:t>2003-2004</w:t>
            </w:r>
          </w:p>
        </w:tc>
        <w:tc>
          <w:tcPr>
            <w:tcW w:w="625" w:type="pct"/>
            <w:tcBorders>
              <w:top w:val="single" w:sz="4" w:space="0" w:color="auto"/>
              <w:bottom w:val="single" w:sz="4" w:space="0" w:color="auto"/>
            </w:tcBorders>
            <w:vAlign w:val="center"/>
          </w:tcPr>
          <w:p w14:paraId="74E829E2" w14:textId="77777777" w:rsidR="00813CD7" w:rsidRPr="00396588" w:rsidRDefault="00813CD7" w:rsidP="00736764">
            <w:pPr>
              <w:pStyle w:val="NoSpacing"/>
              <w:jc w:val="center"/>
              <w:rPr>
                <w:rFonts w:asciiTheme="minorHAnsi" w:hAnsiTheme="minorHAnsi" w:cstheme="minorHAnsi"/>
                <w:b/>
                <w:bCs/>
                <w:sz w:val="20"/>
                <w:szCs w:val="20"/>
              </w:rPr>
            </w:pPr>
            <w:r w:rsidRPr="00396588">
              <w:rPr>
                <w:rFonts w:asciiTheme="minorHAnsi" w:hAnsiTheme="minorHAnsi" w:cstheme="minorHAnsi"/>
                <w:b/>
                <w:bCs/>
                <w:sz w:val="20"/>
                <w:szCs w:val="20"/>
              </w:rPr>
              <w:t>2005-2014</w:t>
            </w:r>
          </w:p>
        </w:tc>
        <w:tc>
          <w:tcPr>
            <w:tcW w:w="621" w:type="pct"/>
            <w:tcBorders>
              <w:top w:val="single" w:sz="4" w:space="0" w:color="auto"/>
              <w:bottom w:val="single" w:sz="4" w:space="0" w:color="auto"/>
            </w:tcBorders>
            <w:vAlign w:val="center"/>
          </w:tcPr>
          <w:p w14:paraId="099BC57B" w14:textId="77777777" w:rsidR="00813CD7" w:rsidRPr="00396588" w:rsidRDefault="00813CD7" w:rsidP="00736764">
            <w:pPr>
              <w:pStyle w:val="NoSpacing"/>
              <w:jc w:val="center"/>
              <w:rPr>
                <w:rFonts w:asciiTheme="minorHAnsi" w:hAnsiTheme="minorHAnsi" w:cstheme="minorHAnsi"/>
                <w:b/>
                <w:bCs/>
                <w:sz w:val="20"/>
                <w:szCs w:val="20"/>
              </w:rPr>
            </w:pPr>
            <w:r w:rsidRPr="00396588">
              <w:rPr>
                <w:rFonts w:asciiTheme="minorHAnsi" w:hAnsiTheme="minorHAnsi" w:cstheme="minorHAnsi"/>
                <w:b/>
                <w:bCs/>
                <w:sz w:val="20"/>
                <w:szCs w:val="20"/>
              </w:rPr>
              <w:t>2015-202</w:t>
            </w:r>
            <w:r>
              <w:rPr>
                <w:rFonts w:asciiTheme="minorHAnsi" w:hAnsiTheme="minorHAnsi" w:cstheme="minorHAnsi"/>
                <w:b/>
                <w:bCs/>
                <w:sz w:val="20"/>
                <w:szCs w:val="20"/>
              </w:rPr>
              <w:t>2</w:t>
            </w:r>
          </w:p>
        </w:tc>
      </w:tr>
      <w:tr w:rsidR="00813CD7" w:rsidRPr="00396588" w14:paraId="27E32B8D" w14:textId="77777777" w:rsidTr="00736764">
        <w:trPr>
          <w:trHeight w:val="432"/>
        </w:trPr>
        <w:tc>
          <w:tcPr>
            <w:tcW w:w="770" w:type="pct"/>
            <w:vMerge w:val="restart"/>
            <w:tcBorders>
              <w:top w:val="single" w:sz="4" w:space="0" w:color="auto"/>
            </w:tcBorders>
            <w:vAlign w:val="center"/>
          </w:tcPr>
          <w:p w14:paraId="1B7D79F3" w14:textId="77777777" w:rsidR="00813CD7" w:rsidRPr="00396588" w:rsidRDefault="00813CD7" w:rsidP="00736764">
            <w:pPr>
              <w:pStyle w:val="NoSpacing"/>
              <w:rPr>
                <w:rFonts w:asciiTheme="minorHAnsi" w:hAnsiTheme="minorHAnsi" w:cstheme="minorHAnsi"/>
                <w:b/>
                <w:bCs/>
                <w:sz w:val="20"/>
                <w:szCs w:val="20"/>
              </w:rPr>
            </w:pPr>
            <w:r w:rsidRPr="00396588">
              <w:rPr>
                <w:rFonts w:asciiTheme="minorHAnsi" w:hAnsiTheme="minorHAnsi" w:cstheme="minorHAnsi"/>
                <w:b/>
                <w:bCs/>
                <w:sz w:val="20"/>
                <w:szCs w:val="20"/>
              </w:rPr>
              <w:t>Without vaccination</w:t>
            </w:r>
          </w:p>
        </w:tc>
        <w:tc>
          <w:tcPr>
            <w:tcW w:w="1215" w:type="pct"/>
            <w:tcBorders>
              <w:top w:val="single" w:sz="4" w:space="0" w:color="auto"/>
              <w:bottom w:val="single" w:sz="4" w:space="0" w:color="A6A6A6" w:themeColor="background1" w:themeShade="A6"/>
            </w:tcBorders>
            <w:vAlign w:val="center"/>
          </w:tcPr>
          <w:p w14:paraId="37BC1201"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Stamping-out</w:t>
            </w:r>
          </w:p>
        </w:tc>
        <w:tc>
          <w:tcPr>
            <w:tcW w:w="572" w:type="pct"/>
            <w:tcBorders>
              <w:top w:val="single" w:sz="4" w:space="0" w:color="auto"/>
              <w:bottom w:val="single" w:sz="4" w:space="0" w:color="A6A6A6" w:themeColor="background1" w:themeShade="A6"/>
            </w:tcBorders>
            <w:vAlign w:val="center"/>
          </w:tcPr>
          <w:p w14:paraId="450B8914"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570" w:type="pct"/>
            <w:tcBorders>
              <w:top w:val="single" w:sz="4" w:space="0" w:color="auto"/>
              <w:bottom w:val="single" w:sz="4" w:space="0" w:color="A6A6A6" w:themeColor="background1" w:themeShade="A6"/>
            </w:tcBorders>
            <w:vAlign w:val="center"/>
          </w:tcPr>
          <w:p w14:paraId="6696A080"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5" w:type="pct"/>
            <w:tcBorders>
              <w:top w:val="single" w:sz="4" w:space="0" w:color="auto"/>
              <w:bottom w:val="single" w:sz="4" w:space="0" w:color="A6A6A6" w:themeColor="background1" w:themeShade="A6"/>
            </w:tcBorders>
            <w:vAlign w:val="center"/>
          </w:tcPr>
          <w:p w14:paraId="3B983F58"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5" w:type="pct"/>
            <w:tcBorders>
              <w:top w:val="single" w:sz="4" w:space="0" w:color="auto"/>
              <w:bottom w:val="single" w:sz="4" w:space="0" w:color="A6A6A6" w:themeColor="background1" w:themeShade="A6"/>
            </w:tcBorders>
            <w:vAlign w:val="center"/>
          </w:tcPr>
          <w:p w14:paraId="5AC2DB93"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1" w:type="pct"/>
            <w:tcBorders>
              <w:top w:val="single" w:sz="4" w:space="0" w:color="auto"/>
              <w:bottom w:val="single" w:sz="4" w:space="0" w:color="A6A6A6" w:themeColor="background1" w:themeShade="A6"/>
            </w:tcBorders>
            <w:vAlign w:val="center"/>
          </w:tcPr>
          <w:p w14:paraId="006E709F"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r>
      <w:tr w:rsidR="00813CD7" w:rsidRPr="00396588" w14:paraId="1700C7D2" w14:textId="77777777" w:rsidTr="00736764">
        <w:trPr>
          <w:trHeight w:val="432"/>
        </w:trPr>
        <w:tc>
          <w:tcPr>
            <w:tcW w:w="770" w:type="pct"/>
            <w:vMerge/>
            <w:vAlign w:val="center"/>
          </w:tcPr>
          <w:p w14:paraId="510A8502"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1B9D7954"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Stamping-out + emergency vaccination</w:t>
            </w:r>
          </w:p>
        </w:tc>
        <w:tc>
          <w:tcPr>
            <w:tcW w:w="572" w:type="pct"/>
            <w:tcBorders>
              <w:top w:val="single" w:sz="4" w:space="0" w:color="A6A6A6" w:themeColor="background1" w:themeShade="A6"/>
              <w:bottom w:val="single" w:sz="4" w:space="0" w:color="A6A6A6" w:themeColor="background1" w:themeShade="A6"/>
            </w:tcBorders>
            <w:vAlign w:val="center"/>
          </w:tcPr>
          <w:p w14:paraId="0344545A"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570" w:type="pct"/>
            <w:tcBorders>
              <w:top w:val="single" w:sz="4" w:space="0" w:color="A6A6A6" w:themeColor="background1" w:themeShade="A6"/>
              <w:bottom w:val="single" w:sz="4" w:space="0" w:color="A6A6A6" w:themeColor="background1" w:themeShade="A6"/>
            </w:tcBorders>
            <w:vAlign w:val="center"/>
          </w:tcPr>
          <w:p w14:paraId="6F64A316"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02D16B26"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3708476E" w14:textId="77777777" w:rsidR="00813CD7" w:rsidRPr="00396588" w:rsidRDefault="00813CD7" w:rsidP="00736764">
            <w:pPr>
              <w:pStyle w:val="NoSpacing"/>
              <w:jc w:val="center"/>
              <w:rPr>
                <w:rFonts w:asciiTheme="minorHAnsi" w:hAnsiTheme="minorHAnsi" w:cstheme="minorHAnsi"/>
                <w:sz w:val="20"/>
                <w:szCs w:val="20"/>
              </w:rPr>
            </w:pPr>
          </w:p>
        </w:tc>
        <w:tc>
          <w:tcPr>
            <w:tcW w:w="621" w:type="pct"/>
            <w:tcBorders>
              <w:top w:val="single" w:sz="4" w:space="0" w:color="A6A6A6" w:themeColor="background1" w:themeShade="A6"/>
              <w:bottom w:val="single" w:sz="4" w:space="0" w:color="A6A6A6" w:themeColor="background1" w:themeShade="A6"/>
            </w:tcBorders>
            <w:vAlign w:val="center"/>
          </w:tcPr>
          <w:p w14:paraId="53A90A66" w14:textId="77777777" w:rsidR="00813CD7" w:rsidRPr="00396588" w:rsidRDefault="00813CD7" w:rsidP="00736764">
            <w:pPr>
              <w:pStyle w:val="NoSpacing"/>
              <w:jc w:val="center"/>
              <w:rPr>
                <w:rFonts w:asciiTheme="minorHAnsi" w:hAnsiTheme="minorHAnsi" w:cstheme="minorHAnsi"/>
                <w:sz w:val="20"/>
                <w:szCs w:val="20"/>
              </w:rPr>
            </w:pPr>
          </w:p>
        </w:tc>
      </w:tr>
      <w:tr w:rsidR="00813CD7" w:rsidRPr="00396588" w14:paraId="706BD28E" w14:textId="77777777" w:rsidTr="00736764">
        <w:trPr>
          <w:trHeight w:val="432"/>
        </w:trPr>
        <w:tc>
          <w:tcPr>
            <w:tcW w:w="770" w:type="pct"/>
            <w:vMerge/>
            <w:vAlign w:val="center"/>
          </w:tcPr>
          <w:p w14:paraId="13FE71D3"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2361576A" w14:textId="77777777" w:rsidR="00813CD7" w:rsidRPr="00396588" w:rsidRDefault="00813CD7" w:rsidP="00736764">
            <w:pPr>
              <w:pStyle w:val="NoSpacing"/>
              <w:rPr>
                <w:rFonts w:asciiTheme="minorHAnsi" w:hAnsiTheme="minorHAnsi" w:cstheme="minorHAnsi"/>
                <w:sz w:val="20"/>
                <w:szCs w:val="20"/>
                <w:lang w:val="en-US"/>
              </w:rPr>
            </w:pPr>
            <w:r w:rsidRPr="00396588">
              <w:rPr>
                <w:rFonts w:asciiTheme="minorHAnsi" w:hAnsiTheme="minorHAnsi" w:cstheme="minorHAnsi"/>
                <w:sz w:val="20"/>
                <w:szCs w:val="20"/>
                <w:lang w:val="en-US"/>
              </w:rPr>
              <w:t>Stamping-out + emergency vaccination to kill</w:t>
            </w:r>
          </w:p>
        </w:tc>
        <w:tc>
          <w:tcPr>
            <w:tcW w:w="572" w:type="pct"/>
            <w:tcBorders>
              <w:top w:val="single" w:sz="4" w:space="0" w:color="A6A6A6" w:themeColor="background1" w:themeShade="A6"/>
              <w:bottom w:val="single" w:sz="4" w:space="0" w:color="A6A6A6" w:themeColor="background1" w:themeShade="A6"/>
            </w:tcBorders>
            <w:vAlign w:val="center"/>
          </w:tcPr>
          <w:p w14:paraId="686333FB" w14:textId="77777777" w:rsidR="00813CD7" w:rsidRPr="00396588" w:rsidRDefault="00813CD7" w:rsidP="00736764">
            <w:pPr>
              <w:pStyle w:val="NoSpacing"/>
              <w:jc w:val="center"/>
              <w:rPr>
                <w:rFonts w:asciiTheme="minorHAnsi" w:hAnsiTheme="minorHAnsi" w:cstheme="minorHAnsi"/>
                <w:sz w:val="20"/>
                <w:szCs w:val="20"/>
                <w:lang w:val="en-US"/>
              </w:rPr>
            </w:pPr>
          </w:p>
        </w:tc>
        <w:tc>
          <w:tcPr>
            <w:tcW w:w="570" w:type="pct"/>
            <w:tcBorders>
              <w:top w:val="single" w:sz="4" w:space="0" w:color="A6A6A6" w:themeColor="background1" w:themeShade="A6"/>
              <w:bottom w:val="single" w:sz="4" w:space="0" w:color="A6A6A6" w:themeColor="background1" w:themeShade="A6"/>
            </w:tcBorders>
            <w:vAlign w:val="center"/>
          </w:tcPr>
          <w:p w14:paraId="40CE000C"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5" w:type="pct"/>
            <w:tcBorders>
              <w:top w:val="single" w:sz="4" w:space="0" w:color="A6A6A6" w:themeColor="background1" w:themeShade="A6"/>
              <w:bottom w:val="single" w:sz="4" w:space="0" w:color="A6A6A6" w:themeColor="background1" w:themeShade="A6"/>
            </w:tcBorders>
            <w:vAlign w:val="center"/>
          </w:tcPr>
          <w:p w14:paraId="39E49A5C"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5" w:type="pct"/>
            <w:tcBorders>
              <w:top w:val="single" w:sz="4" w:space="0" w:color="A6A6A6" w:themeColor="background1" w:themeShade="A6"/>
              <w:bottom w:val="single" w:sz="4" w:space="0" w:color="A6A6A6" w:themeColor="background1" w:themeShade="A6"/>
            </w:tcBorders>
            <w:vAlign w:val="center"/>
          </w:tcPr>
          <w:p w14:paraId="120298A3"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c>
          <w:tcPr>
            <w:tcW w:w="621" w:type="pct"/>
            <w:tcBorders>
              <w:top w:val="single" w:sz="4" w:space="0" w:color="A6A6A6" w:themeColor="background1" w:themeShade="A6"/>
              <w:bottom w:val="single" w:sz="4" w:space="0" w:color="A6A6A6" w:themeColor="background1" w:themeShade="A6"/>
            </w:tcBorders>
            <w:vAlign w:val="center"/>
          </w:tcPr>
          <w:p w14:paraId="08A65732"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3</w:t>
            </w:r>
          </w:p>
        </w:tc>
      </w:tr>
      <w:tr w:rsidR="00813CD7" w:rsidRPr="00396588" w14:paraId="5FAAC4A7" w14:textId="77777777" w:rsidTr="00736764">
        <w:trPr>
          <w:trHeight w:val="432"/>
        </w:trPr>
        <w:tc>
          <w:tcPr>
            <w:tcW w:w="770" w:type="pct"/>
            <w:vMerge/>
            <w:vAlign w:val="center"/>
          </w:tcPr>
          <w:p w14:paraId="73799708"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1AA3FB14" w14:textId="77777777" w:rsidR="00813CD7" w:rsidRPr="00396588" w:rsidRDefault="00813CD7" w:rsidP="00736764">
            <w:pPr>
              <w:pStyle w:val="NoSpacing"/>
              <w:rPr>
                <w:rFonts w:asciiTheme="minorHAnsi" w:hAnsiTheme="minorHAnsi" w:cstheme="minorHAnsi"/>
                <w:sz w:val="20"/>
                <w:szCs w:val="20"/>
                <w:lang w:val="en-US"/>
              </w:rPr>
            </w:pPr>
            <w:r w:rsidRPr="00396588">
              <w:rPr>
                <w:rFonts w:asciiTheme="minorHAnsi" w:hAnsiTheme="minorHAnsi" w:cstheme="minorHAnsi"/>
                <w:sz w:val="20"/>
                <w:szCs w:val="20"/>
                <w:lang w:val="en-US"/>
              </w:rPr>
              <w:t>Stamping-out + emergency vaccination to live</w:t>
            </w:r>
          </w:p>
        </w:tc>
        <w:tc>
          <w:tcPr>
            <w:tcW w:w="572" w:type="pct"/>
            <w:tcBorders>
              <w:top w:val="single" w:sz="4" w:space="0" w:color="A6A6A6" w:themeColor="background1" w:themeShade="A6"/>
              <w:bottom w:val="single" w:sz="4" w:space="0" w:color="A6A6A6" w:themeColor="background1" w:themeShade="A6"/>
            </w:tcBorders>
            <w:vAlign w:val="center"/>
          </w:tcPr>
          <w:p w14:paraId="1FE3FAC5" w14:textId="77777777" w:rsidR="00813CD7" w:rsidRPr="00396588" w:rsidRDefault="00813CD7" w:rsidP="00736764">
            <w:pPr>
              <w:pStyle w:val="NoSpacing"/>
              <w:jc w:val="center"/>
              <w:rPr>
                <w:rFonts w:asciiTheme="minorHAnsi" w:hAnsiTheme="minorHAnsi" w:cstheme="minorHAnsi"/>
                <w:sz w:val="20"/>
                <w:szCs w:val="20"/>
                <w:lang w:val="en-US"/>
              </w:rPr>
            </w:pPr>
          </w:p>
        </w:tc>
        <w:tc>
          <w:tcPr>
            <w:tcW w:w="570" w:type="pct"/>
            <w:tcBorders>
              <w:top w:val="single" w:sz="4" w:space="0" w:color="A6A6A6" w:themeColor="background1" w:themeShade="A6"/>
              <w:bottom w:val="single" w:sz="4" w:space="0" w:color="A6A6A6" w:themeColor="background1" w:themeShade="A6"/>
            </w:tcBorders>
            <w:vAlign w:val="center"/>
          </w:tcPr>
          <w:p w14:paraId="08181C81"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5" w:type="pct"/>
            <w:tcBorders>
              <w:top w:val="single" w:sz="4" w:space="0" w:color="A6A6A6" w:themeColor="background1" w:themeShade="A6"/>
              <w:bottom w:val="single" w:sz="4" w:space="0" w:color="A6A6A6" w:themeColor="background1" w:themeShade="A6"/>
            </w:tcBorders>
            <w:vAlign w:val="center"/>
          </w:tcPr>
          <w:p w14:paraId="200A388A"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5" w:type="pct"/>
            <w:tcBorders>
              <w:top w:val="single" w:sz="4" w:space="0" w:color="A6A6A6" w:themeColor="background1" w:themeShade="A6"/>
              <w:bottom w:val="single" w:sz="4" w:space="0" w:color="A6A6A6" w:themeColor="background1" w:themeShade="A6"/>
            </w:tcBorders>
            <w:vAlign w:val="center"/>
          </w:tcPr>
          <w:p w14:paraId="4327B809"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1" w:type="pct"/>
            <w:tcBorders>
              <w:top w:val="single" w:sz="4" w:space="0" w:color="A6A6A6" w:themeColor="background1" w:themeShade="A6"/>
              <w:bottom w:val="single" w:sz="4" w:space="0" w:color="A6A6A6" w:themeColor="background1" w:themeShade="A6"/>
            </w:tcBorders>
            <w:vAlign w:val="center"/>
          </w:tcPr>
          <w:p w14:paraId="65CC0A0F"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r>
      <w:tr w:rsidR="00813CD7" w:rsidRPr="00396588" w14:paraId="1E8732B2" w14:textId="77777777" w:rsidTr="00736764">
        <w:trPr>
          <w:trHeight w:val="432"/>
        </w:trPr>
        <w:tc>
          <w:tcPr>
            <w:tcW w:w="770" w:type="pct"/>
            <w:vMerge/>
            <w:vAlign w:val="center"/>
          </w:tcPr>
          <w:p w14:paraId="35472764"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05BEF050"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No stamping-out</w:t>
            </w:r>
          </w:p>
        </w:tc>
        <w:tc>
          <w:tcPr>
            <w:tcW w:w="572" w:type="pct"/>
            <w:tcBorders>
              <w:top w:val="single" w:sz="4" w:space="0" w:color="A6A6A6" w:themeColor="background1" w:themeShade="A6"/>
              <w:bottom w:val="single" w:sz="4" w:space="0" w:color="A6A6A6" w:themeColor="background1" w:themeShade="A6"/>
            </w:tcBorders>
            <w:vAlign w:val="center"/>
          </w:tcPr>
          <w:p w14:paraId="0915DD65" w14:textId="77777777" w:rsidR="00813CD7" w:rsidRPr="00396588" w:rsidRDefault="00813CD7" w:rsidP="00736764">
            <w:pPr>
              <w:pStyle w:val="NoSpacing"/>
              <w:jc w:val="center"/>
              <w:rPr>
                <w:rFonts w:asciiTheme="minorHAnsi" w:hAnsiTheme="minorHAnsi" w:cstheme="minorHAnsi"/>
                <w:sz w:val="20"/>
                <w:szCs w:val="20"/>
              </w:rPr>
            </w:pPr>
          </w:p>
        </w:tc>
        <w:tc>
          <w:tcPr>
            <w:tcW w:w="570" w:type="pct"/>
            <w:tcBorders>
              <w:top w:val="single" w:sz="4" w:space="0" w:color="A6A6A6" w:themeColor="background1" w:themeShade="A6"/>
              <w:bottom w:val="single" w:sz="4" w:space="0" w:color="A6A6A6" w:themeColor="background1" w:themeShade="A6"/>
            </w:tcBorders>
            <w:vAlign w:val="center"/>
          </w:tcPr>
          <w:p w14:paraId="26DB253D"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40305BD1"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1A3F45C8"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p>
        </w:tc>
        <w:tc>
          <w:tcPr>
            <w:tcW w:w="621" w:type="pct"/>
            <w:tcBorders>
              <w:top w:val="single" w:sz="4" w:space="0" w:color="A6A6A6" w:themeColor="background1" w:themeShade="A6"/>
              <w:bottom w:val="single" w:sz="4" w:space="0" w:color="A6A6A6" w:themeColor="background1" w:themeShade="A6"/>
            </w:tcBorders>
            <w:vAlign w:val="center"/>
          </w:tcPr>
          <w:p w14:paraId="0864CFDE"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p>
        </w:tc>
      </w:tr>
      <w:tr w:rsidR="00813CD7" w:rsidRPr="00396588" w14:paraId="29EE597F" w14:textId="77777777" w:rsidTr="00736764">
        <w:trPr>
          <w:trHeight w:val="432"/>
        </w:trPr>
        <w:tc>
          <w:tcPr>
            <w:tcW w:w="770" w:type="pct"/>
            <w:vMerge/>
            <w:tcBorders>
              <w:bottom w:val="single" w:sz="4" w:space="0" w:color="auto"/>
            </w:tcBorders>
            <w:vAlign w:val="center"/>
          </w:tcPr>
          <w:p w14:paraId="43B08F3C"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uto"/>
            </w:tcBorders>
            <w:vAlign w:val="center"/>
          </w:tcPr>
          <w:p w14:paraId="6773CFF4" w14:textId="77777777" w:rsidR="00813CD7" w:rsidRPr="00396588" w:rsidRDefault="00813CD7" w:rsidP="00736764">
            <w:pPr>
              <w:pStyle w:val="NoSpacing"/>
              <w:rPr>
                <w:rFonts w:asciiTheme="minorHAnsi" w:hAnsiTheme="minorHAnsi" w:cstheme="minorHAnsi"/>
                <w:sz w:val="20"/>
                <w:szCs w:val="20"/>
                <w:lang w:val="en-US"/>
              </w:rPr>
            </w:pPr>
            <w:r w:rsidRPr="00396588">
              <w:rPr>
                <w:rFonts w:asciiTheme="minorHAnsi" w:hAnsiTheme="minorHAnsi" w:cstheme="minorHAnsi"/>
                <w:sz w:val="20"/>
                <w:szCs w:val="20"/>
                <w:lang w:val="en-US"/>
              </w:rPr>
              <w:t>Gain FMD-free status with vaccination</w:t>
            </w:r>
            <w:r w:rsidRPr="00396588">
              <w:rPr>
                <w:rFonts w:asciiTheme="minorHAnsi" w:hAnsiTheme="minorHAnsi" w:cstheme="minorHAnsi"/>
                <w:sz w:val="20"/>
                <w:szCs w:val="20"/>
                <w:vertAlign w:val="superscript"/>
                <w:lang w:val="en-US"/>
              </w:rPr>
              <w:t>1</w:t>
            </w:r>
          </w:p>
        </w:tc>
        <w:tc>
          <w:tcPr>
            <w:tcW w:w="572" w:type="pct"/>
            <w:tcBorders>
              <w:top w:val="single" w:sz="4" w:space="0" w:color="A6A6A6" w:themeColor="background1" w:themeShade="A6"/>
              <w:bottom w:val="single" w:sz="4" w:space="0" w:color="auto"/>
            </w:tcBorders>
            <w:vAlign w:val="center"/>
          </w:tcPr>
          <w:p w14:paraId="60FDB7B4" w14:textId="77777777" w:rsidR="00813CD7" w:rsidRPr="00396588" w:rsidRDefault="00813CD7" w:rsidP="00736764">
            <w:pPr>
              <w:pStyle w:val="NoSpacing"/>
              <w:jc w:val="center"/>
              <w:rPr>
                <w:rFonts w:asciiTheme="minorHAnsi" w:hAnsiTheme="minorHAnsi" w:cstheme="minorHAnsi"/>
                <w:sz w:val="20"/>
                <w:szCs w:val="20"/>
                <w:lang w:val="en-US"/>
              </w:rPr>
            </w:pPr>
          </w:p>
        </w:tc>
        <w:tc>
          <w:tcPr>
            <w:tcW w:w="570" w:type="pct"/>
            <w:tcBorders>
              <w:top w:val="single" w:sz="4" w:space="0" w:color="A6A6A6" w:themeColor="background1" w:themeShade="A6"/>
              <w:bottom w:val="single" w:sz="4" w:space="0" w:color="auto"/>
            </w:tcBorders>
            <w:vAlign w:val="center"/>
          </w:tcPr>
          <w:p w14:paraId="007D5C18"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5" w:type="pct"/>
            <w:tcBorders>
              <w:top w:val="single" w:sz="4" w:space="0" w:color="A6A6A6" w:themeColor="background1" w:themeShade="A6"/>
              <w:bottom w:val="single" w:sz="4" w:space="0" w:color="auto"/>
            </w:tcBorders>
            <w:vAlign w:val="center"/>
          </w:tcPr>
          <w:p w14:paraId="6442C72E"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5" w:type="pct"/>
            <w:tcBorders>
              <w:top w:val="single" w:sz="4" w:space="0" w:color="A6A6A6" w:themeColor="background1" w:themeShade="A6"/>
              <w:bottom w:val="single" w:sz="4" w:space="0" w:color="auto"/>
            </w:tcBorders>
            <w:vAlign w:val="center"/>
          </w:tcPr>
          <w:p w14:paraId="70E00DF8"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1" w:type="pct"/>
            <w:tcBorders>
              <w:top w:val="single" w:sz="4" w:space="0" w:color="A6A6A6" w:themeColor="background1" w:themeShade="A6"/>
              <w:bottom w:val="single" w:sz="4" w:space="0" w:color="auto"/>
            </w:tcBorders>
            <w:vAlign w:val="center"/>
          </w:tcPr>
          <w:p w14:paraId="5E84DBBA"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r>
      <w:tr w:rsidR="00813CD7" w:rsidRPr="00396588" w14:paraId="703C905D" w14:textId="77777777" w:rsidTr="00736764">
        <w:trPr>
          <w:trHeight w:val="432"/>
        </w:trPr>
        <w:tc>
          <w:tcPr>
            <w:tcW w:w="770" w:type="pct"/>
            <w:vMerge w:val="restart"/>
            <w:tcBorders>
              <w:top w:val="single" w:sz="4" w:space="0" w:color="auto"/>
            </w:tcBorders>
            <w:vAlign w:val="center"/>
          </w:tcPr>
          <w:p w14:paraId="37EC1855" w14:textId="77777777" w:rsidR="00813CD7" w:rsidRPr="00396588" w:rsidRDefault="00813CD7" w:rsidP="00736764">
            <w:pPr>
              <w:pStyle w:val="NoSpacing"/>
              <w:rPr>
                <w:rFonts w:asciiTheme="minorHAnsi" w:hAnsiTheme="minorHAnsi" w:cstheme="minorHAnsi"/>
                <w:b/>
                <w:bCs/>
                <w:sz w:val="20"/>
                <w:szCs w:val="20"/>
              </w:rPr>
            </w:pPr>
            <w:r w:rsidRPr="00396588">
              <w:rPr>
                <w:rFonts w:asciiTheme="minorHAnsi" w:hAnsiTheme="minorHAnsi" w:cstheme="minorHAnsi"/>
                <w:b/>
                <w:bCs/>
                <w:sz w:val="20"/>
                <w:szCs w:val="20"/>
              </w:rPr>
              <w:t>With vaccination</w:t>
            </w:r>
          </w:p>
        </w:tc>
        <w:tc>
          <w:tcPr>
            <w:tcW w:w="1215" w:type="pct"/>
            <w:tcBorders>
              <w:top w:val="single" w:sz="4" w:space="0" w:color="auto"/>
              <w:bottom w:val="single" w:sz="4" w:space="0" w:color="A6A6A6" w:themeColor="background1" w:themeShade="A6"/>
            </w:tcBorders>
            <w:vAlign w:val="center"/>
          </w:tcPr>
          <w:p w14:paraId="776E3B62"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Stamping-out</w:t>
            </w:r>
          </w:p>
        </w:tc>
        <w:tc>
          <w:tcPr>
            <w:tcW w:w="572" w:type="pct"/>
            <w:tcBorders>
              <w:top w:val="single" w:sz="4" w:space="0" w:color="auto"/>
              <w:bottom w:val="single" w:sz="4" w:space="0" w:color="A6A6A6" w:themeColor="background1" w:themeShade="A6"/>
            </w:tcBorders>
            <w:vAlign w:val="center"/>
          </w:tcPr>
          <w:p w14:paraId="5AE91BE1"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p>
        </w:tc>
        <w:tc>
          <w:tcPr>
            <w:tcW w:w="570" w:type="pct"/>
            <w:tcBorders>
              <w:top w:val="single" w:sz="4" w:space="0" w:color="auto"/>
              <w:bottom w:val="single" w:sz="4" w:space="0" w:color="A6A6A6" w:themeColor="background1" w:themeShade="A6"/>
            </w:tcBorders>
            <w:vAlign w:val="center"/>
          </w:tcPr>
          <w:p w14:paraId="3BDF7B8D"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p>
        </w:tc>
        <w:tc>
          <w:tcPr>
            <w:tcW w:w="625" w:type="pct"/>
            <w:tcBorders>
              <w:top w:val="single" w:sz="4" w:space="0" w:color="auto"/>
              <w:bottom w:val="single" w:sz="4" w:space="0" w:color="A6A6A6" w:themeColor="background1" w:themeShade="A6"/>
            </w:tcBorders>
            <w:vAlign w:val="center"/>
          </w:tcPr>
          <w:p w14:paraId="0793B0E2"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r w:rsidRPr="00396588">
              <w:rPr>
                <w:rFonts w:asciiTheme="minorHAnsi" w:hAnsiTheme="minorHAnsi" w:cstheme="minorHAnsi"/>
                <w:sz w:val="20"/>
                <w:szCs w:val="20"/>
                <w:vertAlign w:val="superscript"/>
              </w:rPr>
              <w:t>3</w:t>
            </w:r>
          </w:p>
        </w:tc>
        <w:tc>
          <w:tcPr>
            <w:tcW w:w="625" w:type="pct"/>
            <w:tcBorders>
              <w:top w:val="single" w:sz="4" w:space="0" w:color="auto"/>
              <w:bottom w:val="single" w:sz="4" w:space="0" w:color="A6A6A6" w:themeColor="background1" w:themeShade="A6"/>
            </w:tcBorders>
            <w:vAlign w:val="center"/>
          </w:tcPr>
          <w:p w14:paraId="47F58DB7" w14:textId="77777777" w:rsidR="00813CD7" w:rsidRPr="00396588" w:rsidRDefault="00813CD7" w:rsidP="00736764">
            <w:pPr>
              <w:pStyle w:val="NoSpacing"/>
              <w:jc w:val="center"/>
              <w:rPr>
                <w:rFonts w:asciiTheme="minorHAnsi" w:hAnsiTheme="minorHAnsi" w:cstheme="minorHAnsi"/>
                <w:sz w:val="20"/>
                <w:szCs w:val="20"/>
              </w:rPr>
            </w:pPr>
          </w:p>
        </w:tc>
        <w:tc>
          <w:tcPr>
            <w:tcW w:w="621" w:type="pct"/>
            <w:tcBorders>
              <w:top w:val="single" w:sz="4" w:space="0" w:color="auto"/>
              <w:bottom w:val="single" w:sz="4" w:space="0" w:color="A6A6A6" w:themeColor="background1" w:themeShade="A6"/>
            </w:tcBorders>
            <w:vAlign w:val="center"/>
          </w:tcPr>
          <w:p w14:paraId="324A877D" w14:textId="77777777" w:rsidR="00813CD7" w:rsidRPr="00396588" w:rsidRDefault="00813CD7" w:rsidP="00736764">
            <w:pPr>
              <w:pStyle w:val="NoSpacing"/>
              <w:jc w:val="center"/>
              <w:rPr>
                <w:rFonts w:asciiTheme="minorHAnsi" w:hAnsiTheme="minorHAnsi" w:cstheme="minorHAnsi"/>
                <w:sz w:val="20"/>
                <w:szCs w:val="20"/>
              </w:rPr>
            </w:pPr>
          </w:p>
        </w:tc>
      </w:tr>
      <w:tr w:rsidR="00813CD7" w:rsidRPr="00396588" w14:paraId="6ADCBFD7" w14:textId="77777777" w:rsidTr="00736764">
        <w:trPr>
          <w:trHeight w:val="432"/>
        </w:trPr>
        <w:tc>
          <w:tcPr>
            <w:tcW w:w="770" w:type="pct"/>
            <w:vMerge/>
            <w:vAlign w:val="center"/>
          </w:tcPr>
          <w:p w14:paraId="5E7B2456"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352DEE74"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No stamping-out</w:t>
            </w:r>
          </w:p>
        </w:tc>
        <w:tc>
          <w:tcPr>
            <w:tcW w:w="572" w:type="pct"/>
            <w:tcBorders>
              <w:top w:val="single" w:sz="4" w:space="0" w:color="A6A6A6" w:themeColor="background1" w:themeShade="A6"/>
              <w:bottom w:val="single" w:sz="4" w:space="0" w:color="A6A6A6" w:themeColor="background1" w:themeShade="A6"/>
            </w:tcBorders>
            <w:vAlign w:val="center"/>
          </w:tcPr>
          <w:p w14:paraId="3E21B19B"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24</w:t>
            </w:r>
          </w:p>
        </w:tc>
        <w:tc>
          <w:tcPr>
            <w:tcW w:w="570" w:type="pct"/>
            <w:tcBorders>
              <w:top w:val="single" w:sz="4" w:space="0" w:color="A6A6A6" w:themeColor="background1" w:themeShade="A6"/>
              <w:bottom w:val="single" w:sz="4" w:space="0" w:color="A6A6A6" w:themeColor="background1" w:themeShade="A6"/>
            </w:tcBorders>
            <w:vAlign w:val="center"/>
          </w:tcPr>
          <w:p w14:paraId="2DA75C81"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08948880"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45453C7D" w14:textId="77777777" w:rsidR="00813CD7" w:rsidRPr="00396588" w:rsidRDefault="00813CD7" w:rsidP="00736764">
            <w:pPr>
              <w:pStyle w:val="NoSpacing"/>
              <w:jc w:val="center"/>
              <w:rPr>
                <w:rFonts w:asciiTheme="minorHAnsi" w:hAnsiTheme="minorHAnsi" w:cstheme="minorHAnsi"/>
                <w:sz w:val="20"/>
                <w:szCs w:val="20"/>
              </w:rPr>
            </w:pPr>
          </w:p>
        </w:tc>
        <w:tc>
          <w:tcPr>
            <w:tcW w:w="621" w:type="pct"/>
            <w:tcBorders>
              <w:top w:val="single" w:sz="4" w:space="0" w:color="A6A6A6" w:themeColor="background1" w:themeShade="A6"/>
              <w:bottom w:val="single" w:sz="4" w:space="0" w:color="A6A6A6" w:themeColor="background1" w:themeShade="A6"/>
            </w:tcBorders>
            <w:vAlign w:val="center"/>
          </w:tcPr>
          <w:p w14:paraId="0C2E64C6" w14:textId="77777777" w:rsidR="00813CD7" w:rsidRPr="00396588" w:rsidRDefault="00813CD7" w:rsidP="00736764">
            <w:pPr>
              <w:pStyle w:val="NoSpacing"/>
              <w:jc w:val="center"/>
              <w:rPr>
                <w:rFonts w:asciiTheme="minorHAnsi" w:hAnsiTheme="minorHAnsi" w:cstheme="minorHAnsi"/>
                <w:sz w:val="20"/>
                <w:szCs w:val="20"/>
              </w:rPr>
            </w:pPr>
          </w:p>
        </w:tc>
      </w:tr>
      <w:tr w:rsidR="00813CD7" w:rsidRPr="00396588" w14:paraId="1D9C5B46" w14:textId="77777777" w:rsidTr="00736764">
        <w:trPr>
          <w:trHeight w:val="432"/>
        </w:trPr>
        <w:tc>
          <w:tcPr>
            <w:tcW w:w="770" w:type="pct"/>
            <w:vMerge/>
            <w:vAlign w:val="center"/>
          </w:tcPr>
          <w:p w14:paraId="31B898FC"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11D1DB62"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Emergency vaccination</w:t>
            </w:r>
          </w:p>
        </w:tc>
        <w:tc>
          <w:tcPr>
            <w:tcW w:w="572" w:type="pct"/>
            <w:tcBorders>
              <w:top w:val="single" w:sz="4" w:space="0" w:color="A6A6A6" w:themeColor="background1" w:themeShade="A6"/>
              <w:bottom w:val="single" w:sz="4" w:space="0" w:color="A6A6A6" w:themeColor="background1" w:themeShade="A6"/>
            </w:tcBorders>
            <w:vAlign w:val="center"/>
          </w:tcPr>
          <w:p w14:paraId="3AD9FE4B" w14:textId="77777777" w:rsidR="00813CD7" w:rsidRPr="00396588" w:rsidRDefault="00813CD7" w:rsidP="00736764">
            <w:pPr>
              <w:pStyle w:val="NoSpacing"/>
              <w:jc w:val="center"/>
              <w:rPr>
                <w:rFonts w:asciiTheme="minorHAnsi" w:hAnsiTheme="minorHAnsi" w:cstheme="minorHAnsi"/>
                <w:sz w:val="20"/>
                <w:szCs w:val="20"/>
              </w:rPr>
            </w:pPr>
          </w:p>
        </w:tc>
        <w:tc>
          <w:tcPr>
            <w:tcW w:w="570" w:type="pct"/>
            <w:tcBorders>
              <w:top w:val="single" w:sz="4" w:space="0" w:color="A6A6A6" w:themeColor="background1" w:themeShade="A6"/>
              <w:bottom w:val="single" w:sz="4" w:space="0" w:color="A6A6A6" w:themeColor="background1" w:themeShade="A6"/>
            </w:tcBorders>
            <w:vAlign w:val="center"/>
          </w:tcPr>
          <w:p w14:paraId="57FD45DB"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6A6A6" w:themeColor="background1" w:themeShade="A6"/>
              <w:bottom w:val="single" w:sz="4" w:space="0" w:color="A6A6A6" w:themeColor="background1" w:themeShade="A6"/>
            </w:tcBorders>
            <w:vAlign w:val="center"/>
          </w:tcPr>
          <w:p w14:paraId="2A6DCEC2"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18</w:t>
            </w:r>
          </w:p>
        </w:tc>
        <w:tc>
          <w:tcPr>
            <w:tcW w:w="625" w:type="pct"/>
            <w:tcBorders>
              <w:top w:val="single" w:sz="4" w:space="0" w:color="A6A6A6" w:themeColor="background1" w:themeShade="A6"/>
              <w:bottom w:val="single" w:sz="4" w:space="0" w:color="A6A6A6" w:themeColor="background1" w:themeShade="A6"/>
            </w:tcBorders>
            <w:vAlign w:val="center"/>
          </w:tcPr>
          <w:p w14:paraId="51A1A70A"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18</w:t>
            </w:r>
          </w:p>
        </w:tc>
        <w:tc>
          <w:tcPr>
            <w:tcW w:w="621" w:type="pct"/>
            <w:tcBorders>
              <w:top w:val="single" w:sz="4" w:space="0" w:color="A6A6A6" w:themeColor="background1" w:themeShade="A6"/>
              <w:bottom w:val="single" w:sz="4" w:space="0" w:color="A6A6A6" w:themeColor="background1" w:themeShade="A6"/>
            </w:tcBorders>
            <w:vAlign w:val="center"/>
          </w:tcPr>
          <w:p w14:paraId="41921E2C"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12</w:t>
            </w:r>
          </w:p>
        </w:tc>
      </w:tr>
      <w:tr w:rsidR="00813CD7" w:rsidRPr="00396588" w14:paraId="7E1251C3" w14:textId="77777777" w:rsidTr="00736764">
        <w:trPr>
          <w:trHeight w:val="432"/>
        </w:trPr>
        <w:tc>
          <w:tcPr>
            <w:tcW w:w="770" w:type="pct"/>
            <w:vMerge/>
            <w:vAlign w:val="center"/>
          </w:tcPr>
          <w:p w14:paraId="12664561"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6A6A6" w:themeColor="background1" w:themeShade="A6"/>
            </w:tcBorders>
            <w:vAlign w:val="center"/>
          </w:tcPr>
          <w:p w14:paraId="78804F82"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Stamping-out + emergency vaccination</w:t>
            </w:r>
          </w:p>
        </w:tc>
        <w:tc>
          <w:tcPr>
            <w:tcW w:w="572" w:type="pct"/>
            <w:tcBorders>
              <w:top w:val="single" w:sz="4" w:space="0" w:color="A6A6A6" w:themeColor="background1" w:themeShade="A6"/>
              <w:bottom w:val="single" w:sz="4" w:space="0" w:color="A6A6A6" w:themeColor="background1" w:themeShade="A6"/>
            </w:tcBorders>
            <w:vAlign w:val="center"/>
          </w:tcPr>
          <w:p w14:paraId="6D77340C" w14:textId="77777777" w:rsidR="00813CD7" w:rsidRPr="00396588" w:rsidRDefault="00813CD7" w:rsidP="00736764">
            <w:pPr>
              <w:pStyle w:val="NoSpacing"/>
              <w:jc w:val="center"/>
              <w:rPr>
                <w:rFonts w:asciiTheme="minorHAnsi" w:hAnsiTheme="minorHAnsi" w:cstheme="minorHAnsi"/>
                <w:sz w:val="20"/>
                <w:szCs w:val="20"/>
              </w:rPr>
            </w:pPr>
          </w:p>
        </w:tc>
        <w:tc>
          <w:tcPr>
            <w:tcW w:w="570" w:type="pct"/>
            <w:tcBorders>
              <w:top w:val="single" w:sz="4" w:space="0" w:color="A6A6A6" w:themeColor="background1" w:themeShade="A6"/>
              <w:bottom w:val="single" w:sz="4" w:space="0" w:color="A6A6A6" w:themeColor="background1" w:themeShade="A6"/>
            </w:tcBorders>
            <w:vAlign w:val="center"/>
          </w:tcPr>
          <w:p w14:paraId="11149A16"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5" w:type="pct"/>
            <w:tcBorders>
              <w:top w:val="single" w:sz="4" w:space="0" w:color="A6A6A6" w:themeColor="background1" w:themeShade="A6"/>
              <w:bottom w:val="single" w:sz="4" w:space="0" w:color="A6A6A6" w:themeColor="background1" w:themeShade="A6"/>
            </w:tcBorders>
            <w:vAlign w:val="center"/>
          </w:tcPr>
          <w:p w14:paraId="5E67FCDB"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5" w:type="pct"/>
            <w:tcBorders>
              <w:top w:val="single" w:sz="4" w:space="0" w:color="A6A6A6" w:themeColor="background1" w:themeShade="A6"/>
              <w:bottom w:val="single" w:sz="4" w:space="0" w:color="A6A6A6" w:themeColor="background1" w:themeShade="A6"/>
            </w:tcBorders>
            <w:vAlign w:val="center"/>
          </w:tcPr>
          <w:p w14:paraId="565C469B"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c>
          <w:tcPr>
            <w:tcW w:w="621" w:type="pct"/>
            <w:tcBorders>
              <w:top w:val="single" w:sz="4" w:space="0" w:color="A6A6A6" w:themeColor="background1" w:themeShade="A6"/>
              <w:bottom w:val="single" w:sz="4" w:space="0" w:color="A6A6A6" w:themeColor="background1" w:themeShade="A6"/>
            </w:tcBorders>
            <w:vAlign w:val="center"/>
          </w:tcPr>
          <w:p w14:paraId="2D0D9B7A"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6</w:t>
            </w:r>
          </w:p>
        </w:tc>
      </w:tr>
      <w:tr w:rsidR="00813CD7" w:rsidRPr="00396588" w14:paraId="33B47A47" w14:textId="77777777" w:rsidTr="00736764">
        <w:trPr>
          <w:trHeight w:val="432"/>
        </w:trPr>
        <w:tc>
          <w:tcPr>
            <w:tcW w:w="770" w:type="pct"/>
            <w:vMerge/>
            <w:tcBorders>
              <w:bottom w:val="single" w:sz="4" w:space="0" w:color="auto"/>
            </w:tcBorders>
            <w:vAlign w:val="center"/>
          </w:tcPr>
          <w:p w14:paraId="1FD799C2" w14:textId="77777777" w:rsidR="00813CD7" w:rsidRPr="00396588" w:rsidRDefault="00813CD7" w:rsidP="00736764">
            <w:pPr>
              <w:pStyle w:val="NoSpacing"/>
              <w:rPr>
                <w:rFonts w:asciiTheme="minorHAnsi" w:hAnsiTheme="minorHAnsi" w:cstheme="minorHAnsi"/>
                <w:b/>
                <w:bCs/>
                <w:sz w:val="20"/>
                <w:szCs w:val="20"/>
              </w:rPr>
            </w:pPr>
          </w:p>
        </w:tc>
        <w:tc>
          <w:tcPr>
            <w:tcW w:w="1215" w:type="pct"/>
            <w:tcBorders>
              <w:top w:val="single" w:sz="4" w:space="0" w:color="A6A6A6" w:themeColor="background1" w:themeShade="A6"/>
              <w:bottom w:val="single" w:sz="4" w:space="0" w:color="auto"/>
            </w:tcBorders>
            <w:vAlign w:val="center"/>
          </w:tcPr>
          <w:p w14:paraId="2D325AF4" w14:textId="77777777" w:rsidR="00813CD7" w:rsidRPr="00396588" w:rsidRDefault="00813CD7" w:rsidP="00736764">
            <w:pPr>
              <w:pStyle w:val="NoSpacing"/>
              <w:rPr>
                <w:rFonts w:asciiTheme="minorHAnsi" w:hAnsiTheme="minorHAnsi" w:cstheme="minorHAnsi"/>
                <w:sz w:val="20"/>
                <w:szCs w:val="20"/>
                <w:lang w:val="en-US"/>
              </w:rPr>
            </w:pPr>
            <w:r w:rsidRPr="00396588">
              <w:rPr>
                <w:rFonts w:asciiTheme="minorHAnsi" w:hAnsiTheme="minorHAnsi" w:cstheme="minorHAnsi"/>
                <w:sz w:val="20"/>
                <w:szCs w:val="20"/>
                <w:lang w:val="en-US"/>
              </w:rPr>
              <w:t>No stamping-out and no emergency vaccination</w:t>
            </w:r>
          </w:p>
        </w:tc>
        <w:tc>
          <w:tcPr>
            <w:tcW w:w="572" w:type="pct"/>
            <w:tcBorders>
              <w:top w:val="single" w:sz="4" w:space="0" w:color="A6A6A6" w:themeColor="background1" w:themeShade="A6"/>
              <w:bottom w:val="single" w:sz="4" w:space="0" w:color="auto"/>
            </w:tcBorders>
            <w:vAlign w:val="center"/>
          </w:tcPr>
          <w:p w14:paraId="7FD8144F" w14:textId="77777777" w:rsidR="00813CD7" w:rsidRPr="00396588" w:rsidRDefault="00813CD7" w:rsidP="00736764">
            <w:pPr>
              <w:pStyle w:val="NoSpacing"/>
              <w:jc w:val="center"/>
              <w:rPr>
                <w:rFonts w:asciiTheme="minorHAnsi" w:hAnsiTheme="minorHAnsi" w:cstheme="minorHAnsi"/>
                <w:sz w:val="20"/>
                <w:szCs w:val="20"/>
                <w:lang w:val="en-US"/>
              </w:rPr>
            </w:pPr>
          </w:p>
        </w:tc>
        <w:tc>
          <w:tcPr>
            <w:tcW w:w="570" w:type="pct"/>
            <w:tcBorders>
              <w:top w:val="single" w:sz="4" w:space="0" w:color="A6A6A6" w:themeColor="background1" w:themeShade="A6"/>
              <w:bottom w:val="single" w:sz="4" w:space="0" w:color="auto"/>
            </w:tcBorders>
            <w:vAlign w:val="center"/>
          </w:tcPr>
          <w:p w14:paraId="1F901A74"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5" w:type="pct"/>
            <w:tcBorders>
              <w:top w:val="single" w:sz="4" w:space="0" w:color="A6A6A6" w:themeColor="background1" w:themeShade="A6"/>
              <w:bottom w:val="single" w:sz="4" w:space="0" w:color="auto"/>
            </w:tcBorders>
            <w:vAlign w:val="center"/>
          </w:tcPr>
          <w:p w14:paraId="7653A270"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5" w:type="pct"/>
            <w:tcBorders>
              <w:top w:val="single" w:sz="4" w:space="0" w:color="A6A6A6" w:themeColor="background1" w:themeShade="A6"/>
              <w:bottom w:val="single" w:sz="4" w:space="0" w:color="auto"/>
            </w:tcBorders>
            <w:vAlign w:val="center"/>
          </w:tcPr>
          <w:p w14:paraId="018B9BC7" w14:textId="77777777" w:rsidR="00813CD7" w:rsidRPr="00396588" w:rsidRDefault="00813CD7" w:rsidP="00736764">
            <w:pPr>
              <w:pStyle w:val="NoSpacing"/>
              <w:jc w:val="center"/>
              <w:rPr>
                <w:rFonts w:asciiTheme="minorHAnsi" w:hAnsiTheme="minorHAnsi" w:cstheme="minorHAnsi"/>
                <w:sz w:val="20"/>
                <w:szCs w:val="20"/>
                <w:lang w:val="en-US"/>
              </w:rPr>
            </w:pPr>
          </w:p>
        </w:tc>
        <w:tc>
          <w:tcPr>
            <w:tcW w:w="621" w:type="pct"/>
            <w:tcBorders>
              <w:top w:val="single" w:sz="4" w:space="0" w:color="A6A6A6" w:themeColor="background1" w:themeShade="A6"/>
              <w:bottom w:val="single" w:sz="4" w:space="0" w:color="auto"/>
            </w:tcBorders>
            <w:vAlign w:val="center"/>
          </w:tcPr>
          <w:p w14:paraId="63E3C2C9"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24</w:t>
            </w:r>
          </w:p>
        </w:tc>
      </w:tr>
      <w:tr w:rsidR="00813CD7" w:rsidRPr="00396588" w14:paraId="11842836" w14:textId="77777777" w:rsidTr="00736764">
        <w:trPr>
          <w:trHeight w:val="432"/>
        </w:trPr>
        <w:tc>
          <w:tcPr>
            <w:tcW w:w="770" w:type="pct"/>
            <w:tcBorders>
              <w:top w:val="single" w:sz="4" w:space="0" w:color="auto"/>
            </w:tcBorders>
            <w:vAlign w:val="center"/>
          </w:tcPr>
          <w:p w14:paraId="2DC3D242" w14:textId="77777777" w:rsidR="00813CD7" w:rsidRPr="00396588" w:rsidRDefault="00813CD7" w:rsidP="00736764">
            <w:pPr>
              <w:pStyle w:val="NoSpacing"/>
              <w:rPr>
                <w:rFonts w:asciiTheme="minorHAnsi" w:hAnsiTheme="minorHAnsi" w:cstheme="minorHAnsi"/>
                <w:b/>
                <w:bCs/>
                <w:sz w:val="20"/>
                <w:szCs w:val="20"/>
              </w:rPr>
            </w:pPr>
            <w:r w:rsidRPr="00396588">
              <w:rPr>
                <w:rFonts w:asciiTheme="minorHAnsi" w:hAnsiTheme="minorHAnsi" w:cstheme="minorHAnsi"/>
                <w:b/>
                <w:bCs/>
                <w:sz w:val="20"/>
                <w:szCs w:val="20"/>
              </w:rPr>
              <w:t>Both</w:t>
            </w:r>
            <w:r w:rsidRPr="00396588">
              <w:rPr>
                <w:rFonts w:asciiTheme="minorHAnsi" w:hAnsiTheme="minorHAnsi" w:cstheme="minorHAnsi"/>
                <w:b/>
                <w:bCs/>
                <w:sz w:val="20"/>
                <w:szCs w:val="20"/>
                <w:vertAlign w:val="superscript"/>
              </w:rPr>
              <w:t>2</w:t>
            </w:r>
          </w:p>
        </w:tc>
        <w:tc>
          <w:tcPr>
            <w:tcW w:w="1215" w:type="pct"/>
            <w:tcBorders>
              <w:top w:val="single" w:sz="4" w:space="0" w:color="auto"/>
            </w:tcBorders>
            <w:vAlign w:val="center"/>
          </w:tcPr>
          <w:p w14:paraId="4C65E6FF" w14:textId="77777777" w:rsidR="00813CD7" w:rsidRPr="00396588" w:rsidRDefault="00813CD7" w:rsidP="00736764">
            <w:pPr>
              <w:pStyle w:val="NoSpacing"/>
              <w:rPr>
                <w:rFonts w:asciiTheme="minorHAnsi" w:hAnsiTheme="minorHAnsi" w:cstheme="minorHAnsi"/>
                <w:sz w:val="20"/>
                <w:szCs w:val="20"/>
              </w:rPr>
            </w:pPr>
            <w:r w:rsidRPr="00396588">
              <w:rPr>
                <w:rFonts w:asciiTheme="minorHAnsi" w:hAnsiTheme="minorHAnsi" w:cstheme="minorHAnsi"/>
                <w:sz w:val="20"/>
                <w:szCs w:val="20"/>
              </w:rPr>
              <w:t>Containment zone</w:t>
            </w:r>
          </w:p>
        </w:tc>
        <w:tc>
          <w:tcPr>
            <w:tcW w:w="572" w:type="pct"/>
            <w:tcBorders>
              <w:top w:val="single" w:sz="4" w:space="0" w:color="auto"/>
            </w:tcBorders>
            <w:vAlign w:val="center"/>
          </w:tcPr>
          <w:p w14:paraId="7C5BA73D" w14:textId="77777777" w:rsidR="00813CD7" w:rsidRPr="00396588" w:rsidRDefault="00813CD7" w:rsidP="00736764">
            <w:pPr>
              <w:pStyle w:val="NoSpacing"/>
              <w:jc w:val="center"/>
              <w:rPr>
                <w:rFonts w:asciiTheme="minorHAnsi" w:hAnsiTheme="minorHAnsi" w:cstheme="minorHAnsi"/>
                <w:sz w:val="20"/>
                <w:szCs w:val="20"/>
              </w:rPr>
            </w:pPr>
          </w:p>
        </w:tc>
        <w:tc>
          <w:tcPr>
            <w:tcW w:w="570" w:type="pct"/>
            <w:tcBorders>
              <w:top w:val="single" w:sz="4" w:space="0" w:color="auto"/>
            </w:tcBorders>
            <w:vAlign w:val="center"/>
          </w:tcPr>
          <w:p w14:paraId="632BD0DC"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uto"/>
            </w:tcBorders>
            <w:vAlign w:val="center"/>
          </w:tcPr>
          <w:p w14:paraId="22F871F3" w14:textId="77777777" w:rsidR="00813CD7" w:rsidRPr="00396588" w:rsidRDefault="00813CD7" w:rsidP="00736764">
            <w:pPr>
              <w:pStyle w:val="NoSpacing"/>
              <w:jc w:val="center"/>
              <w:rPr>
                <w:rFonts w:asciiTheme="minorHAnsi" w:hAnsiTheme="minorHAnsi" w:cstheme="minorHAnsi"/>
                <w:sz w:val="20"/>
                <w:szCs w:val="20"/>
              </w:rPr>
            </w:pPr>
          </w:p>
        </w:tc>
        <w:tc>
          <w:tcPr>
            <w:tcW w:w="625" w:type="pct"/>
            <w:tcBorders>
              <w:top w:val="single" w:sz="4" w:space="0" w:color="auto"/>
            </w:tcBorders>
            <w:vAlign w:val="center"/>
          </w:tcPr>
          <w:p w14:paraId="30382B94"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w:t>
            </w:r>
            <w:r w:rsidRPr="00396588">
              <w:rPr>
                <w:rFonts w:asciiTheme="minorHAnsi" w:hAnsiTheme="minorHAnsi" w:cstheme="minorHAnsi"/>
                <w:sz w:val="20"/>
                <w:szCs w:val="20"/>
                <w:vertAlign w:val="superscript"/>
              </w:rPr>
              <w:t>4</w:t>
            </w:r>
          </w:p>
        </w:tc>
        <w:tc>
          <w:tcPr>
            <w:tcW w:w="621" w:type="pct"/>
            <w:tcBorders>
              <w:top w:val="single" w:sz="4" w:space="0" w:color="auto"/>
            </w:tcBorders>
            <w:vAlign w:val="center"/>
          </w:tcPr>
          <w:p w14:paraId="75EC9E5C" w14:textId="77777777" w:rsidR="00813CD7" w:rsidRPr="00396588" w:rsidRDefault="00813CD7" w:rsidP="00736764">
            <w:pPr>
              <w:pStyle w:val="NoSpacing"/>
              <w:jc w:val="center"/>
              <w:rPr>
                <w:rFonts w:asciiTheme="minorHAnsi" w:hAnsiTheme="minorHAnsi" w:cstheme="minorHAnsi"/>
                <w:sz w:val="20"/>
                <w:szCs w:val="20"/>
              </w:rPr>
            </w:pPr>
            <w:r w:rsidRPr="00396588">
              <w:rPr>
                <w:rFonts w:asciiTheme="minorHAnsi" w:hAnsiTheme="minorHAnsi" w:cstheme="minorHAnsi"/>
                <w:sz w:val="20"/>
                <w:szCs w:val="20"/>
              </w:rPr>
              <w:t>1</w:t>
            </w:r>
          </w:p>
        </w:tc>
      </w:tr>
    </w:tbl>
    <w:bookmarkEnd w:id="0"/>
    <w:p w14:paraId="16074B9A" w14:textId="77777777" w:rsidR="00813CD7" w:rsidRPr="00396588" w:rsidRDefault="00813CD7" w:rsidP="00813CD7">
      <w:pPr>
        <w:pStyle w:val="NoSpacing"/>
        <w:rPr>
          <w:rFonts w:asciiTheme="minorHAnsi" w:hAnsiTheme="minorHAnsi" w:cstheme="minorHAnsi"/>
          <w:i/>
          <w:iCs/>
          <w:sz w:val="20"/>
          <w:szCs w:val="18"/>
        </w:rPr>
      </w:pPr>
      <w:r w:rsidRPr="00396588">
        <w:rPr>
          <w:rFonts w:asciiTheme="minorHAnsi" w:hAnsiTheme="minorHAnsi" w:cstheme="minorHAnsi"/>
          <w:sz w:val="20"/>
          <w:szCs w:val="18"/>
          <w:vertAlign w:val="superscript"/>
        </w:rPr>
        <w:t>*</w:t>
      </w:r>
      <w:r w:rsidRPr="00396588">
        <w:rPr>
          <w:rFonts w:asciiTheme="minorHAnsi" w:hAnsiTheme="minorHAnsi" w:cstheme="minorHAnsi"/>
          <w:sz w:val="20"/>
          <w:szCs w:val="18"/>
        </w:rPr>
        <w:t xml:space="preserve"> Blank cells mean that Articles relative to those control strategies were not included in that edition of the </w:t>
      </w:r>
      <w:r w:rsidRPr="00396588">
        <w:rPr>
          <w:rFonts w:asciiTheme="minorHAnsi" w:hAnsiTheme="minorHAnsi" w:cstheme="minorHAnsi"/>
          <w:i/>
          <w:iCs/>
          <w:sz w:val="20"/>
          <w:szCs w:val="18"/>
        </w:rPr>
        <w:t>Terrestrial Code</w:t>
      </w:r>
    </w:p>
    <w:p w14:paraId="30EC1E53" w14:textId="77777777" w:rsidR="00813CD7" w:rsidRPr="00396588" w:rsidRDefault="00813CD7" w:rsidP="00813CD7">
      <w:pPr>
        <w:pStyle w:val="NoSpacing"/>
        <w:rPr>
          <w:rFonts w:asciiTheme="minorHAnsi" w:hAnsiTheme="minorHAnsi" w:cstheme="minorHAnsi"/>
          <w:sz w:val="20"/>
          <w:szCs w:val="18"/>
        </w:rPr>
      </w:pPr>
      <w:r w:rsidRPr="00396588">
        <w:rPr>
          <w:rFonts w:asciiTheme="minorHAnsi" w:hAnsiTheme="minorHAnsi" w:cstheme="minorHAnsi"/>
          <w:sz w:val="20"/>
          <w:szCs w:val="18"/>
          <w:vertAlign w:val="superscript"/>
        </w:rPr>
        <w:t>1</w:t>
      </w:r>
      <w:r w:rsidRPr="00396588">
        <w:rPr>
          <w:rFonts w:asciiTheme="minorHAnsi" w:hAnsiTheme="minorHAnsi" w:cstheme="minorHAnsi"/>
          <w:sz w:val="20"/>
          <w:szCs w:val="18"/>
        </w:rPr>
        <w:t xml:space="preserve"> Where stamping-out has been applied and continues vaccination has been adopted</w:t>
      </w:r>
    </w:p>
    <w:p w14:paraId="6D5425A6" w14:textId="77777777" w:rsidR="00813CD7" w:rsidRPr="00396588" w:rsidRDefault="00813CD7" w:rsidP="00813CD7">
      <w:pPr>
        <w:pStyle w:val="NoSpacing"/>
        <w:rPr>
          <w:rFonts w:asciiTheme="minorHAnsi" w:hAnsiTheme="minorHAnsi" w:cstheme="minorHAnsi"/>
          <w:sz w:val="20"/>
          <w:szCs w:val="18"/>
        </w:rPr>
      </w:pPr>
      <w:r w:rsidRPr="00396588">
        <w:rPr>
          <w:rFonts w:asciiTheme="minorHAnsi" w:hAnsiTheme="minorHAnsi" w:cstheme="minorHAnsi"/>
          <w:sz w:val="20"/>
          <w:szCs w:val="18"/>
          <w:vertAlign w:val="superscript"/>
        </w:rPr>
        <w:t>2</w:t>
      </w:r>
      <w:r w:rsidRPr="00396588">
        <w:rPr>
          <w:rFonts w:asciiTheme="minorHAnsi" w:hAnsiTheme="minorHAnsi" w:cstheme="minorHAnsi"/>
          <w:sz w:val="20"/>
          <w:szCs w:val="18"/>
        </w:rPr>
        <w:t xml:space="preserve"> Applies to FMD-free status with and without vaccination</w:t>
      </w:r>
    </w:p>
    <w:p w14:paraId="503546CB" w14:textId="77777777" w:rsidR="00813CD7" w:rsidRPr="00396588" w:rsidRDefault="00813CD7" w:rsidP="00813CD7">
      <w:pPr>
        <w:pStyle w:val="NoSpacing"/>
        <w:rPr>
          <w:rFonts w:asciiTheme="minorHAnsi" w:hAnsiTheme="minorHAnsi" w:cstheme="minorHAnsi"/>
          <w:sz w:val="20"/>
          <w:szCs w:val="18"/>
        </w:rPr>
      </w:pPr>
      <w:r w:rsidRPr="00396588">
        <w:rPr>
          <w:rFonts w:asciiTheme="minorHAnsi" w:hAnsiTheme="minorHAnsi" w:cstheme="minorHAnsi"/>
          <w:sz w:val="20"/>
          <w:szCs w:val="18"/>
          <w:vertAlign w:val="superscript"/>
        </w:rPr>
        <w:t>3</w:t>
      </w:r>
      <w:r w:rsidRPr="00396588">
        <w:rPr>
          <w:rFonts w:asciiTheme="minorHAnsi" w:hAnsiTheme="minorHAnsi" w:cstheme="minorHAnsi"/>
          <w:sz w:val="20"/>
          <w:szCs w:val="18"/>
        </w:rPr>
        <w:t xml:space="preserve"> Included in the FMD Chapter of the </w:t>
      </w:r>
      <w:r w:rsidRPr="00396588">
        <w:rPr>
          <w:rFonts w:asciiTheme="minorHAnsi" w:hAnsiTheme="minorHAnsi" w:cstheme="minorHAnsi"/>
          <w:i/>
          <w:iCs/>
          <w:sz w:val="20"/>
          <w:szCs w:val="18"/>
        </w:rPr>
        <w:t>Terrestrial Code</w:t>
      </w:r>
      <w:r w:rsidRPr="00396588">
        <w:rPr>
          <w:rFonts w:asciiTheme="minorHAnsi" w:hAnsiTheme="minorHAnsi" w:cstheme="minorHAnsi"/>
          <w:sz w:val="20"/>
          <w:szCs w:val="18"/>
        </w:rPr>
        <w:t xml:space="preserve"> only in 2003</w:t>
      </w:r>
    </w:p>
    <w:p w14:paraId="26E9AC65" w14:textId="77777777" w:rsidR="00813CD7" w:rsidRPr="00396588" w:rsidRDefault="00813CD7" w:rsidP="00813CD7">
      <w:pPr>
        <w:pStyle w:val="NoSpacing"/>
        <w:rPr>
          <w:rFonts w:asciiTheme="minorHAnsi" w:hAnsiTheme="minorHAnsi" w:cstheme="minorHAnsi"/>
          <w:sz w:val="20"/>
          <w:szCs w:val="18"/>
        </w:rPr>
      </w:pPr>
      <w:r w:rsidRPr="00396588">
        <w:rPr>
          <w:rFonts w:asciiTheme="minorHAnsi" w:hAnsiTheme="minorHAnsi" w:cstheme="minorHAnsi"/>
          <w:sz w:val="20"/>
          <w:szCs w:val="18"/>
          <w:vertAlign w:val="superscript"/>
        </w:rPr>
        <w:t>4</w:t>
      </w:r>
      <w:r w:rsidRPr="00396588">
        <w:rPr>
          <w:rFonts w:asciiTheme="minorHAnsi" w:hAnsiTheme="minorHAnsi" w:cstheme="minorHAnsi"/>
          <w:sz w:val="20"/>
          <w:szCs w:val="18"/>
        </w:rPr>
        <w:t xml:space="preserve"> Included in the FMD Chapter of the </w:t>
      </w:r>
      <w:r w:rsidRPr="00396588">
        <w:rPr>
          <w:rFonts w:asciiTheme="minorHAnsi" w:hAnsiTheme="minorHAnsi" w:cstheme="minorHAnsi"/>
          <w:i/>
          <w:iCs/>
          <w:sz w:val="20"/>
          <w:szCs w:val="18"/>
        </w:rPr>
        <w:t>Terrestrial Code</w:t>
      </w:r>
      <w:r w:rsidRPr="00396588">
        <w:rPr>
          <w:rFonts w:asciiTheme="minorHAnsi" w:hAnsiTheme="minorHAnsi" w:cstheme="minorHAnsi"/>
          <w:sz w:val="20"/>
          <w:szCs w:val="18"/>
        </w:rPr>
        <w:t xml:space="preserve"> since 2008</w:t>
      </w:r>
    </w:p>
    <w:p w14:paraId="6F0BE901" w14:textId="77777777" w:rsidR="00813CD7" w:rsidRDefault="00813CD7">
      <w:pPr>
        <w:spacing w:after="160" w:line="259" w:lineRule="auto"/>
      </w:pPr>
      <w:r>
        <w:br w:type="page"/>
      </w:r>
    </w:p>
    <w:p w14:paraId="7EB289D7" w14:textId="305AC29E" w:rsidR="003D7D2B" w:rsidRDefault="00304DB5">
      <w:r>
        <w:lastRenderedPageBreak/>
        <w:t>Table A</w:t>
      </w:r>
      <w:r w:rsidR="00813CD7">
        <w:t>2</w:t>
      </w:r>
      <w:r>
        <w:t xml:space="preserve"> – Summary </w:t>
      </w:r>
      <w:r w:rsidR="00132A87">
        <w:t>statistics</w:t>
      </w:r>
      <w:r>
        <w:t xml:space="preserve"> for categorical variables</w:t>
      </w:r>
    </w:p>
    <w:tbl>
      <w:tblPr>
        <w:tblStyle w:val="TableGrid"/>
        <w:tblW w:w="325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1530"/>
        <w:gridCol w:w="1584"/>
      </w:tblGrid>
      <w:tr w:rsidR="001C602F" w:rsidRPr="00B713C5" w14:paraId="59258977" w14:textId="338738D9" w:rsidTr="001C602F">
        <w:trPr>
          <w:jc w:val="center"/>
        </w:trPr>
        <w:tc>
          <w:tcPr>
            <w:tcW w:w="2348" w:type="pct"/>
            <w:tcBorders>
              <w:top w:val="single" w:sz="4" w:space="0" w:color="auto"/>
              <w:bottom w:val="single" w:sz="4" w:space="0" w:color="auto"/>
            </w:tcBorders>
          </w:tcPr>
          <w:p w14:paraId="1005ACCC"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 xml:space="preserve">Group </w:t>
            </w:r>
          </w:p>
          <w:p w14:paraId="44C2D584"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Variable</w:t>
            </w:r>
          </w:p>
        </w:tc>
        <w:tc>
          <w:tcPr>
            <w:tcW w:w="1303" w:type="pct"/>
            <w:tcBorders>
              <w:top w:val="single" w:sz="4" w:space="0" w:color="auto"/>
              <w:bottom w:val="single" w:sz="4" w:space="0" w:color="auto"/>
            </w:tcBorders>
            <w:vAlign w:val="center"/>
          </w:tcPr>
          <w:p w14:paraId="018606C4"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Scale of measurement</w:t>
            </w:r>
          </w:p>
        </w:tc>
        <w:tc>
          <w:tcPr>
            <w:tcW w:w="1349" w:type="pct"/>
            <w:tcBorders>
              <w:top w:val="single" w:sz="4" w:space="0" w:color="auto"/>
              <w:bottom w:val="single" w:sz="4" w:space="0" w:color="auto"/>
            </w:tcBorders>
            <w:vAlign w:val="center"/>
          </w:tcPr>
          <w:p w14:paraId="0DBE5091"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Number of study units (%)</w:t>
            </w:r>
          </w:p>
        </w:tc>
      </w:tr>
      <w:tr w:rsidR="001C602F" w:rsidRPr="00B713C5" w14:paraId="58565266" w14:textId="0C62B02C" w:rsidTr="001C602F">
        <w:trPr>
          <w:jc w:val="center"/>
        </w:trPr>
        <w:tc>
          <w:tcPr>
            <w:tcW w:w="2348" w:type="pct"/>
            <w:tcBorders>
              <w:top w:val="single" w:sz="4" w:space="0" w:color="auto"/>
              <w:bottom w:val="single" w:sz="4" w:space="0" w:color="BFBFBF" w:themeColor="background1" w:themeShade="BF"/>
            </w:tcBorders>
          </w:tcPr>
          <w:p w14:paraId="101787D1"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Agricultural characteristics of the study unit</w:t>
            </w:r>
          </w:p>
        </w:tc>
        <w:tc>
          <w:tcPr>
            <w:tcW w:w="1303" w:type="pct"/>
            <w:tcBorders>
              <w:top w:val="single" w:sz="4" w:space="0" w:color="auto"/>
              <w:bottom w:val="nil"/>
            </w:tcBorders>
            <w:vAlign w:val="center"/>
          </w:tcPr>
          <w:p w14:paraId="71C2162B" w14:textId="77777777" w:rsidR="001C602F" w:rsidRPr="00B713C5" w:rsidRDefault="001C602F" w:rsidP="001C602F">
            <w:pPr>
              <w:pStyle w:val="NoSpacing"/>
              <w:rPr>
                <w:rFonts w:asciiTheme="majorBidi" w:hAnsiTheme="majorBidi" w:cstheme="majorBidi"/>
                <w:sz w:val="20"/>
                <w:szCs w:val="20"/>
              </w:rPr>
            </w:pPr>
          </w:p>
        </w:tc>
        <w:tc>
          <w:tcPr>
            <w:tcW w:w="1349" w:type="pct"/>
            <w:tcBorders>
              <w:top w:val="single" w:sz="4" w:space="0" w:color="auto"/>
              <w:bottom w:val="nil"/>
            </w:tcBorders>
            <w:vAlign w:val="center"/>
          </w:tcPr>
          <w:p w14:paraId="3DD96722" w14:textId="77777777" w:rsidR="001C602F" w:rsidRPr="00B713C5" w:rsidRDefault="001C602F" w:rsidP="001C602F">
            <w:pPr>
              <w:pStyle w:val="NoSpacing"/>
              <w:jc w:val="center"/>
              <w:rPr>
                <w:rFonts w:asciiTheme="majorBidi" w:hAnsiTheme="majorBidi" w:cstheme="majorBidi"/>
                <w:sz w:val="20"/>
                <w:szCs w:val="20"/>
              </w:rPr>
            </w:pPr>
          </w:p>
        </w:tc>
      </w:tr>
      <w:tr w:rsidR="001C602F" w:rsidRPr="00B713C5" w14:paraId="1A7C0C92" w14:textId="4B78526F" w:rsidTr="001C602F">
        <w:trPr>
          <w:trHeight w:val="170"/>
          <w:jc w:val="center"/>
        </w:trPr>
        <w:tc>
          <w:tcPr>
            <w:tcW w:w="2348" w:type="pct"/>
            <w:vMerge w:val="restart"/>
            <w:tcBorders>
              <w:top w:val="single" w:sz="4" w:space="0" w:color="BFBFBF" w:themeColor="background1" w:themeShade="BF"/>
            </w:tcBorders>
          </w:tcPr>
          <w:p w14:paraId="02A4051A"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Epidemiological unit</w:t>
            </w:r>
          </w:p>
        </w:tc>
        <w:tc>
          <w:tcPr>
            <w:tcW w:w="1303" w:type="pct"/>
            <w:tcBorders>
              <w:top w:val="nil"/>
              <w:bottom w:val="single" w:sz="4" w:space="0" w:color="BFBFBF" w:themeColor="background1" w:themeShade="BF"/>
            </w:tcBorders>
            <w:vAlign w:val="center"/>
          </w:tcPr>
          <w:p w14:paraId="69645517"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Farm</w:t>
            </w:r>
          </w:p>
        </w:tc>
        <w:tc>
          <w:tcPr>
            <w:tcW w:w="1349" w:type="pct"/>
            <w:tcBorders>
              <w:top w:val="nil"/>
              <w:bottom w:val="single" w:sz="4" w:space="0" w:color="BFBFBF" w:themeColor="background1" w:themeShade="BF"/>
            </w:tcBorders>
            <w:vAlign w:val="center"/>
          </w:tcPr>
          <w:p w14:paraId="4921385C"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31 (69%)</w:t>
            </w:r>
          </w:p>
        </w:tc>
      </w:tr>
      <w:tr w:rsidR="001C602F" w:rsidRPr="00B713C5" w14:paraId="6EA6BBB5" w14:textId="0DF6A329" w:rsidTr="001C602F">
        <w:trPr>
          <w:trHeight w:val="170"/>
          <w:jc w:val="center"/>
        </w:trPr>
        <w:tc>
          <w:tcPr>
            <w:tcW w:w="2348" w:type="pct"/>
            <w:vMerge/>
          </w:tcPr>
          <w:p w14:paraId="23FB0D24"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7133D838"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Village</w:t>
            </w:r>
          </w:p>
        </w:tc>
        <w:tc>
          <w:tcPr>
            <w:tcW w:w="1349" w:type="pct"/>
            <w:tcBorders>
              <w:top w:val="nil"/>
              <w:bottom w:val="single" w:sz="4" w:space="0" w:color="BFBFBF" w:themeColor="background1" w:themeShade="BF"/>
            </w:tcBorders>
            <w:vAlign w:val="center"/>
          </w:tcPr>
          <w:p w14:paraId="6CFADABF"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4 (9%)</w:t>
            </w:r>
          </w:p>
        </w:tc>
      </w:tr>
      <w:tr w:rsidR="001C602F" w:rsidRPr="00B713C5" w14:paraId="1D563E53" w14:textId="4598EDE0" w:rsidTr="001C602F">
        <w:trPr>
          <w:trHeight w:val="170"/>
          <w:jc w:val="center"/>
        </w:trPr>
        <w:tc>
          <w:tcPr>
            <w:tcW w:w="2348" w:type="pct"/>
            <w:vMerge/>
          </w:tcPr>
          <w:p w14:paraId="0D7C055E"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69E6AF4D"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Other</w:t>
            </w:r>
          </w:p>
        </w:tc>
        <w:tc>
          <w:tcPr>
            <w:tcW w:w="1349" w:type="pct"/>
            <w:tcBorders>
              <w:top w:val="nil"/>
              <w:bottom w:val="single" w:sz="4" w:space="0" w:color="BFBFBF" w:themeColor="background1" w:themeShade="BF"/>
            </w:tcBorders>
            <w:vAlign w:val="center"/>
          </w:tcPr>
          <w:p w14:paraId="51E01A1A"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10 (22%)</w:t>
            </w:r>
          </w:p>
        </w:tc>
      </w:tr>
      <w:tr w:rsidR="001C602F" w:rsidRPr="00B713C5" w14:paraId="68794C80" w14:textId="041D0FFA" w:rsidTr="001C602F">
        <w:trPr>
          <w:trHeight w:val="735"/>
          <w:jc w:val="center"/>
        </w:trPr>
        <w:tc>
          <w:tcPr>
            <w:tcW w:w="2348" w:type="pct"/>
            <w:vMerge w:val="restart"/>
            <w:tcBorders>
              <w:top w:val="single" w:sz="4" w:space="0" w:color="BFBFBF" w:themeColor="background1" w:themeShade="BF"/>
            </w:tcBorders>
          </w:tcPr>
          <w:p w14:paraId="10A1B8B1" w14:textId="2F423A05"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Shared borders with neighbouring FMD-infected countries or zones</w:t>
            </w:r>
          </w:p>
        </w:tc>
        <w:tc>
          <w:tcPr>
            <w:tcW w:w="1303" w:type="pct"/>
            <w:tcBorders>
              <w:top w:val="single" w:sz="4" w:space="0" w:color="BFBFBF" w:themeColor="background1" w:themeShade="BF"/>
              <w:bottom w:val="single" w:sz="4" w:space="0" w:color="BFBFBF" w:themeColor="background1" w:themeShade="BF"/>
            </w:tcBorders>
            <w:vAlign w:val="center"/>
          </w:tcPr>
          <w:p w14:paraId="27371D2B"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Yes</w:t>
            </w:r>
          </w:p>
        </w:tc>
        <w:tc>
          <w:tcPr>
            <w:tcW w:w="1349" w:type="pct"/>
            <w:tcBorders>
              <w:top w:val="single" w:sz="4" w:space="0" w:color="BFBFBF" w:themeColor="background1" w:themeShade="BF"/>
              <w:bottom w:val="single" w:sz="4" w:space="0" w:color="BFBFBF" w:themeColor="background1" w:themeShade="BF"/>
            </w:tcBorders>
            <w:vAlign w:val="center"/>
          </w:tcPr>
          <w:p w14:paraId="0866BD50"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35 (78%)</w:t>
            </w:r>
          </w:p>
        </w:tc>
      </w:tr>
      <w:tr w:rsidR="001C602F" w:rsidRPr="00B713C5" w14:paraId="235A8C29" w14:textId="12AE5027" w:rsidTr="001C602F">
        <w:trPr>
          <w:trHeight w:val="735"/>
          <w:jc w:val="center"/>
        </w:trPr>
        <w:tc>
          <w:tcPr>
            <w:tcW w:w="2348" w:type="pct"/>
            <w:vMerge/>
          </w:tcPr>
          <w:p w14:paraId="1078AB50" w14:textId="77777777" w:rsidR="001C602F" w:rsidRPr="00B713C5" w:rsidRDefault="001C602F" w:rsidP="00B713C5">
            <w:pPr>
              <w:pStyle w:val="NoSpacing"/>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auto"/>
            </w:tcBorders>
            <w:vAlign w:val="center"/>
          </w:tcPr>
          <w:p w14:paraId="0050C341"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No</w:t>
            </w:r>
          </w:p>
        </w:tc>
        <w:tc>
          <w:tcPr>
            <w:tcW w:w="1349" w:type="pct"/>
            <w:tcBorders>
              <w:top w:val="single" w:sz="4" w:space="0" w:color="BFBFBF" w:themeColor="background1" w:themeShade="BF"/>
              <w:bottom w:val="single" w:sz="4" w:space="0" w:color="auto"/>
            </w:tcBorders>
            <w:vAlign w:val="center"/>
          </w:tcPr>
          <w:p w14:paraId="355F4804"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10 (22%)</w:t>
            </w:r>
          </w:p>
        </w:tc>
      </w:tr>
      <w:tr w:rsidR="001C602F" w:rsidRPr="00B713C5" w14:paraId="46FA7A52" w14:textId="765303B8" w:rsidTr="001C602F">
        <w:trPr>
          <w:jc w:val="center"/>
        </w:trPr>
        <w:tc>
          <w:tcPr>
            <w:tcW w:w="2348" w:type="pct"/>
            <w:tcBorders>
              <w:top w:val="single" w:sz="4" w:space="0" w:color="auto"/>
              <w:bottom w:val="single" w:sz="4" w:space="0" w:color="BFBFBF" w:themeColor="background1" w:themeShade="BF"/>
            </w:tcBorders>
          </w:tcPr>
          <w:p w14:paraId="63BFC66D"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Characteristics of the FMD outbreak</w:t>
            </w:r>
          </w:p>
        </w:tc>
        <w:tc>
          <w:tcPr>
            <w:tcW w:w="1303" w:type="pct"/>
            <w:tcBorders>
              <w:top w:val="single" w:sz="4" w:space="0" w:color="auto"/>
              <w:bottom w:val="nil"/>
            </w:tcBorders>
            <w:vAlign w:val="center"/>
          </w:tcPr>
          <w:p w14:paraId="4F2C3304" w14:textId="77777777" w:rsidR="001C602F" w:rsidRPr="00B713C5" w:rsidRDefault="001C602F" w:rsidP="001C602F">
            <w:pPr>
              <w:pStyle w:val="NoSpacing"/>
              <w:jc w:val="center"/>
              <w:rPr>
                <w:rFonts w:asciiTheme="majorBidi" w:hAnsiTheme="majorBidi" w:cstheme="majorBidi"/>
                <w:sz w:val="20"/>
                <w:szCs w:val="20"/>
              </w:rPr>
            </w:pPr>
          </w:p>
        </w:tc>
        <w:tc>
          <w:tcPr>
            <w:tcW w:w="1349" w:type="pct"/>
            <w:tcBorders>
              <w:top w:val="single" w:sz="4" w:space="0" w:color="auto"/>
              <w:bottom w:val="nil"/>
            </w:tcBorders>
            <w:vAlign w:val="center"/>
          </w:tcPr>
          <w:p w14:paraId="6DADFE1C" w14:textId="77777777" w:rsidR="001C602F" w:rsidRPr="00B713C5" w:rsidRDefault="001C602F" w:rsidP="001C602F">
            <w:pPr>
              <w:pStyle w:val="NoSpacing"/>
              <w:jc w:val="center"/>
              <w:rPr>
                <w:rFonts w:asciiTheme="majorBidi" w:hAnsiTheme="majorBidi" w:cstheme="majorBidi"/>
                <w:sz w:val="20"/>
                <w:szCs w:val="20"/>
              </w:rPr>
            </w:pPr>
          </w:p>
        </w:tc>
      </w:tr>
      <w:tr w:rsidR="001C602F" w:rsidRPr="00B713C5" w14:paraId="44E164DF" w14:textId="573B3D33" w:rsidTr="001C602F">
        <w:trPr>
          <w:trHeight w:val="120"/>
          <w:jc w:val="center"/>
        </w:trPr>
        <w:tc>
          <w:tcPr>
            <w:tcW w:w="2348" w:type="pct"/>
            <w:vMerge w:val="restart"/>
            <w:tcBorders>
              <w:top w:val="single" w:sz="4" w:space="0" w:color="BFBFBF" w:themeColor="background1" w:themeShade="BF"/>
            </w:tcBorders>
          </w:tcPr>
          <w:p w14:paraId="12338943"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FMDv serotype</w:t>
            </w:r>
          </w:p>
        </w:tc>
        <w:tc>
          <w:tcPr>
            <w:tcW w:w="1303" w:type="pct"/>
            <w:tcBorders>
              <w:top w:val="nil"/>
              <w:bottom w:val="single" w:sz="4" w:space="0" w:color="BFBFBF" w:themeColor="background1" w:themeShade="BF"/>
            </w:tcBorders>
            <w:vAlign w:val="center"/>
          </w:tcPr>
          <w:p w14:paraId="5E259146"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A</w:t>
            </w:r>
          </w:p>
        </w:tc>
        <w:tc>
          <w:tcPr>
            <w:tcW w:w="1349" w:type="pct"/>
            <w:tcBorders>
              <w:top w:val="nil"/>
              <w:bottom w:val="single" w:sz="4" w:space="0" w:color="BFBFBF" w:themeColor="background1" w:themeShade="BF"/>
            </w:tcBorders>
            <w:vAlign w:val="center"/>
          </w:tcPr>
          <w:p w14:paraId="624324A3"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 (1%)</w:t>
            </w:r>
          </w:p>
        </w:tc>
      </w:tr>
      <w:tr w:rsidR="001C602F" w:rsidRPr="00B713C5" w14:paraId="25007C8B" w14:textId="6085DC37" w:rsidTr="001C602F">
        <w:trPr>
          <w:trHeight w:val="120"/>
          <w:jc w:val="center"/>
        </w:trPr>
        <w:tc>
          <w:tcPr>
            <w:tcW w:w="2348" w:type="pct"/>
            <w:vMerge/>
          </w:tcPr>
          <w:p w14:paraId="15E788D2"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6E78908A"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O</w:t>
            </w:r>
          </w:p>
        </w:tc>
        <w:tc>
          <w:tcPr>
            <w:tcW w:w="1349" w:type="pct"/>
            <w:tcBorders>
              <w:top w:val="nil"/>
              <w:bottom w:val="single" w:sz="4" w:space="0" w:color="BFBFBF" w:themeColor="background1" w:themeShade="BF"/>
            </w:tcBorders>
            <w:vAlign w:val="center"/>
          </w:tcPr>
          <w:p w14:paraId="224DFD70"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29 (64%)</w:t>
            </w:r>
          </w:p>
        </w:tc>
      </w:tr>
      <w:tr w:rsidR="001C602F" w:rsidRPr="00B713C5" w14:paraId="3CA1471D" w14:textId="5ABA7495" w:rsidTr="001C602F">
        <w:trPr>
          <w:trHeight w:val="120"/>
          <w:jc w:val="center"/>
        </w:trPr>
        <w:tc>
          <w:tcPr>
            <w:tcW w:w="2348" w:type="pct"/>
            <w:vMerge/>
          </w:tcPr>
          <w:p w14:paraId="1EB6A595"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5FFB0ABC"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SAT 1</w:t>
            </w:r>
          </w:p>
        </w:tc>
        <w:tc>
          <w:tcPr>
            <w:tcW w:w="1349" w:type="pct"/>
            <w:tcBorders>
              <w:top w:val="nil"/>
              <w:bottom w:val="single" w:sz="4" w:space="0" w:color="BFBFBF" w:themeColor="background1" w:themeShade="BF"/>
            </w:tcBorders>
            <w:vAlign w:val="center"/>
          </w:tcPr>
          <w:p w14:paraId="3CD7C4AF"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 (7%)</w:t>
            </w:r>
          </w:p>
        </w:tc>
      </w:tr>
      <w:tr w:rsidR="001C602F" w:rsidRPr="00B713C5" w14:paraId="7B77E4C2" w14:textId="429AE267" w:rsidTr="001C602F">
        <w:trPr>
          <w:trHeight w:val="120"/>
          <w:jc w:val="center"/>
        </w:trPr>
        <w:tc>
          <w:tcPr>
            <w:tcW w:w="2348" w:type="pct"/>
            <w:vMerge/>
          </w:tcPr>
          <w:p w14:paraId="1231FFB3"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232B398A"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SAT 2</w:t>
            </w:r>
          </w:p>
        </w:tc>
        <w:tc>
          <w:tcPr>
            <w:tcW w:w="1349" w:type="pct"/>
            <w:tcBorders>
              <w:top w:val="nil"/>
              <w:bottom w:val="single" w:sz="4" w:space="0" w:color="BFBFBF" w:themeColor="background1" w:themeShade="BF"/>
            </w:tcBorders>
            <w:vAlign w:val="center"/>
          </w:tcPr>
          <w:p w14:paraId="4C4B2FDC"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7 (16%)</w:t>
            </w:r>
          </w:p>
        </w:tc>
      </w:tr>
      <w:tr w:rsidR="001C602F" w:rsidRPr="00B713C5" w14:paraId="48AD5AAE" w14:textId="723A4CE6" w:rsidTr="001C602F">
        <w:trPr>
          <w:trHeight w:val="120"/>
          <w:jc w:val="center"/>
        </w:trPr>
        <w:tc>
          <w:tcPr>
            <w:tcW w:w="2348" w:type="pct"/>
            <w:vMerge/>
          </w:tcPr>
          <w:p w14:paraId="418FDE83"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47582121"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ASIA 1</w:t>
            </w:r>
          </w:p>
        </w:tc>
        <w:tc>
          <w:tcPr>
            <w:tcW w:w="1349" w:type="pct"/>
            <w:tcBorders>
              <w:top w:val="nil"/>
              <w:bottom w:val="single" w:sz="4" w:space="0" w:color="BFBFBF" w:themeColor="background1" w:themeShade="BF"/>
            </w:tcBorders>
            <w:vAlign w:val="center"/>
          </w:tcPr>
          <w:p w14:paraId="1AFBCB27"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2 (5%)</w:t>
            </w:r>
          </w:p>
        </w:tc>
      </w:tr>
      <w:tr w:rsidR="001C602F" w:rsidRPr="00B713C5" w14:paraId="586AAB85" w14:textId="1C441096" w:rsidTr="001C602F">
        <w:trPr>
          <w:trHeight w:val="120"/>
          <w:jc w:val="center"/>
        </w:trPr>
        <w:tc>
          <w:tcPr>
            <w:tcW w:w="2348" w:type="pct"/>
            <w:vMerge/>
          </w:tcPr>
          <w:p w14:paraId="3D7C91F0"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6EF77E06"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Multiple</w:t>
            </w:r>
          </w:p>
        </w:tc>
        <w:tc>
          <w:tcPr>
            <w:tcW w:w="1349" w:type="pct"/>
            <w:tcBorders>
              <w:top w:val="nil"/>
              <w:bottom w:val="single" w:sz="4" w:space="0" w:color="BFBFBF" w:themeColor="background1" w:themeShade="BF"/>
            </w:tcBorders>
            <w:vAlign w:val="center"/>
          </w:tcPr>
          <w:p w14:paraId="27AAA437"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 (7%)</w:t>
            </w:r>
          </w:p>
        </w:tc>
      </w:tr>
      <w:tr w:rsidR="001C602F" w:rsidRPr="00B713C5" w14:paraId="3348B5AB" w14:textId="464B5716" w:rsidTr="001C602F">
        <w:trPr>
          <w:trHeight w:val="345"/>
          <w:jc w:val="center"/>
        </w:trPr>
        <w:tc>
          <w:tcPr>
            <w:tcW w:w="2348" w:type="pct"/>
            <w:vMerge w:val="restart"/>
            <w:tcBorders>
              <w:top w:val="single" w:sz="4" w:space="0" w:color="BFBFBF" w:themeColor="background1" w:themeShade="BF"/>
            </w:tcBorders>
          </w:tcPr>
          <w:p w14:paraId="0F42E97B"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Species in which FMD was first detected</w:t>
            </w:r>
          </w:p>
        </w:tc>
        <w:tc>
          <w:tcPr>
            <w:tcW w:w="1303" w:type="pct"/>
            <w:tcBorders>
              <w:top w:val="single" w:sz="4" w:space="0" w:color="BFBFBF" w:themeColor="background1" w:themeShade="BF"/>
              <w:bottom w:val="single" w:sz="4" w:space="0" w:color="BFBFBF" w:themeColor="background1" w:themeShade="BF"/>
            </w:tcBorders>
            <w:vAlign w:val="center"/>
          </w:tcPr>
          <w:p w14:paraId="1503D73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Bovines</w:t>
            </w:r>
          </w:p>
        </w:tc>
        <w:tc>
          <w:tcPr>
            <w:tcW w:w="1349" w:type="pct"/>
            <w:tcBorders>
              <w:top w:val="single" w:sz="4" w:space="0" w:color="BFBFBF" w:themeColor="background1" w:themeShade="BF"/>
              <w:bottom w:val="single" w:sz="4" w:space="0" w:color="BFBFBF" w:themeColor="background1" w:themeShade="BF"/>
            </w:tcBorders>
            <w:vAlign w:val="center"/>
          </w:tcPr>
          <w:p w14:paraId="4F6365E4" w14:textId="2F01099F"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31 (68%)</w:t>
            </w:r>
          </w:p>
        </w:tc>
      </w:tr>
      <w:tr w:rsidR="001C602F" w:rsidRPr="00B713C5" w14:paraId="52A86C4D" w14:textId="369D8821" w:rsidTr="001C602F">
        <w:trPr>
          <w:trHeight w:val="345"/>
          <w:jc w:val="center"/>
        </w:trPr>
        <w:tc>
          <w:tcPr>
            <w:tcW w:w="2348" w:type="pct"/>
            <w:vMerge/>
          </w:tcPr>
          <w:p w14:paraId="076E32CC"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299F6F23"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Swine</w:t>
            </w:r>
          </w:p>
        </w:tc>
        <w:tc>
          <w:tcPr>
            <w:tcW w:w="1349" w:type="pct"/>
            <w:tcBorders>
              <w:top w:val="single" w:sz="4" w:space="0" w:color="BFBFBF" w:themeColor="background1" w:themeShade="BF"/>
              <w:bottom w:val="single" w:sz="4" w:space="0" w:color="BFBFBF" w:themeColor="background1" w:themeShade="BF"/>
            </w:tcBorders>
            <w:vAlign w:val="center"/>
          </w:tcPr>
          <w:p w14:paraId="64775FF0"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7 (16%)</w:t>
            </w:r>
          </w:p>
        </w:tc>
      </w:tr>
      <w:tr w:rsidR="001C602F" w:rsidRPr="00B713C5" w14:paraId="65804CF7" w14:textId="5DAC59DF" w:rsidTr="001C602F">
        <w:trPr>
          <w:trHeight w:val="345"/>
          <w:jc w:val="center"/>
        </w:trPr>
        <w:tc>
          <w:tcPr>
            <w:tcW w:w="2348" w:type="pct"/>
            <w:vMerge/>
          </w:tcPr>
          <w:p w14:paraId="224FB851"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675EB5F1"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Small Ruminants</w:t>
            </w:r>
          </w:p>
        </w:tc>
        <w:tc>
          <w:tcPr>
            <w:tcW w:w="1349" w:type="pct"/>
            <w:tcBorders>
              <w:top w:val="single" w:sz="4" w:space="0" w:color="BFBFBF" w:themeColor="background1" w:themeShade="BF"/>
              <w:bottom w:val="single" w:sz="4" w:space="0" w:color="BFBFBF" w:themeColor="background1" w:themeShade="BF"/>
            </w:tcBorders>
            <w:vAlign w:val="center"/>
          </w:tcPr>
          <w:p w14:paraId="3776D96F"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 (7%)</w:t>
            </w:r>
          </w:p>
        </w:tc>
      </w:tr>
      <w:tr w:rsidR="001C602F" w:rsidRPr="00B713C5" w14:paraId="55CF5B52" w14:textId="70A6A3A4" w:rsidTr="001C602F">
        <w:trPr>
          <w:trHeight w:val="345"/>
          <w:jc w:val="center"/>
        </w:trPr>
        <w:tc>
          <w:tcPr>
            <w:tcW w:w="2348" w:type="pct"/>
            <w:vMerge/>
          </w:tcPr>
          <w:p w14:paraId="0615912D"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046F1EFA"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Wild</w:t>
            </w:r>
          </w:p>
        </w:tc>
        <w:tc>
          <w:tcPr>
            <w:tcW w:w="1349" w:type="pct"/>
            <w:tcBorders>
              <w:top w:val="single" w:sz="4" w:space="0" w:color="BFBFBF" w:themeColor="background1" w:themeShade="BF"/>
              <w:bottom w:val="single" w:sz="4" w:space="0" w:color="BFBFBF" w:themeColor="background1" w:themeShade="BF"/>
            </w:tcBorders>
            <w:vAlign w:val="center"/>
          </w:tcPr>
          <w:p w14:paraId="36041611"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 (2%)</w:t>
            </w:r>
          </w:p>
        </w:tc>
      </w:tr>
      <w:tr w:rsidR="001C602F" w:rsidRPr="00B713C5" w14:paraId="0180FB2A" w14:textId="64F29744" w:rsidTr="001C602F">
        <w:trPr>
          <w:trHeight w:val="345"/>
          <w:jc w:val="center"/>
        </w:trPr>
        <w:tc>
          <w:tcPr>
            <w:tcW w:w="2348" w:type="pct"/>
            <w:vMerge/>
            <w:tcBorders>
              <w:bottom w:val="single" w:sz="4" w:space="0" w:color="A6A6A6" w:themeColor="background1" w:themeShade="A6"/>
            </w:tcBorders>
          </w:tcPr>
          <w:p w14:paraId="0EEF4E21"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0D950CB3"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Multiple</w:t>
            </w:r>
          </w:p>
        </w:tc>
        <w:tc>
          <w:tcPr>
            <w:tcW w:w="1349" w:type="pct"/>
            <w:tcBorders>
              <w:top w:val="single" w:sz="4" w:space="0" w:color="BFBFBF" w:themeColor="background1" w:themeShade="BF"/>
              <w:bottom w:val="single" w:sz="4" w:space="0" w:color="BFBFBF" w:themeColor="background1" w:themeShade="BF"/>
            </w:tcBorders>
            <w:vAlign w:val="center"/>
          </w:tcPr>
          <w:p w14:paraId="2A14F829"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 (7%)</w:t>
            </w:r>
          </w:p>
        </w:tc>
      </w:tr>
      <w:tr w:rsidR="001C602F" w:rsidRPr="00B713C5" w14:paraId="1ADFB6AF" w14:textId="2C7651CE" w:rsidTr="001C602F">
        <w:trPr>
          <w:trHeight w:val="261"/>
          <w:jc w:val="center"/>
        </w:trPr>
        <w:tc>
          <w:tcPr>
            <w:tcW w:w="2348" w:type="pct"/>
            <w:vMerge w:val="restart"/>
            <w:tcBorders>
              <w:top w:val="single" w:sz="4" w:space="0" w:color="A6A6A6" w:themeColor="background1" w:themeShade="A6"/>
              <w:bottom w:val="single" w:sz="4" w:space="0" w:color="auto"/>
            </w:tcBorders>
          </w:tcPr>
          <w:p w14:paraId="4C302B8F" w14:textId="0F473FE0"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Species affected during the outbreak</w:t>
            </w:r>
          </w:p>
        </w:tc>
        <w:tc>
          <w:tcPr>
            <w:tcW w:w="1303" w:type="pct"/>
            <w:tcBorders>
              <w:top w:val="single" w:sz="4" w:space="0" w:color="BFBFBF" w:themeColor="background1" w:themeShade="BF"/>
              <w:bottom w:val="single" w:sz="4" w:space="0" w:color="BFBFBF" w:themeColor="background1" w:themeShade="BF"/>
            </w:tcBorders>
            <w:vAlign w:val="center"/>
          </w:tcPr>
          <w:p w14:paraId="6F03FAB8"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Bovines</w:t>
            </w:r>
          </w:p>
        </w:tc>
        <w:tc>
          <w:tcPr>
            <w:tcW w:w="1349" w:type="pct"/>
            <w:tcBorders>
              <w:top w:val="single" w:sz="4" w:space="0" w:color="BFBFBF" w:themeColor="background1" w:themeShade="BF"/>
              <w:bottom w:val="single" w:sz="4" w:space="0" w:color="BFBFBF" w:themeColor="background1" w:themeShade="BF"/>
            </w:tcBorders>
            <w:vAlign w:val="center"/>
          </w:tcPr>
          <w:p w14:paraId="06B64E1F"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22 (49%)</w:t>
            </w:r>
          </w:p>
        </w:tc>
      </w:tr>
      <w:tr w:rsidR="001C602F" w:rsidRPr="00B713C5" w14:paraId="3CF92F1D" w14:textId="64CD18A9" w:rsidTr="001C602F">
        <w:trPr>
          <w:trHeight w:val="258"/>
          <w:jc w:val="center"/>
        </w:trPr>
        <w:tc>
          <w:tcPr>
            <w:tcW w:w="2348" w:type="pct"/>
            <w:vMerge/>
            <w:tcBorders>
              <w:bottom w:val="single" w:sz="4" w:space="0" w:color="auto"/>
            </w:tcBorders>
          </w:tcPr>
          <w:p w14:paraId="13700CA0" w14:textId="77777777" w:rsidR="001C602F" w:rsidRPr="00B713C5" w:rsidRDefault="001C602F" w:rsidP="00B713C5">
            <w:pPr>
              <w:pStyle w:val="NoSpacing"/>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4CA120AE"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Swine</w:t>
            </w:r>
          </w:p>
        </w:tc>
        <w:tc>
          <w:tcPr>
            <w:tcW w:w="1349" w:type="pct"/>
            <w:tcBorders>
              <w:top w:val="single" w:sz="4" w:space="0" w:color="BFBFBF" w:themeColor="background1" w:themeShade="BF"/>
              <w:bottom w:val="single" w:sz="4" w:space="0" w:color="BFBFBF" w:themeColor="background1" w:themeShade="BF"/>
            </w:tcBorders>
            <w:vAlign w:val="center"/>
          </w:tcPr>
          <w:p w14:paraId="5C6F82C9"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4 (9%)</w:t>
            </w:r>
          </w:p>
        </w:tc>
      </w:tr>
      <w:tr w:rsidR="001C602F" w:rsidRPr="00B713C5" w14:paraId="495347DB" w14:textId="59B9F970" w:rsidTr="001C602F">
        <w:trPr>
          <w:trHeight w:val="258"/>
          <w:jc w:val="center"/>
        </w:trPr>
        <w:tc>
          <w:tcPr>
            <w:tcW w:w="2348" w:type="pct"/>
            <w:vMerge/>
            <w:tcBorders>
              <w:bottom w:val="single" w:sz="4" w:space="0" w:color="auto"/>
            </w:tcBorders>
          </w:tcPr>
          <w:p w14:paraId="3E913A0F" w14:textId="77777777" w:rsidR="001C602F" w:rsidRPr="00B713C5" w:rsidRDefault="001C602F" w:rsidP="00B713C5">
            <w:pPr>
              <w:pStyle w:val="NoSpacing"/>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646D3913"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Small ruminants</w:t>
            </w:r>
          </w:p>
        </w:tc>
        <w:tc>
          <w:tcPr>
            <w:tcW w:w="1349" w:type="pct"/>
            <w:tcBorders>
              <w:top w:val="single" w:sz="4" w:space="0" w:color="BFBFBF" w:themeColor="background1" w:themeShade="BF"/>
              <w:bottom w:val="single" w:sz="4" w:space="0" w:color="BFBFBF" w:themeColor="background1" w:themeShade="BF"/>
            </w:tcBorders>
            <w:vAlign w:val="center"/>
          </w:tcPr>
          <w:p w14:paraId="4D336FC2"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 (2%)</w:t>
            </w:r>
          </w:p>
        </w:tc>
      </w:tr>
      <w:tr w:rsidR="001C602F" w:rsidRPr="00B713C5" w14:paraId="1A047EE5" w14:textId="503404DE" w:rsidTr="001C602F">
        <w:trPr>
          <w:trHeight w:val="258"/>
          <w:jc w:val="center"/>
        </w:trPr>
        <w:tc>
          <w:tcPr>
            <w:tcW w:w="2348" w:type="pct"/>
            <w:vMerge/>
            <w:tcBorders>
              <w:bottom w:val="single" w:sz="4" w:space="0" w:color="auto"/>
            </w:tcBorders>
          </w:tcPr>
          <w:p w14:paraId="1AF8895B" w14:textId="77777777" w:rsidR="001C602F" w:rsidRPr="00B713C5" w:rsidRDefault="001C602F" w:rsidP="00B713C5">
            <w:pPr>
              <w:pStyle w:val="NoSpacing"/>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4BBA380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Multiple</w:t>
            </w:r>
          </w:p>
        </w:tc>
        <w:tc>
          <w:tcPr>
            <w:tcW w:w="1349" w:type="pct"/>
            <w:tcBorders>
              <w:top w:val="single" w:sz="4" w:space="0" w:color="BFBFBF" w:themeColor="background1" w:themeShade="BF"/>
              <w:bottom w:val="single" w:sz="4" w:space="0" w:color="BFBFBF" w:themeColor="background1" w:themeShade="BF"/>
            </w:tcBorders>
            <w:vAlign w:val="center"/>
          </w:tcPr>
          <w:p w14:paraId="4203774C" w14:textId="7777777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18 (40%)</w:t>
            </w:r>
          </w:p>
        </w:tc>
      </w:tr>
      <w:tr w:rsidR="001C602F" w:rsidRPr="00B713C5" w14:paraId="74594351" w14:textId="61ED98AB" w:rsidTr="001C602F">
        <w:trPr>
          <w:jc w:val="center"/>
        </w:trPr>
        <w:tc>
          <w:tcPr>
            <w:tcW w:w="2348" w:type="pct"/>
            <w:tcBorders>
              <w:top w:val="single" w:sz="4" w:space="0" w:color="auto"/>
              <w:bottom w:val="single" w:sz="4" w:space="0" w:color="BFBFBF" w:themeColor="background1" w:themeShade="BF"/>
            </w:tcBorders>
          </w:tcPr>
          <w:p w14:paraId="3984DA54" w14:textId="77777777" w:rsidR="001C602F" w:rsidRPr="00B713C5" w:rsidRDefault="001C602F" w:rsidP="00B713C5">
            <w:pPr>
              <w:pStyle w:val="NoSpacing"/>
              <w:rPr>
                <w:rFonts w:asciiTheme="majorBidi" w:hAnsiTheme="majorBidi" w:cstheme="majorBidi"/>
                <w:sz w:val="20"/>
                <w:szCs w:val="20"/>
              </w:rPr>
            </w:pPr>
            <w:r w:rsidRPr="00B713C5">
              <w:rPr>
                <w:rFonts w:asciiTheme="majorBidi" w:hAnsiTheme="majorBidi" w:cstheme="majorBidi"/>
                <w:sz w:val="20"/>
                <w:szCs w:val="20"/>
              </w:rPr>
              <w:t>Emergency response and preparedness of the study unit</w:t>
            </w:r>
          </w:p>
        </w:tc>
        <w:tc>
          <w:tcPr>
            <w:tcW w:w="1303" w:type="pct"/>
            <w:tcBorders>
              <w:top w:val="single" w:sz="4" w:space="0" w:color="auto"/>
              <w:bottom w:val="nil"/>
            </w:tcBorders>
            <w:vAlign w:val="center"/>
          </w:tcPr>
          <w:p w14:paraId="38B898C4" w14:textId="77777777" w:rsidR="001C602F" w:rsidRPr="00B713C5" w:rsidRDefault="001C602F" w:rsidP="001C602F">
            <w:pPr>
              <w:pStyle w:val="NoSpacing"/>
              <w:rPr>
                <w:rFonts w:asciiTheme="majorBidi" w:hAnsiTheme="majorBidi" w:cstheme="majorBidi"/>
                <w:sz w:val="20"/>
                <w:szCs w:val="20"/>
              </w:rPr>
            </w:pPr>
          </w:p>
        </w:tc>
        <w:tc>
          <w:tcPr>
            <w:tcW w:w="1349" w:type="pct"/>
            <w:tcBorders>
              <w:top w:val="single" w:sz="4" w:space="0" w:color="auto"/>
              <w:bottom w:val="nil"/>
            </w:tcBorders>
            <w:vAlign w:val="center"/>
          </w:tcPr>
          <w:p w14:paraId="1CC95F49" w14:textId="77777777" w:rsidR="001C602F" w:rsidRPr="00B713C5" w:rsidRDefault="001C602F" w:rsidP="001C602F">
            <w:pPr>
              <w:pStyle w:val="NoSpacing"/>
              <w:jc w:val="center"/>
              <w:rPr>
                <w:rFonts w:asciiTheme="majorBidi" w:hAnsiTheme="majorBidi" w:cstheme="majorBidi"/>
                <w:sz w:val="20"/>
                <w:szCs w:val="20"/>
              </w:rPr>
            </w:pPr>
          </w:p>
        </w:tc>
      </w:tr>
      <w:tr w:rsidR="001C602F" w:rsidRPr="00B713C5" w14:paraId="0CABBF5D" w14:textId="0A0B2D43" w:rsidTr="001C602F">
        <w:trPr>
          <w:trHeight w:val="280"/>
          <w:jc w:val="center"/>
        </w:trPr>
        <w:tc>
          <w:tcPr>
            <w:tcW w:w="2348" w:type="pct"/>
            <w:vMerge w:val="restart"/>
            <w:tcBorders>
              <w:top w:val="single" w:sz="4" w:space="0" w:color="BFBFBF" w:themeColor="background1" w:themeShade="BF"/>
            </w:tcBorders>
          </w:tcPr>
          <w:p w14:paraId="1F78656D" w14:textId="031A2024"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Income level</w:t>
            </w:r>
          </w:p>
        </w:tc>
        <w:tc>
          <w:tcPr>
            <w:tcW w:w="1303" w:type="pct"/>
            <w:tcBorders>
              <w:top w:val="nil"/>
              <w:bottom w:val="single" w:sz="4" w:space="0" w:color="BFBFBF" w:themeColor="background1" w:themeShade="BF"/>
            </w:tcBorders>
            <w:vAlign w:val="center"/>
          </w:tcPr>
          <w:p w14:paraId="68D7C8C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High</w:t>
            </w:r>
          </w:p>
        </w:tc>
        <w:tc>
          <w:tcPr>
            <w:tcW w:w="1349" w:type="pct"/>
            <w:tcBorders>
              <w:top w:val="nil"/>
              <w:bottom w:val="single" w:sz="4" w:space="0" w:color="BFBFBF" w:themeColor="background1" w:themeShade="BF"/>
            </w:tcBorders>
            <w:vAlign w:val="center"/>
          </w:tcPr>
          <w:p w14:paraId="393DA33A" w14:textId="48930D64"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14 (31%)</w:t>
            </w:r>
          </w:p>
        </w:tc>
      </w:tr>
      <w:tr w:rsidR="001C602F" w:rsidRPr="00B713C5" w14:paraId="3BD5C260" w14:textId="06A73B54" w:rsidTr="001C602F">
        <w:trPr>
          <w:trHeight w:val="280"/>
          <w:jc w:val="center"/>
        </w:trPr>
        <w:tc>
          <w:tcPr>
            <w:tcW w:w="2348" w:type="pct"/>
            <w:vMerge/>
          </w:tcPr>
          <w:p w14:paraId="33D91DB7"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2B55C189"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Upper middle</w:t>
            </w:r>
          </w:p>
        </w:tc>
        <w:tc>
          <w:tcPr>
            <w:tcW w:w="1349" w:type="pct"/>
            <w:tcBorders>
              <w:top w:val="nil"/>
              <w:bottom w:val="single" w:sz="4" w:space="0" w:color="BFBFBF" w:themeColor="background1" w:themeShade="BF"/>
            </w:tcBorders>
            <w:vAlign w:val="center"/>
          </w:tcPr>
          <w:p w14:paraId="13EE6643" w14:textId="21834411"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23 (51%)</w:t>
            </w:r>
          </w:p>
        </w:tc>
      </w:tr>
      <w:tr w:rsidR="001C602F" w:rsidRPr="00B713C5" w14:paraId="3656CAD6" w14:textId="3EEABB8C" w:rsidTr="001C602F">
        <w:trPr>
          <w:trHeight w:val="280"/>
          <w:jc w:val="center"/>
        </w:trPr>
        <w:tc>
          <w:tcPr>
            <w:tcW w:w="2348" w:type="pct"/>
            <w:vMerge/>
          </w:tcPr>
          <w:p w14:paraId="128EB2E5"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nil"/>
              <w:bottom w:val="single" w:sz="4" w:space="0" w:color="BFBFBF" w:themeColor="background1" w:themeShade="BF"/>
            </w:tcBorders>
            <w:vAlign w:val="center"/>
          </w:tcPr>
          <w:p w14:paraId="0771C2C0"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Lower middle</w:t>
            </w:r>
          </w:p>
        </w:tc>
        <w:tc>
          <w:tcPr>
            <w:tcW w:w="1349" w:type="pct"/>
            <w:tcBorders>
              <w:top w:val="nil"/>
              <w:bottom w:val="single" w:sz="4" w:space="0" w:color="BFBFBF" w:themeColor="background1" w:themeShade="BF"/>
            </w:tcBorders>
            <w:vAlign w:val="center"/>
          </w:tcPr>
          <w:p w14:paraId="32490522" w14:textId="18217BEF"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8 (18%)</w:t>
            </w:r>
          </w:p>
        </w:tc>
      </w:tr>
      <w:tr w:rsidR="001C602F" w:rsidRPr="00B713C5" w14:paraId="20683057" w14:textId="4234C750" w:rsidTr="001C602F">
        <w:trPr>
          <w:trHeight w:val="385"/>
          <w:jc w:val="center"/>
        </w:trPr>
        <w:tc>
          <w:tcPr>
            <w:tcW w:w="2348" w:type="pct"/>
            <w:vMerge w:val="restart"/>
            <w:tcBorders>
              <w:top w:val="single" w:sz="4" w:space="0" w:color="BFBFBF" w:themeColor="background1" w:themeShade="BF"/>
            </w:tcBorders>
          </w:tcPr>
          <w:p w14:paraId="3AB03348" w14:textId="27F4D5AB"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Control strategy used during the outbreak</w:t>
            </w:r>
          </w:p>
        </w:tc>
        <w:tc>
          <w:tcPr>
            <w:tcW w:w="1303" w:type="pct"/>
            <w:tcBorders>
              <w:top w:val="single" w:sz="4" w:space="0" w:color="BFBFBF" w:themeColor="background1" w:themeShade="BF"/>
              <w:bottom w:val="single" w:sz="4" w:space="0" w:color="BFBFBF" w:themeColor="background1" w:themeShade="BF"/>
            </w:tcBorders>
            <w:vAlign w:val="center"/>
          </w:tcPr>
          <w:p w14:paraId="14AC2C3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Stamping-out</w:t>
            </w:r>
          </w:p>
        </w:tc>
        <w:tc>
          <w:tcPr>
            <w:tcW w:w="1349" w:type="pct"/>
            <w:tcBorders>
              <w:top w:val="single" w:sz="4" w:space="0" w:color="BFBFBF" w:themeColor="background1" w:themeShade="BF"/>
              <w:bottom w:val="single" w:sz="4" w:space="0" w:color="BFBFBF" w:themeColor="background1" w:themeShade="BF"/>
            </w:tcBorders>
            <w:vAlign w:val="center"/>
          </w:tcPr>
          <w:p w14:paraId="2C28483E" w14:textId="0DE20C26"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18 (40%)</w:t>
            </w:r>
          </w:p>
        </w:tc>
      </w:tr>
      <w:tr w:rsidR="001C602F" w:rsidRPr="00B713C5" w14:paraId="4F596DC5" w14:textId="6D9F85A0" w:rsidTr="001C602F">
        <w:trPr>
          <w:trHeight w:val="385"/>
          <w:jc w:val="center"/>
        </w:trPr>
        <w:tc>
          <w:tcPr>
            <w:tcW w:w="2348" w:type="pct"/>
            <w:vMerge/>
          </w:tcPr>
          <w:p w14:paraId="58134DD3"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779D77C8"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Emergency vaccination to-live</w:t>
            </w:r>
          </w:p>
        </w:tc>
        <w:tc>
          <w:tcPr>
            <w:tcW w:w="1349" w:type="pct"/>
            <w:tcBorders>
              <w:top w:val="single" w:sz="4" w:space="0" w:color="BFBFBF" w:themeColor="background1" w:themeShade="BF"/>
              <w:bottom w:val="single" w:sz="4" w:space="0" w:color="BFBFBF" w:themeColor="background1" w:themeShade="BF"/>
            </w:tcBorders>
            <w:vAlign w:val="center"/>
          </w:tcPr>
          <w:p w14:paraId="6F093594" w14:textId="30E2C34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19 (42%)</w:t>
            </w:r>
          </w:p>
        </w:tc>
      </w:tr>
      <w:tr w:rsidR="001C602F" w:rsidRPr="00B713C5" w14:paraId="183C8978" w14:textId="4F55A76C" w:rsidTr="001C602F">
        <w:trPr>
          <w:trHeight w:val="385"/>
          <w:jc w:val="center"/>
        </w:trPr>
        <w:tc>
          <w:tcPr>
            <w:tcW w:w="2348" w:type="pct"/>
            <w:vMerge/>
          </w:tcPr>
          <w:p w14:paraId="34D4F3E9"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689E0736"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Emergency vaccination to-kill</w:t>
            </w:r>
          </w:p>
        </w:tc>
        <w:tc>
          <w:tcPr>
            <w:tcW w:w="1349" w:type="pct"/>
            <w:tcBorders>
              <w:top w:val="single" w:sz="4" w:space="0" w:color="BFBFBF" w:themeColor="background1" w:themeShade="BF"/>
              <w:bottom w:val="single" w:sz="4" w:space="0" w:color="BFBFBF" w:themeColor="background1" w:themeShade="BF"/>
            </w:tcBorders>
            <w:vAlign w:val="center"/>
          </w:tcPr>
          <w:p w14:paraId="11878D18" w14:textId="0EE36CF1"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8 (18%)</w:t>
            </w:r>
          </w:p>
        </w:tc>
      </w:tr>
      <w:tr w:rsidR="001C602F" w:rsidRPr="00B713C5" w14:paraId="2C641EA1" w14:textId="0948B045" w:rsidTr="001C602F">
        <w:trPr>
          <w:trHeight w:val="578"/>
          <w:jc w:val="center"/>
        </w:trPr>
        <w:tc>
          <w:tcPr>
            <w:tcW w:w="2348" w:type="pct"/>
            <w:vMerge w:val="restart"/>
            <w:tcBorders>
              <w:top w:val="single" w:sz="4" w:space="0" w:color="BFBFBF" w:themeColor="background1" w:themeShade="BF"/>
            </w:tcBorders>
          </w:tcPr>
          <w:p w14:paraId="65727976"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Conduction of simulation exercises prior suspension</w:t>
            </w:r>
          </w:p>
        </w:tc>
        <w:tc>
          <w:tcPr>
            <w:tcW w:w="1303" w:type="pct"/>
            <w:tcBorders>
              <w:top w:val="single" w:sz="4" w:space="0" w:color="BFBFBF" w:themeColor="background1" w:themeShade="BF"/>
              <w:bottom w:val="single" w:sz="4" w:space="0" w:color="BFBFBF" w:themeColor="background1" w:themeShade="BF"/>
            </w:tcBorders>
            <w:vAlign w:val="center"/>
          </w:tcPr>
          <w:p w14:paraId="73AA9EE6"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Yes</w:t>
            </w:r>
          </w:p>
        </w:tc>
        <w:tc>
          <w:tcPr>
            <w:tcW w:w="1349" w:type="pct"/>
            <w:tcBorders>
              <w:top w:val="single" w:sz="4" w:space="0" w:color="BFBFBF" w:themeColor="background1" w:themeShade="BF"/>
              <w:bottom w:val="single" w:sz="4" w:space="0" w:color="BFBFBF" w:themeColor="background1" w:themeShade="BF"/>
            </w:tcBorders>
            <w:vAlign w:val="center"/>
          </w:tcPr>
          <w:p w14:paraId="739EC122" w14:textId="67AA67E7"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4 (8%)</w:t>
            </w:r>
          </w:p>
        </w:tc>
      </w:tr>
      <w:tr w:rsidR="001C602F" w:rsidRPr="00B713C5" w14:paraId="0F7B0AEC" w14:textId="38A9C54B" w:rsidTr="001C602F">
        <w:trPr>
          <w:trHeight w:val="577"/>
          <w:jc w:val="center"/>
        </w:trPr>
        <w:tc>
          <w:tcPr>
            <w:tcW w:w="2348" w:type="pct"/>
            <w:vMerge/>
          </w:tcPr>
          <w:p w14:paraId="17F7C1E9"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16D6BCB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No</w:t>
            </w:r>
          </w:p>
        </w:tc>
        <w:tc>
          <w:tcPr>
            <w:tcW w:w="1349" w:type="pct"/>
            <w:tcBorders>
              <w:top w:val="single" w:sz="4" w:space="0" w:color="BFBFBF" w:themeColor="background1" w:themeShade="BF"/>
              <w:bottom w:val="single" w:sz="4" w:space="0" w:color="BFBFBF" w:themeColor="background1" w:themeShade="BF"/>
            </w:tcBorders>
            <w:vAlign w:val="center"/>
          </w:tcPr>
          <w:p w14:paraId="4711C338" w14:textId="4E1C5555"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41 (91%)</w:t>
            </w:r>
          </w:p>
        </w:tc>
      </w:tr>
      <w:tr w:rsidR="001C602F" w:rsidRPr="00B713C5" w14:paraId="62A34184" w14:textId="56B6DAE3" w:rsidTr="001C602F">
        <w:trPr>
          <w:trHeight w:val="735"/>
          <w:jc w:val="center"/>
        </w:trPr>
        <w:tc>
          <w:tcPr>
            <w:tcW w:w="2348" w:type="pct"/>
            <w:vMerge w:val="restart"/>
            <w:tcBorders>
              <w:top w:val="single" w:sz="4" w:space="0" w:color="BFBFBF" w:themeColor="background1" w:themeShade="BF"/>
            </w:tcBorders>
          </w:tcPr>
          <w:p w14:paraId="7E5EAF76" w14:textId="77777777"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Conduction of simulation modelling studies prior suspension</w:t>
            </w:r>
          </w:p>
        </w:tc>
        <w:tc>
          <w:tcPr>
            <w:tcW w:w="1303" w:type="pct"/>
            <w:tcBorders>
              <w:top w:val="single" w:sz="4" w:space="0" w:color="BFBFBF" w:themeColor="background1" w:themeShade="BF"/>
              <w:bottom w:val="single" w:sz="4" w:space="0" w:color="BFBFBF" w:themeColor="background1" w:themeShade="BF"/>
            </w:tcBorders>
            <w:vAlign w:val="center"/>
          </w:tcPr>
          <w:p w14:paraId="117E36C2"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Yes</w:t>
            </w:r>
          </w:p>
        </w:tc>
        <w:tc>
          <w:tcPr>
            <w:tcW w:w="1349" w:type="pct"/>
            <w:tcBorders>
              <w:top w:val="single" w:sz="4" w:space="0" w:color="BFBFBF" w:themeColor="background1" w:themeShade="BF"/>
              <w:bottom w:val="single" w:sz="4" w:space="0" w:color="BFBFBF" w:themeColor="background1" w:themeShade="BF"/>
            </w:tcBorders>
            <w:vAlign w:val="center"/>
          </w:tcPr>
          <w:p w14:paraId="320771BE" w14:textId="0D11E816"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8 (18%)</w:t>
            </w:r>
          </w:p>
        </w:tc>
      </w:tr>
      <w:tr w:rsidR="001C602F" w:rsidRPr="00B713C5" w14:paraId="08F2C4AF" w14:textId="156EFEC0" w:rsidTr="001C602F">
        <w:trPr>
          <w:trHeight w:val="735"/>
          <w:jc w:val="center"/>
        </w:trPr>
        <w:tc>
          <w:tcPr>
            <w:tcW w:w="2348" w:type="pct"/>
            <w:vMerge/>
          </w:tcPr>
          <w:p w14:paraId="2C154756" w14:textId="77777777" w:rsidR="001C602F" w:rsidRPr="00B713C5" w:rsidRDefault="001C602F" w:rsidP="00B713C5">
            <w:pPr>
              <w:pStyle w:val="NoSpacing"/>
              <w:jc w:val="right"/>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BFBFBF" w:themeColor="background1" w:themeShade="BF"/>
            </w:tcBorders>
            <w:vAlign w:val="center"/>
          </w:tcPr>
          <w:p w14:paraId="475E74AD"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No</w:t>
            </w:r>
          </w:p>
        </w:tc>
        <w:tc>
          <w:tcPr>
            <w:tcW w:w="1349" w:type="pct"/>
            <w:tcBorders>
              <w:top w:val="single" w:sz="4" w:space="0" w:color="BFBFBF" w:themeColor="background1" w:themeShade="BF"/>
              <w:bottom w:val="single" w:sz="4" w:space="0" w:color="BFBFBF" w:themeColor="background1" w:themeShade="BF"/>
            </w:tcBorders>
            <w:vAlign w:val="center"/>
          </w:tcPr>
          <w:p w14:paraId="0DAEE0CD" w14:textId="3A3AC48A"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37 (82%)</w:t>
            </w:r>
          </w:p>
        </w:tc>
      </w:tr>
      <w:tr w:rsidR="001C602F" w:rsidRPr="00B713C5" w14:paraId="5B89FA4A" w14:textId="23CEFD31" w:rsidTr="001C602F">
        <w:trPr>
          <w:trHeight w:val="420"/>
          <w:jc w:val="center"/>
        </w:trPr>
        <w:tc>
          <w:tcPr>
            <w:tcW w:w="2348" w:type="pct"/>
            <w:vMerge w:val="restart"/>
            <w:tcBorders>
              <w:top w:val="single" w:sz="4" w:space="0" w:color="BFBFBF" w:themeColor="background1" w:themeShade="BF"/>
            </w:tcBorders>
          </w:tcPr>
          <w:p w14:paraId="6470277E" w14:textId="2FDEA4D6" w:rsidR="001C602F" w:rsidRPr="00B713C5" w:rsidRDefault="001C60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Existence of a public private partnership</w:t>
            </w:r>
            <w:r w:rsidRPr="00B713C5">
              <w:rPr>
                <w:rFonts w:asciiTheme="majorBidi" w:hAnsiTheme="majorBidi" w:cstheme="majorBidi"/>
                <w:i/>
                <w:iCs/>
                <w:sz w:val="20"/>
                <w:szCs w:val="20"/>
                <w:vertAlign w:val="superscript"/>
              </w:rPr>
              <w:t>1</w:t>
            </w:r>
          </w:p>
        </w:tc>
        <w:tc>
          <w:tcPr>
            <w:tcW w:w="1303" w:type="pct"/>
            <w:tcBorders>
              <w:top w:val="single" w:sz="4" w:space="0" w:color="BFBFBF" w:themeColor="background1" w:themeShade="BF"/>
              <w:bottom w:val="single" w:sz="4" w:space="0" w:color="BFBFBF" w:themeColor="background1" w:themeShade="BF"/>
            </w:tcBorders>
            <w:vAlign w:val="center"/>
          </w:tcPr>
          <w:p w14:paraId="3DA7F646"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Yes</w:t>
            </w:r>
          </w:p>
        </w:tc>
        <w:tc>
          <w:tcPr>
            <w:tcW w:w="1349" w:type="pct"/>
            <w:tcBorders>
              <w:top w:val="single" w:sz="4" w:space="0" w:color="BFBFBF" w:themeColor="background1" w:themeShade="BF"/>
              <w:bottom w:val="single" w:sz="4" w:space="0" w:color="BFBFBF" w:themeColor="background1" w:themeShade="BF"/>
            </w:tcBorders>
            <w:vAlign w:val="center"/>
          </w:tcPr>
          <w:p w14:paraId="6F9FABAD" w14:textId="1E497BA3"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11 (24%)</w:t>
            </w:r>
          </w:p>
        </w:tc>
      </w:tr>
      <w:tr w:rsidR="001C602F" w:rsidRPr="00B713C5" w14:paraId="0AB29E45" w14:textId="77AEA329" w:rsidTr="001C602F">
        <w:trPr>
          <w:trHeight w:val="420"/>
          <w:jc w:val="center"/>
        </w:trPr>
        <w:tc>
          <w:tcPr>
            <w:tcW w:w="2348" w:type="pct"/>
            <w:vMerge/>
          </w:tcPr>
          <w:p w14:paraId="5753DF32" w14:textId="77777777" w:rsidR="001C602F" w:rsidRPr="00B713C5" w:rsidRDefault="001C602F" w:rsidP="00B713C5">
            <w:pPr>
              <w:pStyle w:val="NoSpacing"/>
              <w:rPr>
                <w:rFonts w:asciiTheme="majorBidi" w:hAnsiTheme="majorBidi" w:cstheme="majorBidi"/>
                <w:i/>
                <w:iCs/>
                <w:sz w:val="20"/>
                <w:szCs w:val="20"/>
              </w:rPr>
            </w:pPr>
          </w:p>
        </w:tc>
        <w:tc>
          <w:tcPr>
            <w:tcW w:w="1303" w:type="pct"/>
            <w:tcBorders>
              <w:top w:val="single" w:sz="4" w:space="0" w:color="BFBFBF" w:themeColor="background1" w:themeShade="BF"/>
              <w:bottom w:val="single" w:sz="4" w:space="0" w:color="auto"/>
            </w:tcBorders>
            <w:vAlign w:val="center"/>
          </w:tcPr>
          <w:p w14:paraId="47A653BC" w14:textId="77777777" w:rsidR="001C602F" w:rsidRPr="00B713C5" w:rsidRDefault="001C602F" w:rsidP="001C602F">
            <w:pPr>
              <w:pStyle w:val="NoSpacing"/>
              <w:rPr>
                <w:rFonts w:asciiTheme="majorBidi" w:hAnsiTheme="majorBidi" w:cstheme="majorBidi"/>
                <w:sz w:val="20"/>
                <w:szCs w:val="20"/>
              </w:rPr>
            </w:pPr>
            <w:r w:rsidRPr="00B713C5">
              <w:rPr>
                <w:rFonts w:asciiTheme="majorBidi" w:hAnsiTheme="majorBidi" w:cstheme="majorBidi"/>
                <w:sz w:val="20"/>
                <w:szCs w:val="20"/>
              </w:rPr>
              <w:t>No</w:t>
            </w:r>
          </w:p>
        </w:tc>
        <w:tc>
          <w:tcPr>
            <w:tcW w:w="1349" w:type="pct"/>
            <w:tcBorders>
              <w:top w:val="single" w:sz="4" w:space="0" w:color="BFBFBF" w:themeColor="background1" w:themeShade="BF"/>
              <w:bottom w:val="single" w:sz="4" w:space="0" w:color="auto"/>
            </w:tcBorders>
            <w:vAlign w:val="center"/>
          </w:tcPr>
          <w:p w14:paraId="52E73394" w14:textId="4835A8ED" w:rsidR="001C602F" w:rsidRPr="00B713C5" w:rsidRDefault="001C602F" w:rsidP="001C602F">
            <w:pPr>
              <w:pStyle w:val="NoSpacing"/>
              <w:jc w:val="center"/>
              <w:rPr>
                <w:rFonts w:asciiTheme="majorBidi" w:hAnsiTheme="majorBidi" w:cstheme="majorBidi"/>
                <w:sz w:val="20"/>
                <w:szCs w:val="20"/>
              </w:rPr>
            </w:pPr>
            <w:r w:rsidRPr="00B713C5">
              <w:rPr>
                <w:rFonts w:asciiTheme="majorBidi" w:hAnsiTheme="majorBidi" w:cstheme="majorBidi"/>
                <w:sz w:val="20"/>
                <w:szCs w:val="20"/>
              </w:rPr>
              <w:t>30 (67%)</w:t>
            </w:r>
          </w:p>
        </w:tc>
      </w:tr>
    </w:tbl>
    <w:p w14:paraId="47227595" w14:textId="75405A35" w:rsidR="00304DB5" w:rsidRDefault="008D2972">
      <w:r w:rsidRPr="008D2972">
        <w:rPr>
          <w:vertAlign w:val="superscript"/>
        </w:rPr>
        <w:t>1</w:t>
      </w:r>
      <w:r>
        <w:t xml:space="preserve"> In 4 study units, a PPP was in place but the starting date of the PPP could not be determined</w:t>
      </w:r>
    </w:p>
    <w:p w14:paraId="40D1A149" w14:textId="144F92CA" w:rsidR="00132A87" w:rsidRDefault="00132A87">
      <w:pPr>
        <w:spacing w:after="160" w:line="259" w:lineRule="auto"/>
      </w:pPr>
      <w:r>
        <w:br w:type="page"/>
      </w:r>
    </w:p>
    <w:p w14:paraId="4BBF0EEC" w14:textId="24E8F52D" w:rsidR="00132A87" w:rsidRDefault="00132A87" w:rsidP="00132A87">
      <w:r>
        <w:lastRenderedPageBreak/>
        <w:t>Table A</w:t>
      </w:r>
      <w:r w:rsidR="00813CD7">
        <w:t>3</w:t>
      </w:r>
      <w:r>
        <w:t xml:space="preserve"> – Summary statistics for </w:t>
      </w:r>
      <w:r w:rsidR="00883AFA">
        <w:t>quantitative</w:t>
      </w:r>
      <w:r>
        <w:t xml:space="preserve"> variables</w:t>
      </w:r>
    </w:p>
    <w:tbl>
      <w:tblPr>
        <w:tblStyle w:val="TableGrid"/>
        <w:tblW w:w="398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2"/>
        <w:gridCol w:w="1440"/>
        <w:gridCol w:w="1439"/>
      </w:tblGrid>
      <w:tr w:rsidR="00B713C5" w:rsidRPr="00B713C5" w14:paraId="5758C4D8" w14:textId="26D15F94" w:rsidTr="006E53F6">
        <w:trPr>
          <w:jc w:val="center"/>
        </w:trPr>
        <w:tc>
          <w:tcPr>
            <w:tcW w:w="2000" w:type="pct"/>
            <w:tcBorders>
              <w:top w:val="single" w:sz="4" w:space="0" w:color="auto"/>
              <w:bottom w:val="single" w:sz="4" w:space="0" w:color="auto"/>
            </w:tcBorders>
          </w:tcPr>
          <w:p w14:paraId="7BF04ABF" w14:textId="77777777"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 xml:space="preserve">Group </w:t>
            </w:r>
          </w:p>
          <w:p w14:paraId="4C7081D0" w14:textId="77777777" w:rsidR="00A4582F" w:rsidRPr="00B713C5" w:rsidRDefault="00A458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Variable</w:t>
            </w:r>
          </w:p>
        </w:tc>
        <w:tc>
          <w:tcPr>
            <w:tcW w:w="1001" w:type="pct"/>
            <w:tcBorders>
              <w:top w:val="single" w:sz="4" w:space="0" w:color="auto"/>
              <w:bottom w:val="single" w:sz="4" w:space="0" w:color="auto"/>
            </w:tcBorders>
            <w:vAlign w:val="center"/>
          </w:tcPr>
          <w:p w14:paraId="7D25FD12" w14:textId="3A830325"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25</w:t>
            </w:r>
            <w:r w:rsidRPr="006E53F6">
              <w:rPr>
                <w:rFonts w:asciiTheme="majorBidi" w:hAnsiTheme="majorBidi" w:cstheme="majorBidi"/>
                <w:b/>
                <w:bCs/>
                <w:sz w:val="20"/>
                <w:szCs w:val="20"/>
                <w:vertAlign w:val="superscript"/>
              </w:rPr>
              <w:t>th</w:t>
            </w:r>
            <w:r w:rsidRPr="006E53F6">
              <w:rPr>
                <w:rFonts w:asciiTheme="majorBidi" w:hAnsiTheme="majorBidi" w:cstheme="majorBidi"/>
                <w:b/>
                <w:bCs/>
                <w:sz w:val="20"/>
                <w:szCs w:val="20"/>
              </w:rPr>
              <w:t xml:space="preserve"> Percentile</w:t>
            </w:r>
          </w:p>
        </w:tc>
        <w:tc>
          <w:tcPr>
            <w:tcW w:w="1000" w:type="pct"/>
            <w:tcBorders>
              <w:top w:val="single" w:sz="4" w:space="0" w:color="auto"/>
              <w:bottom w:val="single" w:sz="4" w:space="0" w:color="auto"/>
            </w:tcBorders>
            <w:vAlign w:val="center"/>
          </w:tcPr>
          <w:p w14:paraId="151A94CD" w14:textId="0D978DD5"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Median</w:t>
            </w:r>
          </w:p>
        </w:tc>
        <w:tc>
          <w:tcPr>
            <w:tcW w:w="1000" w:type="pct"/>
            <w:tcBorders>
              <w:top w:val="single" w:sz="4" w:space="0" w:color="auto"/>
              <w:bottom w:val="single" w:sz="4" w:space="0" w:color="auto"/>
            </w:tcBorders>
            <w:vAlign w:val="center"/>
          </w:tcPr>
          <w:p w14:paraId="4A79AD6F" w14:textId="35682A6F"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75</w:t>
            </w:r>
            <w:r w:rsidRPr="006E53F6">
              <w:rPr>
                <w:rFonts w:asciiTheme="majorBidi" w:hAnsiTheme="majorBidi" w:cstheme="majorBidi"/>
                <w:b/>
                <w:bCs/>
                <w:sz w:val="20"/>
                <w:szCs w:val="20"/>
                <w:vertAlign w:val="superscript"/>
              </w:rPr>
              <w:t>th</w:t>
            </w:r>
            <w:r w:rsidRPr="006E53F6">
              <w:rPr>
                <w:rFonts w:asciiTheme="majorBidi" w:hAnsiTheme="majorBidi" w:cstheme="majorBidi"/>
                <w:b/>
                <w:bCs/>
                <w:sz w:val="20"/>
                <w:szCs w:val="20"/>
              </w:rPr>
              <w:t xml:space="preserve"> Percentile</w:t>
            </w:r>
          </w:p>
        </w:tc>
      </w:tr>
      <w:tr w:rsidR="00B713C5" w:rsidRPr="00B713C5" w14:paraId="12C54942" w14:textId="424E13F2" w:rsidTr="006E53F6">
        <w:trPr>
          <w:jc w:val="center"/>
        </w:trPr>
        <w:tc>
          <w:tcPr>
            <w:tcW w:w="2000" w:type="pct"/>
            <w:tcBorders>
              <w:top w:val="single" w:sz="4" w:space="0" w:color="auto"/>
              <w:bottom w:val="single" w:sz="4" w:space="0" w:color="BFBFBF" w:themeColor="background1" w:themeShade="BF"/>
            </w:tcBorders>
          </w:tcPr>
          <w:p w14:paraId="03847FF1" w14:textId="77777777"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Agricultural characteristics of the study unit</w:t>
            </w:r>
          </w:p>
        </w:tc>
        <w:tc>
          <w:tcPr>
            <w:tcW w:w="1001" w:type="pct"/>
            <w:tcBorders>
              <w:top w:val="single" w:sz="4" w:space="0" w:color="auto"/>
              <w:bottom w:val="nil"/>
            </w:tcBorders>
            <w:vAlign w:val="center"/>
          </w:tcPr>
          <w:p w14:paraId="222CA205"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6798483B"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7F6F136D" w14:textId="77777777" w:rsidR="00A4582F" w:rsidRPr="00B713C5" w:rsidRDefault="00A4582F" w:rsidP="006E53F6">
            <w:pPr>
              <w:pStyle w:val="NoSpacing"/>
              <w:jc w:val="center"/>
              <w:rPr>
                <w:rFonts w:asciiTheme="majorBidi" w:hAnsiTheme="majorBidi" w:cstheme="majorBidi"/>
                <w:sz w:val="20"/>
                <w:szCs w:val="20"/>
              </w:rPr>
            </w:pPr>
          </w:p>
        </w:tc>
      </w:tr>
      <w:tr w:rsidR="00B713C5" w:rsidRPr="00B713C5" w14:paraId="073FB925" w14:textId="343E7AF7" w:rsidTr="006E53F6">
        <w:trPr>
          <w:jc w:val="center"/>
        </w:trPr>
        <w:tc>
          <w:tcPr>
            <w:tcW w:w="2000" w:type="pct"/>
            <w:tcBorders>
              <w:top w:val="single" w:sz="4" w:space="0" w:color="BFBFBF" w:themeColor="background1" w:themeShade="BF"/>
              <w:bottom w:val="single" w:sz="4" w:space="0" w:color="auto"/>
            </w:tcBorders>
          </w:tcPr>
          <w:p w14:paraId="4C09746E" w14:textId="03014EEA" w:rsidR="00A4582F" w:rsidRPr="00B713C5" w:rsidRDefault="00A458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Livestock density</w:t>
            </w:r>
            <w:r w:rsidRPr="00B713C5">
              <w:rPr>
                <w:rFonts w:asciiTheme="majorBidi" w:hAnsiTheme="majorBidi" w:cstheme="majorBidi"/>
                <w:i/>
                <w:iCs/>
                <w:sz w:val="20"/>
                <w:szCs w:val="20"/>
                <w:vertAlign w:val="superscript"/>
              </w:rPr>
              <w:t>1</w:t>
            </w:r>
          </w:p>
        </w:tc>
        <w:tc>
          <w:tcPr>
            <w:tcW w:w="1001" w:type="pct"/>
            <w:tcBorders>
              <w:top w:val="nil"/>
              <w:bottom w:val="single" w:sz="4" w:space="0" w:color="auto"/>
            </w:tcBorders>
            <w:vAlign w:val="center"/>
          </w:tcPr>
          <w:p w14:paraId="72C8ACC1" w14:textId="10EE3A86"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0.08</w:t>
            </w:r>
          </w:p>
        </w:tc>
        <w:tc>
          <w:tcPr>
            <w:tcW w:w="1000" w:type="pct"/>
            <w:tcBorders>
              <w:top w:val="nil"/>
              <w:bottom w:val="single" w:sz="4" w:space="0" w:color="auto"/>
            </w:tcBorders>
            <w:vAlign w:val="center"/>
          </w:tcPr>
          <w:p w14:paraId="3935AC6B" w14:textId="3420248A"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0.38</w:t>
            </w:r>
          </w:p>
        </w:tc>
        <w:tc>
          <w:tcPr>
            <w:tcW w:w="1000" w:type="pct"/>
            <w:tcBorders>
              <w:top w:val="nil"/>
              <w:bottom w:val="single" w:sz="4" w:space="0" w:color="auto"/>
            </w:tcBorders>
            <w:vAlign w:val="center"/>
          </w:tcPr>
          <w:p w14:paraId="5A1A12BF" w14:textId="12EB8B99"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0.8</w:t>
            </w:r>
          </w:p>
        </w:tc>
      </w:tr>
      <w:tr w:rsidR="00B713C5" w:rsidRPr="00B713C5" w14:paraId="0CD5A8AF" w14:textId="3DDFD4AC" w:rsidTr="006E53F6">
        <w:trPr>
          <w:jc w:val="center"/>
        </w:trPr>
        <w:tc>
          <w:tcPr>
            <w:tcW w:w="2000" w:type="pct"/>
            <w:tcBorders>
              <w:top w:val="single" w:sz="4" w:space="0" w:color="auto"/>
              <w:bottom w:val="single" w:sz="4" w:space="0" w:color="BFBFBF" w:themeColor="background1" w:themeShade="BF"/>
            </w:tcBorders>
          </w:tcPr>
          <w:p w14:paraId="67BEBB98" w14:textId="77777777"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Characteristics of the FMD outbreak</w:t>
            </w:r>
          </w:p>
        </w:tc>
        <w:tc>
          <w:tcPr>
            <w:tcW w:w="1001" w:type="pct"/>
            <w:tcBorders>
              <w:top w:val="single" w:sz="4" w:space="0" w:color="auto"/>
              <w:bottom w:val="nil"/>
            </w:tcBorders>
            <w:vAlign w:val="center"/>
          </w:tcPr>
          <w:p w14:paraId="06E5F406"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77841226"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2292617D" w14:textId="77777777" w:rsidR="00A4582F" w:rsidRPr="00B713C5" w:rsidRDefault="00A4582F" w:rsidP="006E53F6">
            <w:pPr>
              <w:pStyle w:val="NoSpacing"/>
              <w:jc w:val="center"/>
              <w:rPr>
                <w:rFonts w:asciiTheme="majorBidi" w:hAnsiTheme="majorBidi" w:cstheme="majorBidi"/>
                <w:sz w:val="20"/>
                <w:szCs w:val="20"/>
              </w:rPr>
            </w:pPr>
          </w:p>
        </w:tc>
      </w:tr>
      <w:tr w:rsidR="00B713C5" w:rsidRPr="00B713C5" w14:paraId="4D0ECDB3" w14:textId="389EB9DE" w:rsidTr="006E53F6">
        <w:trPr>
          <w:jc w:val="center"/>
        </w:trPr>
        <w:tc>
          <w:tcPr>
            <w:tcW w:w="2000" w:type="pct"/>
            <w:tcBorders>
              <w:top w:val="single" w:sz="4" w:space="0" w:color="BFBFBF" w:themeColor="background1" w:themeShade="BF"/>
              <w:bottom w:val="single" w:sz="4" w:space="0" w:color="auto"/>
            </w:tcBorders>
          </w:tcPr>
          <w:p w14:paraId="7B1CC867" w14:textId="3DEEC5AF" w:rsidR="00A4582F" w:rsidRPr="00B713C5" w:rsidRDefault="00EE6EEC"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Percentage of at-risk livestock during the outbreak</w:t>
            </w:r>
            <w:r w:rsidRPr="00B713C5">
              <w:rPr>
                <w:rFonts w:asciiTheme="majorBidi" w:hAnsiTheme="majorBidi" w:cstheme="majorBidi"/>
                <w:i/>
                <w:iCs/>
                <w:sz w:val="20"/>
                <w:szCs w:val="20"/>
                <w:vertAlign w:val="superscript"/>
              </w:rPr>
              <w:t xml:space="preserve"> </w:t>
            </w:r>
            <w:r w:rsidR="00A4582F" w:rsidRPr="00B713C5">
              <w:rPr>
                <w:rFonts w:asciiTheme="majorBidi" w:hAnsiTheme="majorBidi" w:cstheme="majorBidi"/>
                <w:i/>
                <w:iCs/>
                <w:sz w:val="20"/>
                <w:szCs w:val="20"/>
                <w:vertAlign w:val="superscript"/>
              </w:rPr>
              <w:t>2</w:t>
            </w:r>
          </w:p>
        </w:tc>
        <w:tc>
          <w:tcPr>
            <w:tcW w:w="1001" w:type="pct"/>
            <w:tcBorders>
              <w:top w:val="nil"/>
              <w:bottom w:val="single" w:sz="4" w:space="0" w:color="auto"/>
            </w:tcBorders>
            <w:vAlign w:val="center"/>
          </w:tcPr>
          <w:p w14:paraId="6DB39BA8" w14:textId="5E0CA2BC"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1</w:t>
            </w:r>
          </w:p>
        </w:tc>
        <w:tc>
          <w:tcPr>
            <w:tcW w:w="1000" w:type="pct"/>
            <w:tcBorders>
              <w:top w:val="nil"/>
              <w:bottom w:val="single" w:sz="4" w:space="0" w:color="auto"/>
            </w:tcBorders>
            <w:vAlign w:val="center"/>
          </w:tcPr>
          <w:p w14:paraId="58748845" w14:textId="4F1C7503"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2</w:t>
            </w:r>
          </w:p>
        </w:tc>
        <w:tc>
          <w:tcPr>
            <w:tcW w:w="1000" w:type="pct"/>
            <w:tcBorders>
              <w:top w:val="nil"/>
              <w:bottom w:val="single" w:sz="4" w:space="0" w:color="auto"/>
            </w:tcBorders>
            <w:vAlign w:val="center"/>
          </w:tcPr>
          <w:p w14:paraId="2F9CC2FE" w14:textId="11C1D460"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9</w:t>
            </w:r>
          </w:p>
        </w:tc>
      </w:tr>
      <w:tr w:rsidR="00B713C5" w:rsidRPr="00B713C5" w14:paraId="4A901112" w14:textId="219505FC" w:rsidTr="006E53F6">
        <w:trPr>
          <w:jc w:val="center"/>
        </w:trPr>
        <w:tc>
          <w:tcPr>
            <w:tcW w:w="2000" w:type="pct"/>
            <w:tcBorders>
              <w:top w:val="single" w:sz="4" w:space="0" w:color="auto"/>
              <w:bottom w:val="single" w:sz="4" w:space="0" w:color="BFBFBF" w:themeColor="background1" w:themeShade="BF"/>
            </w:tcBorders>
          </w:tcPr>
          <w:p w14:paraId="4BF62ABC" w14:textId="77777777" w:rsidR="00A4582F" w:rsidRPr="006E53F6" w:rsidRDefault="00A4582F" w:rsidP="00B713C5">
            <w:pPr>
              <w:pStyle w:val="NoSpacing"/>
              <w:rPr>
                <w:rFonts w:asciiTheme="majorBidi" w:hAnsiTheme="majorBidi" w:cstheme="majorBidi"/>
                <w:b/>
                <w:bCs/>
                <w:sz w:val="20"/>
                <w:szCs w:val="20"/>
              </w:rPr>
            </w:pPr>
            <w:r w:rsidRPr="006E53F6">
              <w:rPr>
                <w:rFonts w:asciiTheme="majorBidi" w:hAnsiTheme="majorBidi" w:cstheme="majorBidi"/>
                <w:b/>
                <w:bCs/>
                <w:sz w:val="20"/>
                <w:szCs w:val="20"/>
              </w:rPr>
              <w:t>Emergency response and preparedness of the study unit</w:t>
            </w:r>
          </w:p>
        </w:tc>
        <w:tc>
          <w:tcPr>
            <w:tcW w:w="1001" w:type="pct"/>
            <w:tcBorders>
              <w:top w:val="single" w:sz="4" w:space="0" w:color="auto"/>
              <w:bottom w:val="nil"/>
            </w:tcBorders>
            <w:vAlign w:val="center"/>
          </w:tcPr>
          <w:p w14:paraId="4DED58BF"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5A940112" w14:textId="77777777" w:rsidR="00A4582F" w:rsidRPr="00B713C5" w:rsidRDefault="00A4582F" w:rsidP="006E53F6">
            <w:pPr>
              <w:pStyle w:val="NoSpacing"/>
              <w:jc w:val="center"/>
              <w:rPr>
                <w:rFonts w:asciiTheme="majorBidi" w:hAnsiTheme="majorBidi" w:cstheme="majorBidi"/>
                <w:sz w:val="20"/>
                <w:szCs w:val="20"/>
              </w:rPr>
            </w:pPr>
          </w:p>
        </w:tc>
        <w:tc>
          <w:tcPr>
            <w:tcW w:w="1000" w:type="pct"/>
            <w:tcBorders>
              <w:top w:val="single" w:sz="4" w:space="0" w:color="auto"/>
              <w:bottom w:val="nil"/>
            </w:tcBorders>
            <w:vAlign w:val="center"/>
          </w:tcPr>
          <w:p w14:paraId="6A985421" w14:textId="77777777" w:rsidR="00A4582F" w:rsidRPr="00B713C5" w:rsidRDefault="00A4582F" w:rsidP="006E53F6">
            <w:pPr>
              <w:pStyle w:val="NoSpacing"/>
              <w:jc w:val="center"/>
              <w:rPr>
                <w:rFonts w:asciiTheme="majorBidi" w:hAnsiTheme="majorBidi" w:cstheme="majorBidi"/>
                <w:sz w:val="20"/>
                <w:szCs w:val="20"/>
              </w:rPr>
            </w:pPr>
          </w:p>
        </w:tc>
      </w:tr>
      <w:tr w:rsidR="00B713C5" w:rsidRPr="00B713C5" w14:paraId="1F95FDA5" w14:textId="7C387F08" w:rsidTr="006E53F6">
        <w:trPr>
          <w:jc w:val="center"/>
        </w:trPr>
        <w:tc>
          <w:tcPr>
            <w:tcW w:w="2000" w:type="pct"/>
            <w:tcBorders>
              <w:top w:val="single" w:sz="4" w:space="0" w:color="BFBFBF" w:themeColor="background1" w:themeShade="BF"/>
              <w:bottom w:val="single" w:sz="4" w:space="0" w:color="BFBFBF" w:themeColor="background1" w:themeShade="BF"/>
            </w:tcBorders>
          </w:tcPr>
          <w:p w14:paraId="6A3BE4F6" w14:textId="2F6D0A5F" w:rsidR="00A4582F" w:rsidRPr="00B713C5" w:rsidRDefault="00A4582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Capacity of official veterinary services</w:t>
            </w:r>
            <w:r w:rsidRPr="00B713C5">
              <w:rPr>
                <w:rFonts w:asciiTheme="majorBidi" w:hAnsiTheme="majorBidi" w:cstheme="majorBidi"/>
                <w:i/>
                <w:iCs/>
                <w:sz w:val="20"/>
                <w:szCs w:val="20"/>
                <w:vertAlign w:val="superscript"/>
              </w:rPr>
              <w:t>3</w:t>
            </w:r>
          </w:p>
        </w:tc>
        <w:tc>
          <w:tcPr>
            <w:tcW w:w="1001" w:type="pct"/>
            <w:tcBorders>
              <w:top w:val="single" w:sz="4" w:space="0" w:color="BFBFBF" w:themeColor="background1" w:themeShade="BF"/>
              <w:bottom w:val="single" w:sz="4" w:space="0" w:color="BFBFBF" w:themeColor="background1" w:themeShade="BF"/>
            </w:tcBorders>
            <w:vAlign w:val="center"/>
          </w:tcPr>
          <w:p w14:paraId="48AEE62D" w14:textId="2E2991FC"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2</w:t>
            </w:r>
          </w:p>
        </w:tc>
        <w:tc>
          <w:tcPr>
            <w:tcW w:w="1000" w:type="pct"/>
            <w:tcBorders>
              <w:top w:val="single" w:sz="4" w:space="0" w:color="BFBFBF" w:themeColor="background1" w:themeShade="BF"/>
              <w:bottom w:val="single" w:sz="4" w:space="0" w:color="BFBFBF" w:themeColor="background1" w:themeShade="BF"/>
            </w:tcBorders>
            <w:vAlign w:val="center"/>
          </w:tcPr>
          <w:p w14:paraId="238345DA" w14:textId="0BD2320A"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3</w:t>
            </w:r>
          </w:p>
        </w:tc>
        <w:tc>
          <w:tcPr>
            <w:tcW w:w="1000" w:type="pct"/>
            <w:tcBorders>
              <w:top w:val="single" w:sz="4" w:space="0" w:color="BFBFBF" w:themeColor="background1" w:themeShade="BF"/>
              <w:bottom w:val="single" w:sz="4" w:space="0" w:color="BFBFBF" w:themeColor="background1" w:themeShade="BF"/>
            </w:tcBorders>
            <w:vAlign w:val="center"/>
          </w:tcPr>
          <w:p w14:paraId="72C2111E" w14:textId="1F1D35A3" w:rsidR="00A4582F" w:rsidRPr="00B713C5" w:rsidRDefault="00A4582F"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6.5</w:t>
            </w:r>
          </w:p>
        </w:tc>
      </w:tr>
      <w:tr w:rsidR="00B713C5" w:rsidRPr="00B713C5" w14:paraId="5920F855" w14:textId="77777777" w:rsidTr="006E53F6">
        <w:trPr>
          <w:jc w:val="center"/>
        </w:trPr>
        <w:tc>
          <w:tcPr>
            <w:tcW w:w="2000" w:type="pct"/>
            <w:tcBorders>
              <w:top w:val="single" w:sz="4" w:space="0" w:color="BFBFBF" w:themeColor="background1" w:themeShade="BF"/>
              <w:bottom w:val="single" w:sz="4" w:space="0" w:color="BFBFBF" w:themeColor="background1" w:themeShade="BF"/>
            </w:tcBorders>
          </w:tcPr>
          <w:p w14:paraId="26FE8AFD" w14:textId="049331AD" w:rsidR="00442D59" w:rsidRPr="00B713C5" w:rsidRDefault="1801D13E"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 xml:space="preserve">Time </w:t>
            </w:r>
            <w:r w:rsidR="1C55EC42" w:rsidRPr="00B713C5">
              <w:rPr>
                <w:rFonts w:asciiTheme="majorBidi" w:hAnsiTheme="majorBidi" w:cstheme="majorBidi"/>
                <w:i/>
                <w:iCs/>
                <w:sz w:val="20"/>
                <w:szCs w:val="20"/>
              </w:rPr>
              <w:t xml:space="preserve">(months) </w:t>
            </w:r>
            <w:r w:rsidRPr="00B713C5">
              <w:rPr>
                <w:rFonts w:asciiTheme="majorBidi" w:hAnsiTheme="majorBidi" w:cstheme="majorBidi"/>
                <w:i/>
                <w:iCs/>
                <w:sz w:val="20"/>
                <w:szCs w:val="20"/>
              </w:rPr>
              <w:t>since FMD freedom</w:t>
            </w:r>
            <w:r w:rsidRPr="00B713C5">
              <w:rPr>
                <w:rFonts w:asciiTheme="majorBidi" w:hAnsiTheme="majorBidi" w:cstheme="majorBidi"/>
                <w:i/>
                <w:iCs/>
                <w:sz w:val="20"/>
                <w:szCs w:val="20"/>
                <w:vertAlign w:val="superscript"/>
              </w:rPr>
              <w:t>4</w:t>
            </w:r>
          </w:p>
        </w:tc>
        <w:tc>
          <w:tcPr>
            <w:tcW w:w="1001" w:type="pct"/>
            <w:tcBorders>
              <w:top w:val="single" w:sz="4" w:space="0" w:color="BFBFBF" w:themeColor="background1" w:themeShade="BF"/>
              <w:bottom w:val="single" w:sz="4" w:space="0" w:color="BFBFBF" w:themeColor="background1" w:themeShade="BF"/>
            </w:tcBorders>
            <w:vAlign w:val="center"/>
          </w:tcPr>
          <w:p w14:paraId="0E26DFD5" w14:textId="435627CE" w:rsidR="00442D59" w:rsidRPr="00B713C5" w:rsidRDefault="004765EA"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15</w:t>
            </w:r>
          </w:p>
        </w:tc>
        <w:tc>
          <w:tcPr>
            <w:tcW w:w="1000" w:type="pct"/>
            <w:tcBorders>
              <w:top w:val="single" w:sz="4" w:space="0" w:color="BFBFBF" w:themeColor="background1" w:themeShade="BF"/>
              <w:bottom w:val="single" w:sz="4" w:space="0" w:color="BFBFBF" w:themeColor="background1" w:themeShade="BF"/>
            </w:tcBorders>
            <w:vAlign w:val="center"/>
          </w:tcPr>
          <w:p w14:paraId="0465B2A4" w14:textId="3D23654E" w:rsidR="00442D59" w:rsidRPr="00B713C5" w:rsidRDefault="004765EA"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46</w:t>
            </w:r>
          </w:p>
        </w:tc>
        <w:tc>
          <w:tcPr>
            <w:tcW w:w="1000" w:type="pct"/>
            <w:tcBorders>
              <w:top w:val="single" w:sz="4" w:space="0" w:color="BFBFBF" w:themeColor="background1" w:themeShade="BF"/>
              <w:bottom w:val="single" w:sz="4" w:space="0" w:color="BFBFBF" w:themeColor="background1" w:themeShade="BF"/>
            </w:tcBorders>
            <w:vAlign w:val="center"/>
          </w:tcPr>
          <w:p w14:paraId="4C830343" w14:textId="13FD68B9" w:rsidR="00442D59" w:rsidRPr="00B713C5" w:rsidRDefault="004765EA"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58</w:t>
            </w:r>
          </w:p>
        </w:tc>
      </w:tr>
      <w:tr w:rsidR="00B713C5" w:rsidRPr="00B713C5" w14:paraId="465F7ACC" w14:textId="2C094104" w:rsidTr="006E53F6">
        <w:trPr>
          <w:jc w:val="center"/>
        </w:trPr>
        <w:tc>
          <w:tcPr>
            <w:tcW w:w="2000" w:type="pct"/>
            <w:tcBorders>
              <w:top w:val="single" w:sz="4" w:space="0" w:color="BFBFBF" w:themeColor="background1" w:themeShade="BF"/>
              <w:bottom w:val="single" w:sz="4" w:space="0" w:color="BFBFBF" w:themeColor="background1" w:themeShade="BF"/>
            </w:tcBorders>
          </w:tcPr>
          <w:p w14:paraId="583060C2" w14:textId="57EB1DD3" w:rsidR="00A4582F" w:rsidRPr="00B713C5" w:rsidRDefault="00EE6EEC"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Time (days) taken to implement control measures after FMD detection</w:t>
            </w:r>
          </w:p>
        </w:tc>
        <w:tc>
          <w:tcPr>
            <w:tcW w:w="1001" w:type="pct"/>
            <w:tcBorders>
              <w:top w:val="single" w:sz="4" w:space="0" w:color="BFBFBF" w:themeColor="background1" w:themeShade="BF"/>
              <w:bottom w:val="single" w:sz="4" w:space="0" w:color="BFBFBF" w:themeColor="background1" w:themeShade="BF"/>
            </w:tcBorders>
            <w:vAlign w:val="center"/>
          </w:tcPr>
          <w:p w14:paraId="6DC9BC6A" w14:textId="3B886FE4"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1</w:t>
            </w:r>
          </w:p>
        </w:tc>
        <w:tc>
          <w:tcPr>
            <w:tcW w:w="1000" w:type="pct"/>
            <w:tcBorders>
              <w:top w:val="single" w:sz="4" w:space="0" w:color="BFBFBF" w:themeColor="background1" w:themeShade="BF"/>
              <w:bottom w:val="single" w:sz="4" w:space="0" w:color="BFBFBF" w:themeColor="background1" w:themeShade="BF"/>
            </w:tcBorders>
            <w:vAlign w:val="center"/>
          </w:tcPr>
          <w:p w14:paraId="6118798E" w14:textId="7C395EB5"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2</w:t>
            </w:r>
          </w:p>
        </w:tc>
        <w:tc>
          <w:tcPr>
            <w:tcW w:w="1000" w:type="pct"/>
            <w:tcBorders>
              <w:top w:val="single" w:sz="4" w:space="0" w:color="BFBFBF" w:themeColor="background1" w:themeShade="BF"/>
              <w:bottom w:val="single" w:sz="4" w:space="0" w:color="BFBFBF" w:themeColor="background1" w:themeShade="BF"/>
            </w:tcBorders>
            <w:vAlign w:val="center"/>
          </w:tcPr>
          <w:p w14:paraId="7571CD0E" w14:textId="3FF340A3"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6</w:t>
            </w:r>
          </w:p>
        </w:tc>
      </w:tr>
      <w:tr w:rsidR="00B713C5" w:rsidRPr="00B713C5" w14:paraId="706C9B26" w14:textId="2E92BCCF" w:rsidTr="006E53F6">
        <w:trPr>
          <w:jc w:val="center"/>
        </w:trPr>
        <w:tc>
          <w:tcPr>
            <w:tcW w:w="2000" w:type="pct"/>
            <w:tcBorders>
              <w:top w:val="single" w:sz="4" w:space="0" w:color="BFBFBF" w:themeColor="background1" w:themeShade="BF"/>
              <w:bottom w:val="single" w:sz="4" w:space="0" w:color="BFBFBF" w:themeColor="background1" w:themeShade="BF"/>
            </w:tcBorders>
          </w:tcPr>
          <w:p w14:paraId="57F6BFAC" w14:textId="49413758" w:rsidR="00A4582F" w:rsidRPr="00B713C5" w:rsidRDefault="00EE6EEC"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Time (weeks) between first detection of FMD and culling or vaccination of the last case</w:t>
            </w:r>
          </w:p>
        </w:tc>
        <w:tc>
          <w:tcPr>
            <w:tcW w:w="1001" w:type="pct"/>
            <w:tcBorders>
              <w:top w:val="single" w:sz="4" w:space="0" w:color="BFBFBF" w:themeColor="background1" w:themeShade="BF"/>
              <w:bottom w:val="single" w:sz="4" w:space="0" w:color="BFBFBF" w:themeColor="background1" w:themeShade="BF"/>
            </w:tcBorders>
            <w:vAlign w:val="center"/>
          </w:tcPr>
          <w:p w14:paraId="20071052" w14:textId="720382DB"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4</w:t>
            </w:r>
          </w:p>
        </w:tc>
        <w:tc>
          <w:tcPr>
            <w:tcW w:w="1000" w:type="pct"/>
            <w:tcBorders>
              <w:top w:val="single" w:sz="4" w:space="0" w:color="BFBFBF" w:themeColor="background1" w:themeShade="BF"/>
              <w:bottom w:val="single" w:sz="4" w:space="0" w:color="BFBFBF" w:themeColor="background1" w:themeShade="BF"/>
            </w:tcBorders>
            <w:vAlign w:val="center"/>
          </w:tcPr>
          <w:p w14:paraId="4822981D" w14:textId="5F59C323"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10</w:t>
            </w:r>
          </w:p>
        </w:tc>
        <w:tc>
          <w:tcPr>
            <w:tcW w:w="1000" w:type="pct"/>
            <w:tcBorders>
              <w:top w:val="single" w:sz="4" w:space="0" w:color="BFBFBF" w:themeColor="background1" w:themeShade="BF"/>
              <w:bottom w:val="single" w:sz="4" w:space="0" w:color="BFBFBF" w:themeColor="background1" w:themeShade="BF"/>
            </w:tcBorders>
            <w:vAlign w:val="center"/>
          </w:tcPr>
          <w:p w14:paraId="4D4067D6" w14:textId="1EE43EB4" w:rsidR="00A4582F" w:rsidRPr="00B713C5" w:rsidRDefault="0089417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28.5</w:t>
            </w:r>
          </w:p>
        </w:tc>
      </w:tr>
      <w:tr w:rsidR="00B713C5" w:rsidRPr="00B713C5" w14:paraId="4FA525B0" w14:textId="5EE5899D" w:rsidTr="006E53F6">
        <w:trPr>
          <w:jc w:val="center"/>
        </w:trPr>
        <w:tc>
          <w:tcPr>
            <w:tcW w:w="2000" w:type="pct"/>
            <w:tcBorders>
              <w:top w:val="single" w:sz="4" w:space="0" w:color="BFBFBF" w:themeColor="background1" w:themeShade="BF"/>
              <w:bottom w:val="single" w:sz="4" w:space="0" w:color="BFBFBF" w:themeColor="background1" w:themeShade="BF"/>
            </w:tcBorders>
          </w:tcPr>
          <w:p w14:paraId="1188FE03" w14:textId="7A31FD55" w:rsidR="00A4582F" w:rsidRPr="00B713C5" w:rsidRDefault="0024373F" w:rsidP="00B713C5">
            <w:pPr>
              <w:pStyle w:val="NoSpacing"/>
              <w:jc w:val="right"/>
              <w:rPr>
                <w:rFonts w:asciiTheme="majorBidi" w:hAnsiTheme="majorBidi" w:cstheme="majorBidi"/>
                <w:i/>
                <w:iCs/>
                <w:sz w:val="20"/>
                <w:szCs w:val="20"/>
              </w:rPr>
            </w:pPr>
            <w:r w:rsidRPr="00B713C5">
              <w:rPr>
                <w:rFonts w:asciiTheme="majorBidi" w:hAnsiTheme="majorBidi" w:cstheme="majorBidi"/>
                <w:i/>
                <w:iCs/>
                <w:sz w:val="20"/>
                <w:szCs w:val="20"/>
              </w:rPr>
              <w:t>Time (years) since adoption of FMD legislation or latest revision prior to suspension of FMD-free status</w:t>
            </w:r>
          </w:p>
        </w:tc>
        <w:tc>
          <w:tcPr>
            <w:tcW w:w="1001" w:type="pct"/>
            <w:tcBorders>
              <w:top w:val="single" w:sz="4" w:space="0" w:color="BFBFBF" w:themeColor="background1" w:themeShade="BF"/>
              <w:bottom w:val="single" w:sz="4" w:space="0" w:color="BFBFBF" w:themeColor="background1" w:themeShade="BF"/>
            </w:tcBorders>
            <w:vAlign w:val="center"/>
          </w:tcPr>
          <w:p w14:paraId="43D68D02" w14:textId="0552C1CD" w:rsidR="00A4582F" w:rsidRPr="00B713C5" w:rsidRDefault="004077A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14</w:t>
            </w:r>
          </w:p>
        </w:tc>
        <w:tc>
          <w:tcPr>
            <w:tcW w:w="1000" w:type="pct"/>
            <w:tcBorders>
              <w:top w:val="single" w:sz="4" w:space="0" w:color="BFBFBF" w:themeColor="background1" w:themeShade="BF"/>
              <w:bottom w:val="single" w:sz="4" w:space="0" w:color="BFBFBF" w:themeColor="background1" w:themeShade="BF"/>
            </w:tcBorders>
            <w:vAlign w:val="center"/>
          </w:tcPr>
          <w:p w14:paraId="5BF9626C" w14:textId="702671FD" w:rsidR="00A4582F" w:rsidRPr="00B713C5" w:rsidRDefault="004077A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23.5</w:t>
            </w:r>
          </w:p>
        </w:tc>
        <w:tc>
          <w:tcPr>
            <w:tcW w:w="1000" w:type="pct"/>
            <w:tcBorders>
              <w:top w:val="single" w:sz="4" w:space="0" w:color="BFBFBF" w:themeColor="background1" w:themeShade="BF"/>
              <w:bottom w:val="single" w:sz="4" w:space="0" w:color="BFBFBF" w:themeColor="background1" w:themeShade="BF"/>
            </w:tcBorders>
            <w:vAlign w:val="center"/>
          </w:tcPr>
          <w:p w14:paraId="62ED5A3E" w14:textId="7C3BC7F3" w:rsidR="00A4582F" w:rsidRPr="00B713C5" w:rsidRDefault="004077AE" w:rsidP="006E53F6">
            <w:pPr>
              <w:pStyle w:val="NoSpacing"/>
              <w:jc w:val="center"/>
              <w:rPr>
                <w:rFonts w:asciiTheme="majorBidi" w:hAnsiTheme="majorBidi" w:cstheme="majorBidi"/>
                <w:sz w:val="20"/>
                <w:szCs w:val="20"/>
              </w:rPr>
            </w:pPr>
            <w:r w:rsidRPr="00B713C5">
              <w:rPr>
                <w:rFonts w:asciiTheme="majorBidi" w:hAnsiTheme="majorBidi" w:cstheme="majorBidi"/>
                <w:sz w:val="20"/>
                <w:szCs w:val="20"/>
              </w:rPr>
              <w:t>32.5</w:t>
            </w:r>
          </w:p>
        </w:tc>
      </w:tr>
    </w:tbl>
    <w:p w14:paraId="3C469C8B" w14:textId="5A9C081F" w:rsidR="00132A87" w:rsidRDefault="004A6850">
      <w:r w:rsidRPr="004765EA">
        <w:rPr>
          <w:vertAlign w:val="superscript"/>
        </w:rPr>
        <w:t>1</w:t>
      </w:r>
      <w:r w:rsidRPr="004A6850">
        <w:rPr>
          <w:rFonts w:asciiTheme="majorBidi" w:hAnsiTheme="majorBidi" w:cstheme="majorBidi"/>
          <w:szCs w:val="24"/>
        </w:rPr>
        <w:t xml:space="preserve"> </w:t>
      </w:r>
      <w:r>
        <w:rPr>
          <w:rFonts w:asciiTheme="majorBidi" w:hAnsiTheme="majorBidi" w:cstheme="majorBidi"/>
          <w:szCs w:val="24"/>
        </w:rPr>
        <w:t>N</w:t>
      </w:r>
      <w:r w:rsidRPr="000E156C">
        <w:rPr>
          <w:rFonts w:asciiTheme="majorBidi" w:hAnsiTheme="majorBidi" w:cstheme="majorBidi"/>
          <w:szCs w:val="24"/>
        </w:rPr>
        <w:t>umber of livestock per km</w:t>
      </w:r>
      <w:r w:rsidRPr="004A6850">
        <w:rPr>
          <w:rFonts w:asciiTheme="majorBidi" w:hAnsiTheme="majorBidi" w:cstheme="majorBidi"/>
          <w:szCs w:val="24"/>
          <w:vertAlign w:val="superscript"/>
        </w:rPr>
        <w:t>2</w:t>
      </w:r>
      <w:r w:rsidRPr="000E156C">
        <w:rPr>
          <w:rFonts w:asciiTheme="majorBidi" w:hAnsiTheme="majorBidi" w:cstheme="majorBidi"/>
          <w:szCs w:val="24"/>
        </w:rPr>
        <w:t xml:space="preserve"> of agricultural land</w:t>
      </w:r>
    </w:p>
    <w:p w14:paraId="7C76538F" w14:textId="7DBAEAC8" w:rsidR="004A6850" w:rsidRDefault="004A6850">
      <w:r w:rsidRPr="004765EA">
        <w:rPr>
          <w:vertAlign w:val="superscript"/>
        </w:rPr>
        <w:t>2</w:t>
      </w:r>
      <w:r>
        <w:t xml:space="preserve"> </w:t>
      </w:r>
      <w:r>
        <w:rPr>
          <w:rFonts w:asciiTheme="majorBidi" w:hAnsiTheme="majorBidi" w:cstheme="majorBidi"/>
          <w:szCs w:val="24"/>
        </w:rPr>
        <w:t>P</w:t>
      </w:r>
      <w:r w:rsidR="004F1FBA">
        <w:rPr>
          <w:rFonts w:asciiTheme="majorBidi" w:hAnsiTheme="majorBidi" w:cstheme="majorBidi"/>
          <w:szCs w:val="24"/>
        </w:rPr>
        <w:t>ercentage</w:t>
      </w:r>
      <w:r w:rsidRPr="000E156C">
        <w:rPr>
          <w:rFonts w:asciiTheme="majorBidi" w:hAnsiTheme="majorBidi" w:cstheme="majorBidi"/>
          <w:szCs w:val="24"/>
        </w:rPr>
        <w:t xml:space="preserve"> of confirmed FMD cases, and animals culled (if only stamping-out was applied) or proportion of vaccinated animals (if only emergency vaccination was applied) or animals culled and vaccinated (if stamping-out and emergency vaccination were applied) in relation to the total livestock population</w:t>
      </w:r>
    </w:p>
    <w:p w14:paraId="2C150A88" w14:textId="6501BF35" w:rsidR="004A6850" w:rsidRDefault="004A6850" w:rsidP="3B8E7A94">
      <w:pPr>
        <w:rPr>
          <w:rFonts w:asciiTheme="majorBidi" w:hAnsiTheme="majorBidi" w:cstheme="majorBidi"/>
        </w:rPr>
      </w:pPr>
      <w:r w:rsidRPr="3B8E7A94">
        <w:rPr>
          <w:vertAlign w:val="superscript"/>
        </w:rPr>
        <w:t>3</w:t>
      </w:r>
      <w:r w:rsidRPr="3B8E7A94">
        <w:rPr>
          <w:rFonts w:asciiTheme="majorBidi" w:hAnsiTheme="majorBidi" w:cstheme="majorBidi"/>
        </w:rPr>
        <w:t xml:space="preserve"> number of official veterinarians per 100,000 livestock in the study unit</w:t>
      </w:r>
    </w:p>
    <w:p w14:paraId="42F297B3" w14:textId="43747853" w:rsidR="3B8E7A94" w:rsidRDefault="3B8E7A94" w:rsidP="3B8E7A94">
      <w:pPr>
        <w:rPr>
          <w:rFonts w:asciiTheme="majorBidi" w:hAnsiTheme="majorBidi" w:cstheme="majorBidi"/>
        </w:rPr>
      </w:pPr>
      <w:r w:rsidRPr="3B8E7A94">
        <w:rPr>
          <w:rFonts w:asciiTheme="majorBidi" w:hAnsiTheme="majorBidi" w:cstheme="majorBidi"/>
          <w:vertAlign w:val="superscript"/>
        </w:rPr>
        <w:t>4</w:t>
      </w:r>
      <w:r w:rsidRPr="3B8E7A94">
        <w:rPr>
          <w:rFonts w:asciiTheme="majorBidi" w:hAnsiTheme="majorBidi" w:cstheme="majorBidi"/>
        </w:rPr>
        <w:t xml:space="preserve"> Refers to the time elapsed since the date of initial recognition for countries or zones that had only one suspension, or since the date of last suspension for countries or zones with more than one suspension  </w:t>
      </w:r>
    </w:p>
    <w:sectPr w:rsidR="3B8E7A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F"/>
    <w:rsid w:val="00132A87"/>
    <w:rsid w:val="001C602F"/>
    <w:rsid w:val="0024373F"/>
    <w:rsid w:val="00304DB5"/>
    <w:rsid w:val="003D7D2B"/>
    <w:rsid w:val="003F449C"/>
    <w:rsid w:val="004077AE"/>
    <w:rsid w:val="00442D59"/>
    <w:rsid w:val="00445655"/>
    <w:rsid w:val="004765EA"/>
    <w:rsid w:val="004A6850"/>
    <w:rsid w:val="004F1FBA"/>
    <w:rsid w:val="005C1D4E"/>
    <w:rsid w:val="0067180D"/>
    <w:rsid w:val="0068343E"/>
    <w:rsid w:val="006E53F6"/>
    <w:rsid w:val="00813CD7"/>
    <w:rsid w:val="008651B5"/>
    <w:rsid w:val="00883AFA"/>
    <w:rsid w:val="0089417E"/>
    <w:rsid w:val="008D2972"/>
    <w:rsid w:val="00945C79"/>
    <w:rsid w:val="009C72AF"/>
    <w:rsid w:val="00A4582F"/>
    <w:rsid w:val="00A47E06"/>
    <w:rsid w:val="00B22BF1"/>
    <w:rsid w:val="00B713C5"/>
    <w:rsid w:val="00C50DD6"/>
    <w:rsid w:val="00C66990"/>
    <w:rsid w:val="00EE6EEC"/>
    <w:rsid w:val="103585CF"/>
    <w:rsid w:val="1255AF26"/>
    <w:rsid w:val="1801D13E"/>
    <w:rsid w:val="18ABC84D"/>
    <w:rsid w:val="1C55EC42"/>
    <w:rsid w:val="29B5AF0A"/>
    <w:rsid w:val="3B8E7A94"/>
    <w:rsid w:val="4115AE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9CD4"/>
  <w15:chartTrackingRefBased/>
  <w15:docId w15:val="{04246306-9688-471A-B86A-E498C1FC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AF"/>
    <w:pPr>
      <w:spacing w:after="200" w:line="276" w:lineRule="auto"/>
    </w:pPr>
    <w:rPr>
      <w:rFonts w:ascii="Times New Roman" w:eastAsiaTheme="minorEastAsia"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2A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13C5"/>
    <w:pPr>
      <w:spacing w:after="0" w:line="240" w:lineRule="auto"/>
    </w:pPr>
    <w:rPr>
      <w:rFonts w:ascii="Times New Roman" w:eastAsiaTheme="minorEastAsia" w:hAnsi="Times New Roman"/>
      <w:sz w:val="24"/>
      <w:lang w:val="en-GB"/>
    </w:rPr>
  </w:style>
  <w:style w:type="paragraph" w:styleId="Revision">
    <w:name w:val="Revision"/>
    <w:hidden/>
    <w:uiPriority w:val="99"/>
    <w:semiHidden/>
    <w:rsid w:val="00813CD7"/>
    <w:pPr>
      <w:spacing w:after="0" w:line="240" w:lineRule="auto"/>
    </w:pPr>
    <w:rPr>
      <w:rFonts w:ascii="Times New Roman" w:eastAsiaTheme="minorEastAsia"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Cabezas</dc:creator>
  <cp:keywords/>
  <dc:description/>
  <cp:lastModifiedBy>Isobel Crouch</cp:lastModifiedBy>
  <cp:revision>5</cp:revision>
  <dcterms:created xsi:type="dcterms:W3CDTF">2022-09-12T08:58:00Z</dcterms:created>
  <dcterms:modified xsi:type="dcterms:W3CDTF">2022-10-14T09:22:00Z</dcterms:modified>
</cp:coreProperties>
</file>