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Times New Roman" w:hAnsi="Times New Roman" w:eastAsia="微软雅黑" w:cs="Times New Roman"/>
          <w:b/>
          <w:sz w:val="21"/>
          <w:szCs w:val="20"/>
        </w:rPr>
      </w:pPr>
      <w:r>
        <w:rPr>
          <w:rFonts w:hint="default" w:ascii="Times New Roman" w:hAnsi="Times New Roman" w:eastAsia="微软雅黑" w:cs="Times New Roman"/>
          <w:b/>
          <w:sz w:val="21"/>
          <w:szCs w:val="20"/>
        </w:rPr>
        <w:t>Contents</w:t>
      </w:r>
      <w:r>
        <w:rPr>
          <w:rFonts w:hint="eastAsia" w:ascii="Times New Roman" w:hAnsi="Times New Roman" w:eastAsia="微软雅黑" w:cs="Times New Roman"/>
          <w:b/>
          <w:sz w:val="21"/>
          <w:szCs w:val="20"/>
          <w:lang w:val="en-US" w:eastAsia="zh-CN"/>
        </w:rPr>
        <w:t xml:space="preserve"> of s</w:t>
      </w:r>
      <w:r>
        <w:rPr>
          <w:rFonts w:hint="default" w:ascii="Times New Roman" w:hAnsi="Times New Roman" w:eastAsia="微软雅黑" w:cs="Times New Roman"/>
          <w:b/>
          <w:sz w:val="21"/>
          <w:szCs w:val="20"/>
        </w:rPr>
        <w:t>upplementary materials</w:t>
      </w:r>
      <w:r>
        <w:rPr>
          <w:rFonts w:hint="eastAsia" w:ascii="Times New Roman" w:hAnsi="Times New Roman" w:eastAsia="微软雅黑" w:cs="Times New Roman"/>
          <w:b/>
          <w:sz w:val="21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sz w:val="21"/>
          <w:szCs w:val="20"/>
        </w:rPr>
        <w:t>:</w:t>
      </w:r>
    </w:p>
    <w:p>
      <w:pPr>
        <w:rPr>
          <w:rFonts w:hint="default" w:ascii="Times New Roman" w:hAnsi="Times New Roman" w:eastAsia="微软雅黑" w:cs="Times New Roman"/>
          <w:b/>
          <w:sz w:val="21"/>
          <w:szCs w:val="20"/>
        </w:rPr>
      </w:pPr>
      <w:r>
        <w:rPr>
          <w:rFonts w:hint="default" w:ascii="Times New Roman" w:hAnsi="Times New Roman" w:eastAsia="微软雅黑" w:cs="Times New Roman"/>
          <w:b/>
          <w:sz w:val="21"/>
          <w:szCs w:val="20"/>
        </w:rPr>
        <w:t xml:space="preserve">1) The flowchart of </w:t>
      </w:r>
      <w:r>
        <w:rPr>
          <w:rFonts w:hint="eastAsia" w:ascii="Times New Roman" w:hAnsi="Times New Roman" w:eastAsia="微软雅黑" w:cs="Times New Roman"/>
          <w:b/>
          <w:sz w:val="21"/>
          <w:szCs w:val="20"/>
          <w:lang w:val="en-US" w:eastAsia="zh-CN"/>
        </w:rPr>
        <w:t xml:space="preserve">the </w:t>
      </w:r>
      <w:r>
        <w:rPr>
          <w:rFonts w:hint="default" w:ascii="Times New Roman" w:hAnsi="Times New Roman" w:eastAsia="微软雅黑" w:cs="Times New Roman"/>
          <w:b/>
          <w:sz w:val="21"/>
          <w:szCs w:val="20"/>
        </w:rPr>
        <w:t>retrospective study</w:t>
      </w:r>
      <w:r>
        <w:rPr>
          <w:rFonts w:hint="eastAsia" w:ascii="Times New Roman" w:hAnsi="Times New Roman" w:eastAsia="微软雅黑" w:cs="Times New Roman"/>
          <w:b/>
          <w:sz w:val="21"/>
          <w:szCs w:val="20"/>
          <w:lang w:val="en-US" w:eastAsia="zh-CN"/>
        </w:rPr>
        <w:t>;</w:t>
      </w:r>
    </w:p>
    <w:p>
      <w:pPr>
        <w:rPr>
          <w:rFonts w:hint="default" w:ascii="Times New Roman" w:hAnsi="Times New Roman" w:eastAsia="微软雅黑" w:cs="Times New Roman"/>
          <w:b/>
          <w:sz w:val="21"/>
          <w:szCs w:val="20"/>
        </w:rPr>
      </w:pPr>
      <w:r>
        <w:rPr>
          <w:rFonts w:hint="eastAsia" w:ascii="Times New Roman" w:hAnsi="Times New Roman" w:eastAsia="微软雅黑" w:cs="Times New Roman"/>
          <w:b/>
          <w:sz w:val="21"/>
          <w:szCs w:val="20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b/>
          <w:sz w:val="21"/>
          <w:szCs w:val="20"/>
        </w:rPr>
        <w:t>) Baseline characteristics of the complete KD patients</w:t>
      </w:r>
      <w:r>
        <w:rPr>
          <w:rFonts w:hint="eastAsia" w:ascii="Times New Roman" w:hAnsi="Times New Roman" w:eastAsia="微软雅黑" w:cs="Times New Roman"/>
          <w:b/>
          <w:sz w:val="21"/>
          <w:szCs w:val="20"/>
          <w:lang w:val="en-US" w:eastAsia="zh-CN"/>
        </w:rPr>
        <w:t>;</w:t>
      </w:r>
    </w:p>
    <w:p>
      <w:pPr>
        <w:rPr>
          <w:rFonts w:hint="default" w:ascii="Times New Roman" w:hAnsi="Times New Roman" w:eastAsia="微软雅黑" w:cs="Times New Roman"/>
          <w:b/>
          <w:sz w:val="21"/>
          <w:szCs w:val="20"/>
        </w:rPr>
      </w:pPr>
      <w:r>
        <w:rPr>
          <w:rFonts w:hint="eastAsia" w:ascii="Times New Roman" w:hAnsi="Times New Roman" w:eastAsia="微软雅黑" w:cs="Times New Roman"/>
          <w:b/>
          <w:sz w:val="21"/>
          <w:szCs w:val="20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b/>
          <w:sz w:val="21"/>
          <w:szCs w:val="20"/>
        </w:rPr>
        <w:t>) Baseline characteristics of the incomplete KD patients</w:t>
      </w:r>
      <w:r>
        <w:rPr>
          <w:rFonts w:hint="eastAsia" w:ascii="Times New Roman" w:hAnsi="Times New Roman" w:eastAsia="微软雅黑" w:cs="Times New Roman"/>
          <w:b/>
          <w:sz w:val="21"/>
          <w:szCs w:val="20"/>
          <w:lang w:val="en-US" w:eastAsia="zh-CN"/>
        </w:rPr>
        <w:t>;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微软雅黑" w:cs="Times New Roman"/>
          <w:b/>
          <w:sz w:val="21"/>
          <w:szCs w:val="20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b/>
          <w:sz w:val="21"/>
          <w:szCs w:val="20"/>
        </w:rPr>
        <w:t>) Multivariate logistic regression analysis for risk factors of CALs in KD patients</w:t>
      </w:r>
      <w:r>
        <w:rPr>
          <w:rFonts w:hint="eastAsia" w:ascii="Times New Roman" w:hAnsi="Times New Roman" w:eastAsia="微软雅黑" w:cs="Times New Roman"/>
          <w:b/>
          <w:sz w:val="21"/>
          <w:szCs w:val="20"/>
          <w:lang w:val="en-US" w:eastAsia="zh-CN"/>
        </w:rPr>
        <w:t>.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>Appendix S1.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The flowchart of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the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retrospective study.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bCs/>
          <w:sz w:val="20"/>
          <w:szCs w:val="20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框 1025" o:spid="_x0000_s1026" type="#_x0000_t75" style="height:258.05pt;width:390.8pt;rotation:0f;" o:ole="f" fillcolor="#FFFFFF" filled="f" o:preferrelative="t" stroked="f" coordorigin="0,0" coordsize="21600,21600">
            <v:fill on="f" color2="#FFFFFF" focus="0%"/>
            <v:imagedata cropright="4960f" cropbottom="31208f"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Note: CALs = coronary artery lesions.</w:t>
      </w: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>Appendix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hint="default" w:ascii="Times New Roman" w:hAnsi="Times New Roman" w:eastAsia="微软雅黑" w:cs="Times New Roman"/>
          <w:b/>
          <w:sz w:val="21"/>
          <w:szCs w:val="20"/>
        </w:rPr>
        <w:t>Baseline characteristics of the complete KD patients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852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860"/>
        <w:gridCol w:w="1910"/>
        <w:gridCol w:w="1430"/>
        <w:gridCol w:w="10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CAL group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(N=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161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Non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CAL group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(N=5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 xml:space="preserve">U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or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χ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Age (Months)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~4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-0.865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0.387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Gender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n (%)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1.11</w:t>
            </w:r>
          </w:p>
        </w:tc>
        <w:tc>
          <w:tcPr>
            <w:tcW w:w="108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86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111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68.94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361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(6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4.46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Female</w:t>
            </w:r>
          </w:p>
        </w:tc>
        <w:tc>
          <w:tcPr>
            <w:tcW w:w="186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31.06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199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(3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5.54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Length of illness at initial IVIG treatment (day)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6.00 (5~7)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6.00 (5~7)</w:t>
            </w:r>
          </w:p>
        </w:tc>
        <w:tc>
          <w:tcPr>
            <w:tcW w:w="143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0.93</w:t>
            </w:r>
          </w:p>
        </w:tc>
        <w:tc>
          <w:tcPr>
            <w:tcW w:w="108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Length of hospitalization (day)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 (6~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 (6~9)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-2.912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IVIG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resistance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n (%)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6.637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Yes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7.39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No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82.61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WBC count (×10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vertAlign w:val="superscript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/L)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(10.8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~17.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(10.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~17.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-0.475</w:t>
            </w:r>
          </w:p>
        </w:tc>
        <w:tc>
          <w:tcPr>
            <w:tcW w:w="108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HB (g/L)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 (9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9.25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~113.50)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.00~11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-1.443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Platelet (×10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vertAlign w:val="superscript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/L)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 (2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.50~4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 (27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.75~4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-0.453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Neutrophils (%)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 (5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7.05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-0.392</w:t>
            </w:r>
          </w:p>
        </w:tc>
        <w:tc>
          <w:tcPr>
            <w:tcW w:w="108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Lymphocyte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(%)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 (14.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4.73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3.43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-0.088</w:t>
            </w:r>
          </w:p>
        </w:tc>
        <w:tc>
          <w:tcPr>
            <w:tcW w:w="108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Lymphocyte count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(1.9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~4.7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(1.9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-0.194</w:t>
            </w:r>
          </w:p>
        </w:tc>
        <w:tc>
          <w:tcPr>
            <w:tcW w:w="108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MCV (fL)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 (77.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~84.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 (79.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~84.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-0.589</w:t>
            </w:r>
          </w:p>
        </w:tc>
        <w:tc>
          <w:tcPr>
            <w:tcW w:w="108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RDW (%)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71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(13.87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14.86)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12.78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1.94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-14.243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RDW-CV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(%)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55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(12.90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14.6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13.10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(12.5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3.98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-3.763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RDW-SD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(fL)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38.7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(36.90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41.2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38.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-2.027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CRP (mg/L)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 (5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.50~1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38.00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~11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0)</w:t>
            </w:r>
          </w:p>
        </w:tc>
        <w:tc>
          <w:tcPr>
            <w:tcW w:w="143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-3.774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ESR (mm/h)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72.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 (50.00~9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 (4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.00)</w:t>
            </w:r>
          </w:p>
        </w:tc>
        <w:tc>
          <w:tcPr>
            <w:tcW w:w="1430" w:type="dxa"/>
            <w:vAlign w:val="top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-0.043</w:t>
            </w:r>
          </w:p>
        </w:tc>
        <w:tc>
          <w:tcPr>
            <w:tcW w:w="1080" w:type="dxa"/>
            <w:vAlign w:val="top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0.966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ALT (IU/L)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35.20 (19.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8.78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31.65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(15.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99.53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top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-2.374</w:t>
            </w:r>
          </w:p>
        </w:tc>
        <w:tc>
          <w:tcPr>
            <w:tcW w:w="1080" w:type="dxa"/>
            <w:vAlign w:val="top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AST (IU/L)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 (25.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4.25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3.25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5.15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7.88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top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-1.063</w:t>
            </w:r>
          </w:p>
        </w:tc>
        <w:tc>
          <w:tcPr>
            <w:tcW w:w="1080" w:type="dxa"/>
            <w:vAlign w:val="top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.2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88</w:t>
            </w: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IVIG = intravenous immunoglobulin; WBC= white blood cell count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HB=haemoglobin;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MCV = Mean Corpuscular Volume;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RDW =red blood cell distribution width;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RDW-CV = Red blood cell distribution width variation coefficient; RDW-SD = Red blood cell distribution width standard deviation;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CRP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= C-reactive protein;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ESR =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erythrocyte sedimentation rate;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ALT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=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alanine aminotransferase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;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AST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=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aspartate aminotransferase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.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>Appendix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hint="default" w:ascii="Times New Roman" w:hAnsi="Times New Roman" w:eastAsia="微软雅黑" w:cs="Times New Roman"/>
          <w:b/>
          <w:sz w:val="21"/>
          <w:szCs w:val="20"/>
        </w:rPr>
        <w:t>Baseline characteristics of the incomplete KD patients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852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860"/>
        <w:gridCol w:w="1910"/>
        <w:gridCol w:w="1430"/>
        <w:gridCol w:w="10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CAL group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(N=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Non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CAL group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(N=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8)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 xml:space="preserve">U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or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χ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Age (Months)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~4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-1.33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Gender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n (%)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1.031</w:t>
            </w:r>
          </w:p>
        </w:tc>
        <w:tc>
          <w:tcPr>
            <w:tcW w:w="108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86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(69.47)</w:t>
            </w:r>
          </w:p>
        </w:tc>
        <w:tc>
          <w:tcPr>
            <w:tcW w:w="191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(6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Female</w:t>
            </w:r>
          </w:p>
        </w:tc>
        <w:tc>
          <w:tcPr>
            <w:tcW w:w="186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 (30.53)</w:t>
            </w:r>
          </w:p>
        </w:tc>
        <w:tc>
          <w:tcPr>
            <w:tcW w:w="191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(3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9.47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Length of illness at initial IVIG treatment (day)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-0.384</w:t>
            </w:r>
          </w:p>
        </w:tc>
        <w:tc>
          <w:tcPr>
            <w:tcW w:w="108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Length of hospitalization (day)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 (6~9)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-0.716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IVIG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resistance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n (%)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Yes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 (1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0.34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10.53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No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(8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89.47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WBC count (×10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vertAlign w:val="superscript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/L)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13.74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5.19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13.28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4.81</w:t>
            </w:r>
          </w:p>
        </w:tc>
        <w:tc>
          <w:tcPr>
            <w:tcW w:w="143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0.376</w:t>
            </w:r>
          </w:p>
        </w:tc>
        <w:tc>
          <w:tcPr>
            <w:tcW w:w="1080" w:type="dxa"/>
            <w:vAlign w:val="center"/>
          </w:tcPr>
          <w:p>
            <w:pPr>
              <w:wordWrap/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HB (g/L)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101.14 ± 14.04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103.45 ± 12.72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-0.704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0.484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Platelet (×10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vertAlign w:val="superscript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/L)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443.59 ± 185.27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415.71 ± 149.24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0.682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0.498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Neutrophils (%)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58.51±12.28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59.04±18.04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-0.135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0.893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Lymphocyte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30.38±11.52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28.59±13.87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0.562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0.576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Lymphocyte count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2.29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5.19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(1.9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-1.19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0.234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MCV (fL)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79.80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5.40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~84.25)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 (79.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~84.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-1.588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0.112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RDW (%)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14.5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(13.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84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(12.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-5.285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RDW-CV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(%)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(12.90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5.95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(12.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-1.526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0.127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RDW-SD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(fL)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38.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41.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5)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38.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(36.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-0.411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0.681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CRP (mg/L)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46.00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114.50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38.00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0)</w:t>
            </w:r>
          </w:p>
        </w:tc>
        <w:tc>
          <w:tcPr>
            <w:tcW w:w="143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-1.152</w:t>
            </w:r>
          </w:p>
        </w:tc>
        <w:tc>
          <w:tcPr>
            <w:tcW w:w="108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ESR (mm/h)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.00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49.50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0)</w:t>
            </w:r>
          </w:p>
        </w:tc>
        <w:tc>
          <w:tcPr>
            <w:tcW w:w="143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-0.905</w:t>
            </w:r>
          </w:p>
        </w:tc>
        <w:tc>
          <w:tcPr>
            <w:tcW w:w="108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ALT (IU/L)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26.50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7.35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48.05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19.90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(1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7.95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63.30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-0.664</w:t>
            </w:r>
          </w:p>
        </w:tc>
        <w:tc>
          <w:tcPr>
            <w:tcW w:w="108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AST (IU/L)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, Median (IQR)</w:t>
            </w:r>
          </w:p>
        </w:tc>
        <w:tc>
          <w:tcPr>
            <w:tcW w:w="18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4.60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(25.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46.20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0.30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(24.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0~5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3.25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43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-0.633</w:t>
            </w:r>
          </w:p>
        </w:tc>
        <w:tc>
          <w:tcPr>
            <w:tcW w:w="1080" w:type="dxa"/>
            <w:vAlign w:val="center"/>
          </w:tcPr>
          <w:p>
            <w:pPr>
              <w:spacing w:beforeLines="0" w:line="320" w:lineRule="atLeast"/>
              <w:ind w:left="60" w:leftChars="0" w:right="60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0.527</w:t>
            </w: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IVIG = intravenous immunoglobulin; WBC= white blood cell count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HB=haemoglobin;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MCV = Mean Corpuscular Volume;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RDW =red blood cell distribution width;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RDW-CV = Red blood cell distribution width variation coefficient; RDW-SD = Red blood cell distribution width standard deviation;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CRP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= C-reactive protein;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ESR =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erythrocyte sedimentation rate;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ALT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=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alanine aminotransferase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;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AST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=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aspartate aminotransferase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.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>Appendix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hint="default" w:ascii="Times New Roman" w:hAnsi="Times New Roman" w:eastAsia="微软雅黑" w:cs="Times New Roman"/>
          <w:b/>
          <w:sz w:val="21"/>
          <w:szCs w:val="20"/>
        </w:rPr>
        <w:t>Multivariate logistic regression analysis for risk factors of CALs in KD patients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83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859"/>
        <w:gridCol w:w="832"/>
        <w:gridCol w:w="922"/>
        <w:gridCol w:w="872"/>
        <w:gridCol w:w="805"/>
        <w:gridCol w:w="954"/>
        <w:gridCol w:w="9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B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S.E.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Wald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P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OR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95%C.I. of 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2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Lower</w:t>
            </w:r>
          </w:p>
        </w:tc>
        <w:tc>
          <w:tcPr>
            <w:tcW w:w="9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Upper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MingLiU"/>
                <w:color w:val="000000"/>
                <w:kern w:val="0"/>
                <w:szCs w:val="21"/>
              </w:rPr>
              <w:t>Length of hospitalization</w:t>
            </w: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 xml:space="preserve"> (</w:t>
            </w:r>
            <w:r>
              <w:rPr>
                <w:rFonts w:hint="eastAsia" w:ascii="Times New Roman" w:hAnsi="Times New Roman" w:eastAsia="MingLiU"/>
                <w:color w:val="000000"/>
                <w:kern w:val="0"/>
                <w:szCs w:val="21"/>
              </w:rPr>
              <w:t>day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0.052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0.051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1.043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0.307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1.054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0.953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1.165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MingLiU"/>
                <w:color w:val="000000"/>
                <w:kern w:val="0"/>
                <w:szCs w:val="21"/>
              </w:rPr>
              <w:t>IVIG resistance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No </w:t>
            </w: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vs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Yes</w:t>
            </w: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-0.431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1.778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0.182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0.345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1.225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MingLiU"/>
                <w:color w:val="000000"/>
                <w:kern w:val="0"/>
                <w:szCs w:val="21"/>
              </w:rPr>
              <w:t xml:space="preserve">HB 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-0.002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0.009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0.052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0.819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0.998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0.98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1.016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RDW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1.649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0.126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171.752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MingLiU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4.064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6.654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RDW-CV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0.989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0.943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1.059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RDW-SD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0.98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1.001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0.944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1.061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CRP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3.265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0.071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1.004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ALT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-0.001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1.369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0.242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0.999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0.997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MingLiU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MingLiU"/>
                <w:color w:val="000000"/>
                <w:kern w:val="0"/>
                <w:szCs w:val="21"/>
              </w:rPr>
              <w:t>1.001</w:t>
            </w: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MingLiU"/>
          <w:color w:val="000000"/>
          <w:kern w:val="0"/>
          <w:sz w:val="22"/>
          <w:szCs w:val="22"/>
        </w:rPr>
        <w:t>IVIG = intravenous immunoglobulin; HB</w:t>
      </w:r>
      <w:r>
        <w:rPr>
          <w:rFonts w:hint="eastAsia" w:ascii="Times New Roman" w:hAnsi="Times New Roman" w:eastAsia="MingLiU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eastAsia="MingLiU"/>
          <w:color w:val="000000"/>
          <w:kern w:val="0"/>
          <w:sz w:val="22"/>
          <w:szCs w:val="22"/>
        </w:rPr>
        <w:t>=</w:t>
      </w:r>
      <w:r>
        <w:rPr>
          <w:rFonts w:hint="eastAsia" w:ascii="Times New Roman" w:hAnsi="Times New Roman" w:eastAsia="MingLiU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eastAsia="MingLiU"/>
          <w:color w:val="000000"/>
          <w:kern w:val="0"/>
          <w:sz w:val="22"/>
          <w:szCs w:val="22"/>
        </w:rPr>
        <w:t>haemoglobin;</w:t>
      </w:r>
      <w:r>
        <w:rPr>
          <w:rFonts w:hint="eastAsia" w:ascii="Times New Roman" w:hAnsi="Times New Roman" w:eastAsia="MingLiU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eastAsia="MingLiU"/>
          <w:color w:val="000000"/>
          <w:kern w:val="0"/>
          <w:sz w:val="22"/>
          <w:szCs w:val="22"/>
        </w:rPr>
        <w:t>RDW =</w:t>
      </w:r>
      <w:r>
        <w:rPr>
          <w:rFonts w:hint="eastAsia" w:ascii="Times New Roman" w:hAnsi="Times New Roman" w:eastAsia="MingLiU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eastAsia="MingLiU"/>
          <w:color w:val="000000"/>
          <w:kern w:val="0"/>
          <w:sz w:val="22"/>
          <w:szCs w:val="22"/>
        </w:rPr>
        <w:t xml:space="preserve">red blood cell distribution width; </w:t>
      </w:r>
      <w:r>
        <w:rPr>
          <w:rFonts w:hint="eastAsia" w:ascii="Times New Roman" w:hAnsi="Times New Roman" w:eastAsia="MingLiU"/>
          <w:color w:val="000000"/>
          <w:kern w:val="0"/>
          <w:sz w:val="22"/>
          <w:szCs w:val="22"/>
        </w:rPr>
        <w:t xml:space="preserve">RDW-CV = red blood cell distribution width variation coefficient; RDW-SD = red blood cell distribution width standard deviation; </w:t>
      </w:r>
      <w:r>
        <w:rPr>
          <w:rFonts w:ascii="Times New Roman" w:hAnsi="Times New Roman" w:eastAsia="MingLiU"/>
          <w:color w:val="000000"/>
          <w:kern w:val="0"/>
          <w:sz w:val="22"/>
          <w:szCs w:val="22"/>
        </w:rPr>
        <w:t>CRP</w:t>
      </w:r>
      <w:r>
        <w:rPr>
          <w:rFonts w:hint="eastAsia" w:ascii="Times New Roman" w:hAnsi="Times New Roman" w:eastAsia="MingLiU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eastAsia="MingLiU"/>
          <w:color w:val="000000"/>
          <w:kern w:val="0"/>
          <w:sz w:val="22"/>
          <w:szCs w:val="22"/>
        </w:rPr>
        <w:t>= C-reactive protein;</w:t>
      </w:r>
      <w:r>
        <w:rPr>
          <w:rFonts w:hint="eastAsia" w:ascii="Times New Roman" w:hAnsi="Times New Roman" w:eastAsia="MingLiU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eastAsia="MingLiU"/>
          <w:color w:val="000000"/>
          <w:kern w:val="0"/>
          <w:sz w:val="22"/>
          <w:szCs w:val="22"/>
        </w:rPr>
        <w:t>ALT</w:t>
      </w:r>
      <w:r>
        <w:rPr>
          <w:rFonts w:hint="eastAsia" w:ascii="Times New Roman" w:hAnsi="Times New Roman" w:eastAsia="MingLiU"/>
          <w:color w:val="000000"/>
          <w:kern w:val="0"/>
          <w:sz w:val="22"/>
          <w:szCs w:val="22"/>
        </w:rPr>
        <w:t xml:space="preserve"> =</w:t>
      </w:r>
      <w:r>
        <w:rPr>
          <w:rFonts w:ascii="Times New Roman" w:hAnsi="Times New Roman" w:eastAsia="MingLiU"/>
          <w:color w:val="000000"/>
          <w:kern w:val="0"/>
          <w:sz w:val="22"/>
          <w:szCs w:val="22"/>
        </w:rPr>
        <w:t xml:space="preserve"> alanine aminotransferase</w:t>
      </w:r>
      <w:r>
        <w:rPr>
          <w:rFonts w:hint="eastAsia" w:ascii="Times New Roman" w:hAnsi="Times New Roman" w:eastAsia="MingLiU"/>
          <w:color w:val="000000"/>
          <w:kern w:val="0"/>
          <w:sz w:val="22"/>
          <w:szCs w:val="22"/>
        </w:rPr>
        <w:t>.</w:t>
      </w:r>
      <w:bookmarkStart w:id="0" w:name="_GoBack"/>
      <w:bookmarkEnd w:id="0"/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743</Words>
  <Characters>4340</Characters>
  <Lines>15</Lines>
  <Paragraphs>4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2021-12-13T07:14:00Z</dcterms:created>
  <dc:creator>ERIC</dc:creator>
  <cp:lastModifiedBy>Administrator</cp:lastModifiedBy>
  <dcterms:modified xsi:type="dcterms:W3CDTF">2022-11-24T13:00:09Z</dcterms:modified>
  <dc:title>Contents of supplementary materials 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B54E14782033463E867A9A86C0BB6CC8</vt:lpwstr>
  </property>
</Properties>
</file>