
<file path=[Content_Types].xml><?xml version="1.0" encoding="utf-8"?>
<Types xmlns="http://schemas.openxmlformats.org/package/2006/content-types">
  <Default Extension="png" ContentType="image/png"/>
  <Default Extension="tiff" ContentType="image/tiff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bCs/>
          <w:color w:val="000000"/>
          <w:kern w:val="44"/>
          <w:sz w:val="32"/>
          <w:szCs w:val="32"/>
        </w:rPr>
      </w:pPr>
      <w:r>
        <w:rPr>
          <w:rFonts w:ascii="Arial" w:hAnsi="Arial" w:cs="Arial"/>
          <w:b/>
          <w:bCs/>
          <w:color w:val="000000"/>
          <w:kern w:val="44"/>
          <w:sz w:val="32"/>
          <w:szCs w:val="32"/>
        </w:rPr>
        <w:t>Supplementary Figures</w:t>
      </w: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  <w:r>
        <w:rPr>
          <w:rFonts w:ascii="Arial Regular" w:hAnsi="Arial Regular" w:cs="Arial Regular"/>
          <w:color w:val="000000"/>
          <w:szCs w:val="21"/>
        </w:rPr>
        <w:drawing>
          <wp:inline distT="0" distB="0" distL="0" distR="0">
            <wp:extent cx="5274310" cy="5047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rPr>
          <w:rFonts w:ascii="Arial" w:hAnsi="Arial" w:cs="Arial"/>
          <w:color w:val="000000"/>
          <w:sz w:val="21"/>
          <w:szCs w:val="21"/>
          <w:lang w:eastAsia="zh-Hans"/>
        </w:rPr>
      </w:pPr>
      <w:r>
        <w:rPr>
          <w:rFonts w:ascii="Arial" w:hAnsi="Arial" w:cs="Arial"/>
          <w:color w:val="000000"/>
          <w:sz w:val="21"/>
          <w:szCs w:val="21"/>
        </w:rPr>
        <w:t xml:space="preserve">Fig. S1 The phylogenetic tree including loquat </w:t>
      </w:r>
      <w:r>
        <w:rPr>
          <w:rFonts w:ascii="Arial" w:hAnsi="Arial" w:cs="Arial"/>
          <w:i w:val="0"/>
          <w:iCs w:val="0"/>
          <w:color w:val="000000"/>
          <w:sz w:val="21"/>
          <w:szCs w:val="21"/>
        </w:rPr>
        <w:t>Ej</w:t>
      </w:r>
      <w:r>
        <w:rPr>
          <w:rFonts w:ascii="Arial" w:hAnsi="Arial" w:cs="Arial"/>
          <w:color w:val="000000"/>
          <w:sz w:val="21"/>
          <w:szCs w:val="21"/>
        </w:rPr>
        <w:t>HOX proteins and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Arabidopsis </w:t>
      </w:r>
      <w:r>
        <w:rPr>
          <w:rFonts w:hint="default" w:ascii="Arial" w:hAnsi="Arial" w:cs="Arial"/>
          <w:i w:val="0"/>
          <w:iCs w:val="0"/>
          <w:color w:val="000000"/>
          <w:sz w:val="21"/>
          <w:szCs w:val="21"/>
        </w:rPr>
        <w:t xml:space="preserve">WOX </w:t>
      </w:r>
      <w:r>
        <w:rPr>
          <w:rFonts w:ascii="Arial" w:hAnsi="Arial" w:cs="Arial"/>
          <w:color w:val="000000"/>
          <w:sz w:val="21"/>
          <w:szCs w:val="21"/>
        </w:rPr>
        <w:t>proteins</w:t>
      </w:r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18 </w:t>
      </w:r>
      <w:r>
        <w:rPr>
          <w:rFonts w:ascii="Arial" w:hAnsi="Arial" w:cs="Arial"/>
          <w:i/>
          <w:iCs/>
          <w:color w:val="000000"/>
          <w:sz w:val="21"/>
          <w:szCs w:val="21"/>
        </w:rPr>
        <w:t>Ej</w:t>
      </w:r>
      <w:r>
        <w:rPr>
          <w:rFonts w:hint="default" w:ascii="Arial Italic" w:hAnsi="Arial Italic" w:cs="Arial Italic"/>
          <w:i/>
          <w:iCs/>
          <w:color w:val="000000"/>
          <w:sz w:val="21"/>
          <w:szCs w:val="21"/>
        </w:rPr>
        <w:t>HOX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 genes were marked in red and 15 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AtWOX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 genes were in the same branch.</w:t>
      </w: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</w:p>
    <w:p>
      <w:pPr>
        <w:jc w:val="center"/>
        <w:rPr>
          <w:rFonts w:ascii="Arial Regular" w:hAnsi="Arial Regular" w:cs="Arial Regular"/>
          <w:color w:val="000000"/>
          <w:szCs w:val="21"/>
        </w:rPr>
      </w:pPr>
      <w:r>
        <w:rPr>
          <w:rFonts w:ascii="Arial Regular" w:hAnsi="Arial Regular" w:cs="Arial Regular"/>
          <w:color w:val="000000"/>
          <w:szCs w:val="21"/>
        </w:rPr>
        <w:drawing>
          <wp:inline distT="0" distB="0" distL="114300" distR="114300">
            <wp:extent cx="4667885" cy="4752975"/>
            <wp:effectExtent l="0" t="0" r="5715" b="0"/>
            <wp:docPr id="2" name="图片 2" descr="F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S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6674" cy="48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lang w:eastAsia="zh-Hans"/>
        </w:rPr>
      </w:pPr>
      <w:r>
        <w:rPr>
          <w:rFonts w:ascii="Arial" w:hAnsi="Arial" w:cs="Arial"/>
          <w:color w:val="000000"/>
          <w:sz w:val="21"/>
          <w:szCs w:val="21"/>
        </w:rPr>
        <w:t>Fig. S2 The phylogenetic tree including apple MdHOX proteins and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Arabidopsis </w:t>
      </w:r>
      <w:r>
        <w:rPr>
          <w:rFonts w:ascii="Arial" w:hAnsi="Arial" w:cs="Arial"/>
          <w:color w:val="000000"/>
          <w:sz w:val="21"/>
          <w:szCs w:val="21"/>
        </w:rPr>
        <w:t>WOX proteins</w:t>
      </w:r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17 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MdHOX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 genes were marked in red and 15 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AtWOX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 xml:space="preserve"> genes were in the same branch.</w:t>
      </w:r>
    </w:p>
    <w:p>
      <w:pPr>
        <w:rPr>
          <w:rFonts w:ascii="Arial" w:hAnsi="Arial" w:cs="Arial"/>
          <w:color w:val="000000"/>
          <w:lang w:eastAsia="zh-Hans"/>
        </w:rPr>
      </w:pPr>
    </w:p>
    <w:p>
      <w:pPr>
        <w:rPr>
          <w:rFonts w:ascii="Arial" w:hAnsi="Arial" w:cs="Arial"/>
          <w:color w:val="000000"/>
          <w:szCs w:val="21"/>
        </w:rPr>
      </w:pPr>
    </w:p>
    <w:p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drawing>
          <wp:inline distT="0" distB="0" distL="0" distR="0">
            <wp:extent cx="5274310" cy="18656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18"/>
        </w:rPr>
        <w:t xml:space="preserve"> </w:t>
      </w:r>
    </w:p>
    <w:p>
      <w:pPr>
        <w:rPr>
          <w:rFonts w:ascii="Arial" w:hAnsi="Arial" w:cs="Arial"/>
          <w:color w:val="000000"/>
          <w:szCs w:val="18"/>
        </w:rPr>
      </w:pPr>
    </w:p>
    <w:p>
      <w:pP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</w:pPr>
      <w:r>
        <w:rPr>
          <w:rFonts w:ascii="Arial" w:hAnsi="Arial" w:cs="Arial"/>
          <w:color w:val="000000"/>
          <w:sz w:val="21"/>
          <w:szCs w:val="21"/>
        </w:rPr>
        <w:t xml:space="preserve">Fig. S3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>The c</w:t>
      </w:r>
      <w:r>
        <w:rPr>
          <w:rFonts w:ascii="Arial" w:hAnsi="Arial" w:cs="Arial"/>
          <w:color w:val="000000"/>
          <w:sz w:val="21"/>
          <w:szCs w:val="21"/>
        </w:rPr>
        <w:t>loning of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EjWUS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a</w:t>
      </w:r>
      <w:r>
        <w:rPr>
          <w:rFonts w:ascii="Arial" w:hAnsi="Arial" w:cs="Arial"/>
          <w:iCs/>
          <w:color w:val="000000"/>
          <w:sz w:val="21"/>
          <w:szCs w:val="21"/>
          <w:lang w:eastAsia="zh-Hans"/>
        </w:rPr>
        <w:t xml:space="preserve">, </w:t>
      </w:r>
      <w:r>
        <w:rPr>
          <w:rFonts w:ascii="Arial" w:hAnsi="Arial" w:cs="Arial"/>
          <w:i/>
          <w:iCs/>
          <w:color w:val="000000"/>
          <w:sz w:val="21"/>
          <w:szCs w:val="21"/>
        </w:rPr>
        <w:t>EjW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1"/>
          <w:szCs w:val="21"/>
        </w:rPr>
        <w:t>USa</w:t>
      </w:r>
      <w:r>
        <w:rPr>
          <w:rFonts w:ascii="Arial" w:hAnsi="Arial" w:cs="Arial"/>
          <w:color w:val="000000"/>
          <w:sz w:val="21"/>
          <w:szCs w:val="21"/>
        </w:rPr>
        <w:t xml:space="preserve"> promoter</w:t>
      </w:r>
      <w:r>
        <w:rPr>
          <w:rFonts w:ascii="Arial" w:hAnsi="Arial" w:cs="Arial"/>
          <w:iCs/>
          <w:color w:val="000000"/>
          <w:sz w:val="21"/>
          <w:szCs w:val="21"/>
        </w:rPr>
        <w:t>,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i/>
          <w:color w:val="000000"/>
          <w:sz w:val="21"/>
          <w:szCs w:val="21"/>
        </w:rPr>
        <w:t>EjSTM</w:t>
      </w:r>
      <w:r>
        <w:rPr>
          <w:rFonts w:ascii="Arial" w:hAnsi="Arial" w:cs="Arial"/>
          <w:color w:val="000000"/>
          <w:sz w:val="21"/>
          <w:szCs w:val="21"/>
        </w:rPr>
        <w:t xml:space="preserve">. A: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>The c</w:t>
      </w:r>
      <w:r>
        <w:rPr>
          <w:rFonts w:ascii="Arial" w:hAnsi="Arial" w:cs="Arial"/>
          <w:color w:val="000000"/>
          <w:sz w:val="21"/>
          <w:szCs w:val="21"/>
        </w:rPr>
        <w:t>loning of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EjWUS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a.</w:t>
      </w:r>
      <w:r>
        <w:rPr>
          <w:rFonts w:ascii="Arial" w:hAnsi="Arial" w:cs="Arial"/>
          <w:iCs/>
          <w:color w:val="000000"/>
          <w:sz w:val="21"/>
          <w:szCs w:val="21"/>
          <w:lang w:eastAsia="zh-Hans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The open reading frame of </w:t>
      </w:r>
      <w:r>
        <w:rPr>
          <w:rFonts w:ascii="Arial" w:hAnsi="Arial" w:cs="Arial"/>
          <w:i/>
          <w:color w:val="000000"/>
          <w:sz w:val="21"/>
          <w:szCs w:val="21"/>
        </w:rPr>
        <w:t>EjWUSa</w:t>
      </w:r>
      <w:r>
        <w:rPr>
          <w:rFonts w:ascii="Arial" w:hAnsi="Arial" w:cs="Arial"/>
          <w:color w:val="000000"/>
          <w:sz w:val="21"/>
          <w:szCs w:val="21"/>
        </w:rPr>
        <w:t xml:space="preserve"> is 987 bp.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>B: The c</w:t>
      </w:r>
      <w:r>
        <w:rPr>
          <w:rFonts w:ascii="Arial" w:hAnsi="Arial" w:cs="Arial"/>
          <w:color w:val="000000"/>
          <w:sz w:val="21"/>
          <w:szCs w:val="21"/>
        </w:rPr>
        <w:t>loning of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the </w:t>
      </w:r>
      <w:r>
        <w:rPr>
          <w:rFonts w:ascii="Arial" w:hAnsi="Arial" w:cs="Arial"/>
          <w:i/>
          <w:iCs/>
          <w:color w:val="000000"/>
          <w:sz w:val="21"/>
          <w:szCs w:val="21"/>
        </w:rPr>
        <w:t>EjWUSa</w:t>
      </w:r>
      <w:r>
        <w:rPr>
          <w:rFonts w:ascii="Arial" w:hAnsi="Arial" w:cs="Arial"/>
          <w:color w:val="000000"/>
          <w:sz w:val="21"/>
          <w:szCs w:val="21"/>
        </w:rPr>
        <w:t xml:space="preserve"> promoter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>C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 xml:space="preserve">: </w:t>
      </w:r>
      <w:r>
        <w:rPr>
          <w:rFonts w:ascii="Arial" w:hAnsi="Arial" w:cs="Arial"/>
          <w:color w:val="000000"/>
          <w:sz w:val="21"/>
          <w:szCs w:val="21"/>
          <w:lang w:eastAsia="zh-Hans"/>
        </w:rPr>
        <w:t>The c</w:t>
      </w:r>
      <w:r>
        <w:rPr>
          <w:rFonts w:ascii="Arial" w:hAnsi="Arial" w:cs="Arial"/>
          <w:color w:val="000000"/>
          <w:sz w:val="21"/>
          <w:szCs w:val="21"/>
        </w:rPr>
        <w:t>loning of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i/>
          <w:color w:val="000000"/>
          <w:sz w:val="21"/>
          <w:szCs w:val="21"/>
        </w:rPr>
        <w:t xml:space="preserve">EjSTM. </w:t>
      </w:r>
      <w:r>
        <w:rPr>
          <w:rFonts w:ascii="Arial" w:hAnsi="Arial" w:cs="Arial"/>
          <w:color w:val="000000"/>
          <w:sz w:val="21"/>
          <w:szCs w:val="21"/>
        </w:rPr>
        <w:t xml:space="preserve">The open reading frame of </w:t>
      </w:r>
      <w:r>
        <w:rPr>
          <w:rFonts w:ascii="Arial" w:hAnsi="Arial" w:cs="Arial"/>
          <w:i/>
          <w:color w:val="000000"/>
          <w:sz w:val="21"/>
          <w:szCs w:val="21"/>
        </w:rPr>
        <w:t xml:space="preserve">EjSTM </w:t>
      </w:r>
      <w:r>
        <w:rPr>
          <w:rFonts w:ascii="Arial" w:hAnsi="Arial" w:cs="Arial"/>
          <w:color w:val="000000"/>
          <w:sz w:val="21"/>
          <w:szCs w:val="21"/>
        </w:rPr>
        <w:t>is 1173 bp</w:t>
      </w:r>
      <w: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  <w:t>.</w:t>
      </w:r>
    </w:p>
    <w:p>
      <w:pPr>
        <w:rPr>
          <w:rFonts w:ascii="Arial" w:hAnsi="Arial" w:cs="Arial"/>
          <w:i/>
          <w:iCs/>
          <w:color w:val="000000"/>
          <w:sz w:val="21"/>
          <w:szCs w:val="21"/>
          <w:lang w:eastAsia="zh-Hans"/>
        </w:rPr>
      </w:pPr>
    </w:p>
    <w:p>
      <w:pPr>
        <w:rPr>
          <w:rFonts w:ascii="Arial" w:hAnsi="Arial" w:cs="Arial" w:eastAsiaTheme="majorEastAsia"/>
          <w:color w:val="000000"/>
          <w:szCs w:val="18"/>
        </w:rPr>
      </w:pPr>
      <w:r>
        <w:rPr>
          <w:rFonts w:ascii="Arial" w:hAnsi="Arial" w:cs="Arial" w:eastAsiaTheme="majorEastAsia"/>
          <w:color w:val="000000"/>
          <w:szCs w:val="18"/>
        </w:rPr>
        <w:drawing>
          <wp:inline distT="0" distB="0" distL="0" distR="0">
            <wp:extent cx="5274310" cy="2152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ajorEastAsia"/>
          <w:color w:val="000000"/>
          <w:szCs w:val="18"/>
        </w:rPr>
      </w:pPr>
    </w:p>
    <w:p>
      <w:pPr>
        <w:rPr>
          <w:rFonts w:ascii="Arial" w:hAnsi="Arial" w:cs="Arial" w:eastAsiaTheme="majorEastAsia"/>
          <w:color w:val="000000"/>
          <w:szCs w:val="18"/>
        </w:rPr>
      </w:pPr>
    </w:p>
    <w:p>
      <w:pPr>
        <w:rPr>
          <w:rFonts w:hint="eastAsia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Fig. S4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 The cis</w:t>
      </w:r>
      <w:r>
        <w:rPr>
          <w:rFonts w:ascii="Cambria Math" w:hAnsi="Cambria Math" w:cs="Cambria Math" w:eastAsiaTheme="majorEastAsia"/>
          <w:color w:val="000000"/>
          <w:sz w:val="21"/>
          <w:szCs w:val="21"/>
        </w:rPr>
        <w:t>‐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acting elements in the </w:t>
      </w:r>
      <w:r>
        <w:rPr>
          <w:rFonts w:ascii="Arial" w:hAnsi="Arial" w:cs="Arial"/>
          <w:color w:val="000000"/>
          <w:sz w:val="21"/>
          <w:szCs w:val="21"/>
        </w:rPr>
        <w:t xml:space="preserve">promoter of </w:t>
      </w:r>
      <w:r>
        <w:rPr>
          <w:rFonts w:ascii="Arial" w:hAnsi="Arial" w:cs="Arial"/>
          <w:i/>
          <w:color w:val="000000"/>
          <w:sz w:val="21"/>
          <w:szCs w:val="21"/>
        </w:rPr>
        <w:t>EjWUSa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. </w:t>
      </w:r>
      <w:r>
        <w:rPr>
          <w:rFonts w:ascii="Arial" w:hAnsi="Arial" w:cs="Arial"/>
          <w:color w:val="000000"/>
          <w:sz w:val="21"/>
          <w:szCs w:val="21"/>
        </w:rPr>
        <w:t>Black lines indicate length.</w:t>
      </w:r>
      <w:r>
        <w:rPr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Colored squares indicate the binding elements on the </w:t>
      </w:r>
      <w:r>
        <w:rPr>
          <w:rFonts w:ascii="Arial" w:hAnsi="Arial" w:cs="Arial"/>
          <w:i/>
          <w:iCs/>
          <w:color w:val="000000"/>
          <w:sz w:val="21"/>
          <w:szCs w:val="21"/>
        </w:rPr>
        <w:t>EjWUSa</w:t>
      </w:r>
      <w:r>
        <w:rPr>
          <w:rFonts w:ascii="Arial" w:hAnsi="Arial" w:cs="Arial"/>
          <w:color w:val="000000"/>
          <w:sz w:val="21"/>
          <w:szCs w:val="21"/>
        </w:rPr>
        <w:t xml:space="preserve"> promoter.</w:t>
      </w:r>
    </w:p>
    <w:p>
      <w:r>
        <w:drawing>
          <wp:inline distT="0" distB="0" distL="0" distR="0">
            <wp:extent cx="5425440" cy="23736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Fig. S5 The PCR detection of </w:t>
      </w:r>
      <w:r>
        <w:rPr>
          <w:rFonts w:ascii="Arial" w:hAnsi="Arial" w:cs="Arial"/>
          <w:i/>
          <w:iCs/>
          <w:color w:val="000000"/>
          <w:sz w:val="21"/>
          <w:szCs w:val="21"/>
        </w:rPr>
        <w:t>EjWUSa</w:t>
      </w:r>
      <w:r>
        <w:rPr>
          <w:rFonts w:ascii="Arial" w:hAnsi="Arial" w:cs="Arial"/>
          <w:color w:val="000000"/>
          <w:sz w:val="21"/>
          <w:szCs w:val="21"/>
        </w:rPr>
        <w:t xml:space="preserve"> transgenic 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Arabidopsis </w:t>
      </w:r>
      <w:r>
        <w:rPr>
          <w:rFonts w:ascii="Arial" w:hAnsi="Arial" w:cs="Arial"/>
          <w:color w:val="000000"/>
          <w:sz w:val="21"/>
          <w:szCs w:val="21"/>
        </w:rPr>
        <w:t>and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wild-type </w:t>
      </w:r>
      <w:r>
        <w:rPr>
          <w:rFonts w:ascii="Arial" w:hAnsi="Arial" w:cs="Arial"/>
          <w:i/>
          <w:iCs/>
          <w:color w:val="000000"/>
          <w:sz w:val="21"/>
          <w:szCs w:val="21"/>
        </w:rPr>
        <w:t>Arabidopsis</w:t>
      </w:r>
      <w:r>
        <w:rPr>
          <w:rFonts w:ascii="Arial" w:hAnsi="Arial" w:cs="Arial"/>
          <w:color w:val="000000"/>
          <w:sz w:val="21"/>
          <w:szCs w:val="21"/>
        </w:rPr>
        <w:t xml:space="preserve">. M: maker; WT: wild-type 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Arabidopsis; </w:t>
      </w:r>
      <w:r>
        <w:rPr>
          <w:rFonts w:ascii="Arial" w:hAnsi="Arial" w:cs="Arial"/>
          <w:color w:val="000000"/>
          <w:sz w:val="21"/>
          <w:szCs w:val="21"/>
        </w:rPr>
        <w:t>P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: </w:t>
      </w:r>
      <w:r>
        <w:rPr>
          <w:rFonts w:ascii="Arial" w:hAnsi="Arial" w:cs="Arial"/>
          <w:color w:val="000000"/>
          <w:sz w:val="21"/>
          <w:szCs w:val="21"/>
        </w:rPr>
        <w:t>positive control.</w:t>
      </w:r>
    </w:p>
    <w:p>
      <w:pPr>
        <w:rPr>
          <w:rFonts w:ascii="Arial" w:hAnsi="Arial" w:cs="Arial"/>
          <w:color w:val="000000"/>
          <w:sz w:val="21"/>
          <w:szCs w:val="21"/>
        </w:rPr>
      </w:pPr>
    </w:p>
    <w:p>
      <w:pPr>
        <w:rPr>
          <w:rFonts w:hint="eastAsia" w:ascii="Times New Roman" w:hAnsi="Times New Roman" w:cs="Times New Roman" w:eastAsiaTheme="majorEastAsia"/>
          <w:b/>
          <w:bCs/>
          <w:color w:val="000000"/>
          <w:szCs w:val="21"/>
        </w:rPr>
      </w:pPr>
    </w:p>
    <w:p>
      <w:pPr>
        <w:rPr>
          <w:rFonts w:ascii="Arial Regular" w:hAnsi="Arial Regular" w:cs="Arial Regular" w:eastAsiaTheme="majorEastAsia"/>
          <w:color w:val="000000"/>
          <w:szCs w:val="18"/>
        </w:rPr>
      </w:pPr>
      <w:r>
        <w:drawing>
          <wp:inline distT="0" distB="0" distL="114300" distR="114300">
            <wp:extent cx="5440680" cy="2552700"/>
            <wp:effectExtent l="0" t="0" r="7620" b="0"/>
            <wp:docPr id="4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1"/>
          <w:szCs w:val="21"/>
        </w:rPr>
        <w:t>Fig. S6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 Multiple sequence alignment of the WOX proteins in apple. </w:t>
      </w:r>
      <w:r>
        <w:rPr>
          <w:rFonts w:ascii="Arial" w:hAnsi="Arial" w:cs="Arial"/>
          <w:color w:val="000000"/>
          <w:sz w:val="21"/>
          <w:szCs w:val="21"/>
        </w:rPr>
        <w:t>The identical amino acids are in black boxes.</w:t>
      </w: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310" cy="1017905"/>
            <wp:effectExtent l="0" t="0" r="0" b="0"/>
            <wp:docPr id="3" name="图片 3" descr="F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Fig. S7 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The sequence alignment of loquat EjWUSa protein and </w:t>
      </w:r>
      <w:r>
        <w:rPr>
          <w:rFonts w:ascii="Arial" w:hAnsi="Arial" w:cs="Arial" w:eastAsiaTheme="majorEastAsia"/>
          <w:i/>
          <w:iCs/>
          <w:color w:val="000000"/>
          <w:sz w:val="21"/>
          <w:szCs w:val="21"/>
        </w:rPr>
        <w:t>Arabidopsis</w:t>
      </w:r>
      <w:r>
        <w:rPr>
          <w:rFonts w:ascii="Arial" w:hAnsi="Arial" w:cs="Arial" w:eastAsiaTheme="majorEastAsia"/>
          <w:color w:val="000000"/>
          <w:sz w:val="21"/>
          <w:szCs w:val="21"/>
        </w:rPr>
        <w:t xml:space="preserve"> AtWUS protein. </w:t>
      </w:r>
      <w:r>
        <w:rPr>
          <w:rFonts w:ascii="Arial" w:hAnsi="Arial" w:cs="Arial"/>
          <w:color w:val="000000"/>
          <w:sz w:val="21"/>
          <w:szCs w:val="21"/>
        </w:rPr>
        <w:t>The identical amino acids are in black boxes.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 Italic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Kingsoft Math">
    <w:panose1 w:val="0204050305040603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3MzEwZTU0Y2NhOTg3NGVkMGZkZmY2NTYzMmYxMzgifQ=="/>
  </w:docVars>
  <w:rsids>
    <w:rsidRoot w:val="47DF8D3F"/>
    <w:rsid w:val="000309CF"/>
    <w:rsid w:val="000C000B"/>
    <w:rsid w:val="000C7F67"/>
    <w:rsid w:val="00167B72"/>
    <w:rsid w:val="001B123C"/>
    <w:rsid w:val="001B589A"/>
    <w:rsid w:val="00286A17"/>
    <w:rsid w:val="002C035C"/>
    <w:rsid w:val="00377DEB"/>
    <w:rsid w:val="00380295"/>
    <w:rsid w:val="00396F6A"/>
    <w:rsid w:val="003B1F10"/>
    <w:rsid w:val="003F6EAE"/>
    <w:rsid w:val="004C690C"/>
    <w:rsid w:val="004E538A"/>
    <w:rsid w:val="007644BE"/>
    <w:rsid w:val="00863349"/>
    <w:rsid w:val="0093291F"/>
    <w:rsid w:val="009E388B"/>
    <w:rsid w:val="00A913E1"/>
    <w:rsid w:val="00AA6CAA"/>
    <w:rsid w:val="00B072E7"/>
    <w:rsid w:val="00C130D4"/>
    <w:rsid w:val="00C21B08"/>
    <w:rsid w:val="00CA262D"/>
    <w:rsid w:val="00D00494"/>
    <w:rsid w:val="00D30FE1"/>
    <w:rsid w:val="00DA2E55"/>
    <w:rsid w:val="00E4219C"/>
    <w:rsid w:val="00EA2742"/>
    <w:rsid w:val="00EF3C8A"/>
    <w:rsid w:val="011530C3"/>
    <w:rsid w:val="0B7F11DE"/>
    <w:rsid w:val="0FBCE017"/>
    <w:rsid w:val="136E2957"/>
    <w:rsid w:val="169D3553"/>
    <w:rsid w:val="16F761E1"/>
    <w:rsid w:val="17110B3E"/>
    <w:rsid w:val="1777131E"/>
    <w:rsid w:val="18A7B7BA"/>
    <w:rsid w:val="1B2F9A7B"/>
    <w:rsid w:val="1EBF5CB7"/>
    <w:rsid w:val="1FD7AA2F"/>
    <w:rsid w:val="1FFA5E9B"/>
    <w:rsid w:val="1FFBC267"/>
    <w:rsid w:val="1FFE7D77"/>
    <w:rsid w:val="26413EFB"/>
    <w:rsid w:val="27986602"/>
    <w:rsid w:val="2B6B15D8"/>
    <w:rsid w:val="2DEF16AE"/>
    <w:rsid w:val="2DFFACDA"/>
    <w:rsid w:val="2E474078"/>
    <w:rsid w:val="2FBB60C5"/>
    <w:rsid w:val="2FDEB5EE"/>
    <w:rsid w:val="2FFC60E8"/>
    <w:rsid w:val="33EBE35A"/>
    <w:rsid w:val="345D36E5"/>
    <w:rsid w:val="354CAC49"/>
    <w:rsid w:val="38BE936A"/>
    <w:rsid w:val="396D9D7C"/>
    <w:rsid w:val="3A3564D6"/>
    <w:rsid w:val="3CB5A0E9"/>
    <w:rsid w:val="3DBA4E82"/>
    <w:rsid w:val="3DFC8906"/>
    <w:rsid w:val="3EAE95A7"/>
    <w:rsid w:val="3EFFFDC7"/>
    <w:rsid w:val="3F963BA6"/>
    <w:rsid w:val="3FD3F7CA"/>
    <w:rsid w:val="3FFF2297"/>
    <w:rsid w:val="3FFFAFDA"/>
    <w:rsid w:val="3FFFEA21"/>
    <w:rsid w:val="406A0AE5"/>
    <w:rsid w:val="42FF3CD3"/>
    <w:rsid w:val="443469F5"/>
    <w:rsid w:val="45DF0FA9"/>
    <w:rsid w:val="47DF8D3F"/>
    <w:rsid w:val="4E3D3300"/>
    <w:rsid w:val="4F6E33CD"/>
    <w:rsid w:val="4F7FC9FE"/>
    <w:rsid w:val="4FBE9DE9"/>
    <w:rsid w:val="4FDF8DDB"/>
    <w:rsid w:val="4FEFB44C"/>
    <w:rsid w:val="4FFD3424"/>
    <w:rsid w:val="53206AC2"/>
    <w:rsid w:val="554D5A93"/>
    <w:rsid w:val="55BB8D09"/>
    <w:rsid w:val="55DF1EC8"/>
    <w:rsid w:val="571701DC"/>
    <w:rsid w:val="57345777"/>
    <w:rsid w:val="57BE6D74"/>
    <w:rsid w:val="57DFE3E9"/>
    <w:rsid w:val="5857D871"/>
    <w:rsid w:val="58E559E2"/>
    <w:rsid w:val="59ECDFBA"/>
    <w:rsid w:val="59EF3DE0"/>
    <w:rsid w:val="5B6FE643"/>
    <w:rsid w:val="5BBB71B5"/>
    <w:rsid w:val="5BDC2DE9"/>
    <w:rsid w:val="5BFD9685"/>
    <w:rsid w:val="5D59AE8E"/>
    <w:rsid w:val="5F7ECEF9"/>
    <w:rsid w:val="5FB69158"/>
    <w:rsid w:val="5FBD3032"/>
    <w:rsid w:val="62FF6261"/>
    <w:rsid w:val="6756B7FC"/>
    <w:rsid w:val="67FF25DE"/>
    <w:rsid w:val="67FF782F"/>
    <w:rsid w:val="6A9734E0"/>
    <w:rsid w:val="6BCB0B84"/>
    <w:rsid w:val="6BD98AEA"/>
    <w:rsid w:val="6BFF60F7"/>
    <w:rsid w:val="6D192DDC"/>
    <w:rsid w:val="6F7DCE32"/>
    <w:rsid w:val="6FC558B5"/>
    <w:rsid w:val="6FD528BF"/>
    <w:rsid w:val="6FDF8166"/>
    <w:rsid w:val="6FF74EDB"/>
    <w:rsid w:val="6FFD9EB3"/>
    <w:rsid w:val="6FFF09DC"/>
    <w:rsid w:val="72EFBD25"/>
    <w:rsid w:val="72F96F9B"/>
    <w:rsid w:val="72FB6890"/>
    <w:rsid w:val="72FFDF2A"/>
    <w:rsid w:val="736962F3"/>
    <w:rsid w:val="737AAC51"/>
    <w:rsid w:val="737B01B0"/>
    <w:rsid w:val="73D3B739"/>
    <w:rsid w:val="75AFE431"/>
    <w:rsid w:val="75B5D08B"/>
    <w:rsid w:val="75C9226A"/>
    <w:rsid w:val="76BF367C"/>
    <w:rsid w:val="76E18011"/>
    <w:rsid w:val="76FDF99A"/>
    <w:rsid w:val="76FFA2A6"/>
    <w:rsid w:val="777D01B1"/>
    <w:rsid w:val="77AF1CB0"/>
    <w:rsid w:val="77BFF77E"/>
    <w:rsid w:val="77DEC5EC"/>
    <w:rsid w:val="77E9F814"/>
    <w:rsid w:val="77EEBAB7"/>
    <w:rsid w:val="77EF8F6D"/>
    <w:rsid w:val="77FFFDDA"/>
    <w:rsid w:val="7937683C"/>
    <w:rsid w:val="79B30D4D"/>
    <w:rsid w:val="79E7D6D9"/>
    <w:rsid w:val="79FEED5D"/>
    <w:rsid w:val="7AAF11BE"/>
    <w:rsid w:val="7B9EB18B"/>
    <w:rsid w:val="7BCDFFB5"/>
    <w:rsid w:val="7BFB68C1"/>
    <w:rsid w:val="7CCB5532"/>
    <w:rsid w:val="7DAE9082"/>
    <w:rsid w:val="7DB72E62"/>
    <w:rsid w:val="7DBB4713"/>
    <w:rsid w:val="7DDF2F52"/>
    <w:rsid w:val="7DEBB419"/>
    <w:rsid w:val="7DFB90F2"/>
    <w:rsid w:val="7DFEB926"/>
    <w:rsid w:val="7DFFCAD8"/>
    <w:rsid w:val="7E3CA3DE"/>
    <w:rsid w:val="7E464C40"/>
    <w:rsid w:val="7E76ADF6"/>
    <w:rsid w:val="7EBD8185"/>
    <w:rsid w:val="7EC85377"/>
    <w:rsid w:val="7EDD083A"/>
    <w:rsid w:val="7EFA1D48"/>
    <w:rsid w:val="7F9CC85F"/>
    <w:rsid w:val="7FC91BAE"/>
    <w:rsid w:val="7FCF57FC"/>
    <w:rsid w:val="7FDA913C"/>
    <w:rsid w:val="7FDDC0AB"/>
    <w:rsid w:val="7FDEE7C9"/>
    <w:rsid w:val="7FE5FD20"/>
    <w:rsid w:val="7FE7BCC9"/>
    <w:rsid w:val="7FEF5E4A"/>
    <w:rsid w:val="7FF54DA3"/>
    <w:rsid w:val="7FF73FD3"/>
    <w:rsid w:val="7FFB25C2"/>
    <w:rsid w:val="7FFBFDCF"/>
    <w:rsid w:val="7FFD2411"/>
    <w:rsid w:val="7FFDE804"/>
    <w:rsid w:val="7FFE5B2A"/>
    <w:rsid w:val="7FFF2E3A"/>
    <w:rsid w:val="7FFF63A6"/>
    <w:rsid w:val="847B36C8"/>
    <w:rsid w:val="8A7EE86A"/>
    <w:rsid w:val="8D6FC37E"/>
    <w:rsid w:val="8DEFFEAB"/>
    <w:rsid w:val="8DFF2039"/>
    <w:rsid w:val="8F7FBBA2"/>
    <w:rsid w:val="93FDE1E9"/>
    <w:rsid w:val="94FE20B6"/>
    <w:rsid w:val="979B6AD8"/>
    <w:rsid w:val="97F7F8E9"/>
    <w:rsid w:val="9DDCE983"/>
    <w:rsid w:val="9F7F1425"/>
    <w:rsid w:val="A7F7051C"/>
    <w:rsid w:val="ADDD0A18"/>
    <w:rsid w:val="AFAB7CE5"/>
    <w:rsid w:val="B3F712BE"/>
    <w:rsid w:val="B77DAD80"/>
    <w:rsid w:val="B7ACD05D"/>
    <w:rsid w:val="B7B3B544"/>
    <w:rsid w:val="B7F298EB"/>
    <w:rsid w:val="B7FFEBB4"/>
    <w:rsid w:val="BB6E431E"/>
    <w:rsid w:val="BBD5DBFC"/>
    <w:rsid w:val="BCDCB554"/>
    <w:rsid w:val="BCFEC10E"/>
    <w:rsid w:val="BCFFD9A4"/>
    <w:rsid w:val="BDFE4296"/>
    <w:rsid w:val="BEFA5677"/>
    <w:rsid w:val="BF5797D7"/>
    <w:rsid w:val="BF6DCCA2"/>
    <w:rsid w:val="BF955D33"/>
    <w:rsid w:val="BFBA3A41"/>
    <w:rsid w:val="BFE77ED0"/>
    <w:rsid w:val="BFFB75C0"/>
    <w:rsid w:val="C6FAF1FF"/>
    <w:rsid w:val="C6FE5B40"/>
    <w:rsid w:val="C7F464B4"/>
    <w:rsid w:val="CBFEFBB2"/>
    <w:rsid w:val="CDFBF5A7"/>
    <w:rsid w:val="CEFBB8AD"/>
    <w:rsid w:val="CEFEEBE0"/>
    <w:rsid w:val="CFDBDE0B"/>
    <w:rsid w:val="D1AFB9B3"/>
    <w:rsid w:val="D1DF45F1"/>
    <w:rsid w:val="D3ECCA31"/>
    <w:rsid w:val="D409BA73"/>
    <w:rsid w:val="D4D8122F"/>
    <w:rsid w:val="D4FF53EB"/>
    <w:rsid w:val="D6FBF5FD"/>
    <w:rsid w:val="D7362C4D"/>
    <w:rsid w:val="D7ECC62D"/>
    <w:rsid w:val="D7FF5328"/>
    <w:rsid w:val="DAD8D890"/>
    <w:rsid w:val="DBFDEACB"/>
    <w:rsid w:val="DD773E18"/>
    <w:rsid w:val="DDE19E64"/>
    <w:rsid w:val="DE238BB8"/>
    <w:rsid w:val="DEBE0D53"/>
    <w:rsid w:val="DEEFA801"/>
    <w:rsid w:val="DF6F320F"/>
    <w:rsid w:val="DF7DA571"/>
    <w:rsid w:val="DFDDCEB5"/>
    <w:rsid w:val="DFF39C36"/>
    <w:rsid w:val="DFFEF03F"/>
    <w:rsid w:val="E2FEC044"/>
    <w:rsid w:val="E3FD32A7"/>
    <w:rsid w:val="E4D65025"/>
    <w:rsid w:val="E7C7A561"/>
    <w:rsid w:val="E7DB0B29"/>
    <w:rsid w:val="E7F6A52F"/>
    <w:rsid w:val="E7FB5556"/>
    <w:rsid w:val="E8FD3F67"/>
    <w:rsid w:val="E9EFD0B3"/>
    <w:rsid w:val="EC6F8118"/>
    <w:rsid w:val="EEDF3242"/>
    <w:rsid w:val="EF6AB47E"/>
    <w:rsid w:val="EFAF35A1"/>
    <w:rsid w:val="EFDFBA2D"/>
    <w:rsid w:val="EFEE3FC6"/>
    <w:rsid w:val="EFF6A4C2"/>
    <w:rsid w:val="EFFE6F8E"/>
    <w:rsid w:val="EFFF857D"/>
    <w:rsid w:val="F17E0EB2"/>
    <w:rsid w:val="F27FB7D3"/>
    <w:rsid w:val="F2BEDE07"/>
    <w:rsid w:val="F3D79591"/>
    <w:rsid w:val="F57E89F6"/>
    <w:rsid w:val="F5FF9D3A"/>
    <w:rsid w:val="F639750D"/>
    <w:rsid w:val="F67BF65E"/>
    <w:rsid w:val="F6B64047"/>
    <w:rsid w:val="F73FFB9B"/>
    <w:rsid w:val="F74F1611"/>
    <w:rsid w:val="F759E5D0"/>
    <w:rsid w:val="F77E7809"/>
    <w:rsid w:val="F7878A50"/>
    <w:rsid w:val="F797BBA2"/>
    <w:rsid w:val="F7AB3AF5"/>
    <w:rsid w:val="F7EED12B"/>
    <w:rsid w:val="F7FF297C"/>
    <w:rsid w:val="F9DB492A"/>
    <w:rsid w:val="F9FFB6C2"/>
    <w:rsid w:val="FADD8C44"/>
    <w:rsid w:val="FBE7029A"/>
    <w:rsid w:val="FBE7D094"/>
    <w:rsid w:val="FC7F60B6"/>
    <w:rsid w:val="FCFDA0E3"/>
    <w:rsid w:val="FD1FC790"/>
    <w:rsid w:val="FD3FC3C1"/>
    <w:rsid w:val="FD7FD37E"/>
    <w:rsid w:val="FDBC0573"/>
    <w:rsid w:val="FDE3C350"/>
    <w:rsid w:val="FDFC9F2A"/>
    <w:rsid w:val="FDFF77C8"/>
    <w:rsid w:val="FE5BB352"/>
    <w:rsid w:val="FE7B58BD"/>
    <w:rsid w:val="FE870011"/>
    <w:rsid w:val="FEAE2DC5"/>
    <w:rsid w:val="FEDF5C13"/>
    <w:rsid w:val="FEFD7C3E"/>
    <w:rsid w:val="FEFE07A8"/>
    <w:rsid w:val="FEFF239F"/>
    <w:rsid w:val="FEFFB4EA"/>
    <w:rsid w:val="FF4FDA37"/>
    <w:rsid w:val="FF60B12C"/>
    <w:rsid w:val="FF7B8C8E"/>
    <w:rsid w:val="FF7E1340"/>
    <w:rsid w:val="FFBF2C45"/>
    <w:rsid w:val="FFDDCC67"/>
    <w:rsid w:val="FFDF79D5"/>
    <w:rsid w:val="FFF7AB3A"/>
    <w:rsid w:val="FFFAFB6A"/>
    <w:rsid w:val="FFFDAEFE"/>
    <w:rsid w:val="FF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3.tiff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195</Words>
  <Characters>1114</Characters>
  <Lines>9</Lines>
  <Paragraphs>2</Paragraphs>
  <TotalTime>0</TotalTime>
  <ScaleCrop>false</ScaleCrop>
  <LinksUpToDate>false</LinksUpToDate>
  <CharactersWithSpaces>1307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2022-08-21T15:10:00Z</dcterms:created>
  <dc:creator>剑锋利刃</dc:creator>
  <cp:lastModifiedBy>剑锋利刃</cp:lastModifiedBy>
  <dcterms:modified xsi:type="dcterms:W3CDTF">2022-10-04T08:51:49Z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78997A4486C2604AAF0EFD6259709202</vt:lpwstr>
  </property>
</Properties>
</file>