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wmf" ContentType="image/x-w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00703" w:rsidRDefault="00B73693">
      <w:pPr>
        <w:keepNext/>
        <w:keepLines/>
        <w:spacing w:line="480" w:lineRule="auto"/>
        <w:jc w:val="center"/>
        <w:outlineLvl w:val="0"/>
        <w:rPr>
          <w:rFonts w:eastAsia="SimSun" w:cs="Times New Roman"/>
          <w:b/>
          <w:color w:val="000000"/>
          <w:sz w:val="32"/>
          <w:szCs w:val="32"/>
        </w:rPr>
      </w:pPr>
      <w:bookmarkStart w:id="0" w:name="OLE_LINK2"/>
      <w:r>
        <w:rPr>
          <w:rFonts w:eastAsia="SimSun" w:cs="Times New Roman" w:hint="eastAsia"/>
          <w:b/>
          <w:color w:val="000000"/>
          <w:sz w:val="32"/>
          <w:szCs w:val="32"/>
        </w:rPr>
        <w:t xml:space="preserve">Temporal and spatial variation of </w:t>
      </w:r>
      <w:bookmarkEnd w:id="0"/>
      <w:r>
        <w:rPr>
          <w:b/>
          <w:sz w:val="32"/>
          <w:szCs w:val="32"/>
        </w:rPr>
        <w:t>petroleum hydrocarbons and microbial communities</w:t>
      </w:r>
      <w:r>
        <w:rPr>
          <w:b/>
          <w:color w:val="FF0000"/>
          <w:sz w:val="32"/>
          <w:szCs w:val="32"/>
        </w:rPr>
        <w:t xml:space="preserve"> </w:t>
      </w:r>
      <w:r>
        <w:rPr>
          <w:rFonts w:eastAsia="SimSun" w:cs="Times New Roman" w:hint="eastAsia"/>
          <w:b/>
          <w:color w:val="000000"/>
          <w:sz w:val="32"/>
          <w:szCs w:val="32"/>
        </w:rPr>
        <w:t>during static release of oil pollution sediments</w:t>
      </w:r>
    </w:p>
    <w:p w:rsidR="00300703" w:rsidRDefault="00B73693">
      <w:pPr>
        <w:widowControl/>
        <w:spacing w:line="480" w:lineRule="auto"/>
        <w:jc w:val="center"/>
        <w:rPr>
          <w:rFonts w:ascii="SimSun" w:eastAsia="SimSun" w:hAnsi="SimSun" w:cs="SimSun"/>
          <w:kern w:val="0"/>
          <w:sz w:val="24"/>
        </w:rPr>
      </w:pPr>
      <w:proofErr w:type="spellStart"/>
      <w:r>
        <w:rPr>
          <w:rFonts w:eastAsia="SimSun" w:cs="Times New Roman"/>
          <w:sz w:val="24"/>
        </w:rPr>
        <w:t>Haoshuai</w:t>
      </w:r>
      <w:proofErr w:type="spellEnd"/>
      <w:r>
        <w:rPr>
          <w:rFonts w:eastAsia="SimSun" w:cs="Times New Roman"/>
          <w:sz w:val="24"/>
        </w:rPr>
        <w:t xml:space="preserve"> Li </w:t>
      </w:r>
      <w:r>
        <w:rPr>
          <w:rFonts w:eastAsia="SimSun" w:cs="Times New Roman"/>
          <w:sz w:val="24"/>
          <w:vertAlign w:val="superscript"/>
        </w:rPr>
        <w:t>a, b</w:t>
      </w:r>
      <w:r>
        <w:rPr>
          <w:rFonts w:eastAsia="SimSun" w:cs="Times New Roman"/>
          <w:sz w:val="24"/>
        </w:rPr>
        <w:t xml:space="preserve">, </w:t>
      </w:r>
      <w:r>
        <w:rPr>
          <w:rFonts w:eastAsia="SimSun" w:cs="Times New Roman" w:hint="eastAsia"/>
          <w:sz w:val="24"/>
        </w:rPr>
        <w:t xml:space="preserve">Hu Sun </w:t>
      </w:r>
      <w:r>
        <w:rPr>
          <w:rFonts w:eastAsia="SimSun" w:cs="Times New Roman"/>
          <w:sz w:val="24"/>
          <w:vertAlign w:val="superscript"/>
        </w:rPr>
        <w:t>a, b</w:t>
      </w:r>
      <w:r>
        <w:rPr>
          <w:rFonts w:eastAsia="SimSun" w:cs="Times New Roman"/>
          <w:sz w:val="24"/>
        </w:rPr>
        <w:t xml:space="preserve">, </w:t>
      </w:r>
      <w:proofErr w:type="spellStart"/>
      <w:r>
        <w:rPr>
          <w:rFonts w:eastAsia="SimSun" w:cs="Times New Roman" w:hint="eastAsia"/>
          <w:sz w:val="24"/>
        </w:rPr>
        <w:t>Xinping</w:t>
      </w:r>
      <w:proofErr w:type="spellEnd"/>
      <w:r>
        <w:rPr>
          <w:rFonts w:eastAsia="SimSun" w:cs="Times New Roman" w:hint="eastAsia"/>
          <w:sz w:val="24"/>
        </w:rPr>
        <w:t xml:space="preserve"> Wang</w:t>
      </w:r>
      <w:r>
        <w:rPr>
          <w:rFonts w:eastAsia="SimSun" w:cs="Times New Roman"/>
          <w:sz w:val="24"/>
        </w:rPr>
        <w:t xml:space="preserve"> </w:t>
      </w:r>
      <w:r>
        <w:rPr>
          <w:rFonts w:eastAsia="SimSun" w:cs="Times New Roman"/>
          <w:sz w:val="24"/>
          <w:vertAlign w:val="superscript"/>
        </w:rPr>
        <w:t>c</w:t>
      </w:r>
      <w:r>
        <w:rPr>
          <w:rFonts w:eastAsia="SimSun" w:cs="Times New Roman"/>
          <w:sz w:val="24"/>
        </w:rPr>
        <w:t xml:space="preserve">, </w:t>
      </w:r>
      <w:proofErr w:type="spellStart"/>
      <w:r>
        <w:rPr>
          <w:rFonts w:eastAsia="SimSun" w:cs="Times New Roman"/>
          <w:sz w:val="24"/>
        </w:rPr>
        <w:t>Fujuan</w:t>
      </w:r>
      <w:proofErr w:type="spellEnd"/>
      <w:r>
        <w:rPr>
          <w:rFonts w:eastAsia="SimSun" w:cs="Times New Roman"/>
          <w:sz w:val="24"/>
        </w:rPr>
        <w:t xml:space="preserve"> Li </w:t>
      </w:r>
      <w:r>
        <w:rPr>
          <w:rFonts w:eastAsia="SimSun" w:cs="Times New Roman"/>
          <w:sz w:val="24"/>
          <w:vertAlign w:val="superscript"/>
        </w:rPr>
        <w:t>c</w:t>
      </w:r>
      <w:r>
        <w:rPr>
          <w:rFonts w:eastAsia="SimSun" w:cs="Times New Roman"/>
          <w:sz w:val="24"/>
        </w:rPr>
        <w:t xml:space="preserve">, </w:t>
      </w:r>
      <w:proofErr w:type="spellStart"/>
      <w:r>
        <w:rPr>
          <w:rFonts w:eastAsia="SimSun" w:cs="Times New Roman"/>
          <w:sz w:val="24"/>
        </w:rPr>
        <w:t>Lixin</w:t>
      </w:r>
      <w:proofErr w:type="spellEnd"/>
      <w:r>
        <w:rPr>
          <w:rFonts w:eastAsia="SimSun" w:cs="Times New Roman"/>
          <w:sz w:val="24"/>
        </w:rPr>
        <w:t xml:space="preserve"> Cao </w:t>
      </w:r>
      <w:proofErr w:type="spellStart"/>
      <w:r>
        <w:rPr>
          <w:rFonts w:eastAsia="SimSun" w:cs="Times New Roman"/>
          <w:sz w:val="24"/>
          <w:vertAlign w:val="superscript"/>
        </w:rPr>
        <w:t>c</w:t>
      </w:r>
      <w:proofErr w:type="gramStart"/>
      <w:r>
        <w:rPr>
          <w:rFonts w:eastAsia="SimSun" w:cs="Times New Roman"/>
          <w:sz w:val="24"/>
        </w:rPr>
        <w:t>,Yang</w:t>
      </w:r>
      <w:proofErr w:type="spellEnd"/>
      <w:proofErr w:type="gramEnd"/>
      <w:r>
        <w:rPr>
          <w:rFonts w:eastAsia="SimSun" w:cs="Times New Roman"/>
          <w:sz w:val="24"/>
        </w:rPr>
        <w:t xml:space="preserve"> Li </w:t>
      </w:r>
      <w:r>
        <w:rPr>
          <w:rFonts w:eastAsia="SimSun" w:cs="Times New Roman"/>
          <w:sz w:val="24"/>
          <w:vertAlign w:val="superscript"/>
        </w:rPr>
        <w:t>d</w:t>
      </w:r>
      <w:r>
        <w:rPr>
          <w:rFonts w:eastAsia="SimSun" w:cs="Times New Roman"/>
          <w:sz w:val="24"/>
        </w:rPr>
        <w:t xml:space="preserve">, </w:t>
      </w:r>
      <w:proofErr w:type="spellStart"/>
      <w:r>
        <w:rPr>
          <w:rFonts w:eastAsia="SimSun" w:cs="Times New Roman"/>
          <w:sz w:val="24"/>
        </w:rPr>
        <w:t>Ranran</w:t>
      </w:r>
      <w:proofErr w:type="spellEnd"/>
      <w:r>
        <w:rPr>
          <w:rFonts w:eastAsia="SimSun" w:cs="Times New Roman" w:hint="eastAsia"/>
          <w:sz w:val="24"/>
        </w:rPr>
        <w:t xml:space="preserve"> </w:t>
      </w:r>
      <w:r>
        <w:rPr>
          <w:rFonts w:eastAsia="SimSun" w:cs="Times New Roman"/>
          <w:sz w:val="24"/>
        </w:rPr>
        <w:t>Dong</w:t>
      </w:r>
      <w:r>
        <w:rPr>
          <w:rFonts w:eastAsia="SimSun" w:cs="Times New Roman" w:hint="eastAsia"/>
          <w:sz w:val="24"/>
        </w:rPr>
        <w:t xml:space="preserve"> </w:t>
      </w:r>
      <w:r>
        <w:rPr>
          <w:rFonts w:eastAsia="SimSun" w:cs="Times New Roman"/>
          <w:sz w:val="24"/>
          <w:vertAlign w:val="superscript"/>
        </w:rPr>
        <w:t>a, b</w:t>
      </w:r>
      <w:r>
        <w:rPr>
          <w:rFonts w:eastAsia="SimSun" w:cs="Times New Roman"/>
          <w:sz w:val="24"/>
        </w:rPr>
        <w:t xml:space="preserve">, </w:t>
      </w:r>
      <w:proofErr w:type="spellStart"/>
      <w:r>
        <w:rPr>
          <w:rFonts w:eastAsia="SimSun" w:cs="Times New Roman" w:hint="eastAsia"/>
          <w:sz w:val="24"/>
        </w:rPr>
        <w:t>Yu</w:t>
      </w:r>
      <w:r>
        <w:rPr>
          <w:rFonts w:eastAsia="SimSun" w:cs="Times New Roman"/>
          <w:sz w:val="24"/>
        </w:rPr>
        <w:t>xiang</w:t>
      </w:r>
      <w:proofErr w:type="spellEnd"/>
      <w:r>
        <w:rPr>
          <w:rFonts w:eastAsia="SimSun" w:cs="Times New Roman"/>
          <w:sz w:val="24"/>
        </w:rPr>
        <w:t xml:space="preserve"> Sun</w:t>
      </w:r>
      <w:r>
        <w:rPr>
          <w:rFonts w:eastAsia="SimSun" w:cs="Times New Roman" w:hint="eastAsia"/>
          <w:sz w:val="24"/>
        </w:rPr>
        <w:t xml:space="preserve"> </w:t>
      </w:r>
      <w:r>
        <w:rPr>
          <w:rFonts w:eastAsia="SimSun" w:cs="Times New Roman"/>
          <w:sz w:val="24"/>
          <w:vertAlign w:val="superscript"/>
        </w:rPr>
        <w:t>a, b</w:t>
      </w:r>
      <w:r>
        <w:rPr>
          <w:rFonts w:eastAsia="SimSun" w:cs="Times New Roman"/>
          <w:sz w:val="24"/>
        </w:rPr>
        <w:t xml:space="preserve">, </w:t>
      </w:r>
      <w:proofErr w:type="spellStart"/>
      <w:r>
        <w:rPr>
          <w:rFonts w:eastAsia="SimSun" w:cs="Times New Roman" w:hint="eastAsia"/>
          <w:sz w:val="24"/>
        </w:rPr>
        <w:t>Peiyan</w:t>
      </w:r>
      <w:proofErr w:type="spellEnd"/>
      <w:r>
        <w:rPr>
          <w:rFonts w:eastAsia="SimSun" w:cs="Times New Roman" w:hint="eastAsia"/>
          <w:sz w:val="24"/>
        </w:rPr>
        <w:t xml:space="preserve"> Sun</w:t>
      </w:r>
      <w:r>
        <w:rPr>
          <w:rFonts w:eastAsia="SimSun" w:cs="Times New Roman"/>
          <w:sz w:val="24"/>
        </w:rPr>
        <w:t xml:space="preserve"> </w:t>
      </w:r>
      <w:r>
        <w:rPr>
          <w:rFonts w:eastAsia="SimSun" w:cs="Times New Roman"/>
          <w:sz w:val="24"/>
          <w:vertAlign w:val="superscript"/>
        </w:rPr>
        <w:t>c</w:t>
      </w:r>
      <w:r>
        <w:rPr>
          <w:rFonts w:eastAsia="Times New Roman" w:cs="Times New Roman"/>
          <w:kern w:val="0"/>
          <w:sz w:val="24"/>
          <w:vertAlign w:val="superscript"/>
        </w:rPr>
        <w:footnoteReference w:customMarkFollows="1" w:id="1"/>
        <w:sym w:font="Symbol" w:char="F02A"/>
      </w:r>
      <w:r>
        <w:rPr>
          <w:rFonts w:eastAsia="SimSun" w:cs="Times New Roman"/>
          <w:sz w:val="24"/>
        </w:rPr>
        <w:t>,</w:t>
      </w:r>
      <w:r>
        <w:rPr>
          <w:rFonts w:eastAsia="SimSun" w:cs="Times New Roman" w:hint="eastAsia"/>
          <w:sz w:val="24"/>
        </w:rPr>
        <w:t xml:space="preserve"> </w:t>
      </w:r>
      <w:proofErr w:type="spellStart"/>
      <w:r>
        <w:rPr>
          <w:rFonts w:eastAsia="SimSun" w:cs="Times New Roman"/>
          <w:sz w:val="24"/>
        </w:rPr>
        <w:t>Mutai</w:t>
      </w:r>
      <w:proofErr w:type="spellEnd"/>
      <w:r>
        <w:rPr>
          <w:rFonts w:eastAsia="SimSun" w:cs="Times New Roman"/>
          <w:sz w:val="24"/>
        </w:rPr>
        <w:t xml:space="preserve"> </w:t>
      </w:r>
      <w:proofErr w:type="spellStart"/>
      <w:r>
        <w:rPr>
          <w:rFonts w:eastAsia="SimSun" w:cs="Times New Roman"/>
          <w:sz w:val="24"/>
        </w:rPr>
        <w:t>Bao</w:t>
      </w:r>
      <w:proofErr w:type="spellEnd"/>
      <w:r>
        <w:rPr>
          <w:rFonts w:eastAsia="SimSun" w:cs="Times New Roman"/>
          <w:sz w:val="24"/>
        </w:rPr>
        <w:t xml:space="preserve"> </w:t>
      </w:r>
      <w:r>
        <w:rPr>
          <w:rFonts w:eastAsia="SimSun" w:cs="Times New Roman"/>
          <w:sz w:val="24"/>
          <w:vertAlign w:val="superscript"/>
        </w:rPr>
        <w:t>a, b</w:t>
      </w:r>
      <w:bookmarkStart w:id="2" w:name="OLE_LINK182"/>
      <w:bookmarkStart w:id="3" w:name="OLE_LINK181"/>
      <w:r>
        <w:rPr>
          <w:rFonts w:eastAsia="Times New Roman" w:cs="Times New Roman"/>
          <w:kern w:val="0"/>
          <w:sz w:val="24"/>
          <w:vertAlign w:val="superscript"/>
        </w:rPr>
        <w:footnoteReference w:customMarkFollows="1" w:id="2"/>
        <w:sym w:font="Symbol" w:char="F02A"/>
      </w:r>
      <w:bookmarkEnd w:id="2"/>
      <w:bookmarkEnd w:id="3"/>
    </w:p>
    <w:p w:rsidR="00300703" w:rsidRDefault="00B73693">
      <w:pPr>
        <w:spacing w:line="480" w:lineRule="auto"/>
        <w:rPr>
          <w:rFonts w:eastAsia="SimSun" w:cs="Times New Roman"/>
          <w:i/>
          <w:iCs/>
          <w:sz w:val="20"/>
          <w:szCs w:val="20"/>
        </w:rPr>
      </w:pPr>
      <w:r>
        <w:rPr>
          <w:rFonts w:eastAsia="SimSun" w:cs="Times New Roman"/>
          <w:i/>
          <w:iCs/>
          <w:color w:val="00B0F0"/>
          <w:sz w:val="20"/>
          <w:szCs w:val="20"/>
          <w:vertAlign w:val="superscript"/>
        </w:rPr>
        <w:t>a</w:t>
      </w:r>
      <w:r>
        <w:rPr>
          <w:rFonts w:eastAsia="SimSun" w:cs="Times New Roman" w:hint="eastAsia"/>
          <w:i/>
          <w:iCs/>
          <w:sz w:val="20"/>
          <w:szCs w:val="20"/>
        </w:rPr>
        <w:t xml:space="preserve"> Frontiers Science Center for Deep Ocean </w:t>
      </w:r>
      <w:proofErr w:type="spellStart"/>
      <w:r>
        <w:rPr>
          <w:rFonts w:eastAsia="SimSun" w:cs="Times New Roman" w:hint="eastAsia"/>
          <w:i/>
          <w:iCs/>
          <w:sz w:val="20"/>
          <w:szCs w:val="20"/>
        </w:rPr>
        <w:t>Multispheres</w:t>
      </w:r>
      <w:proofErr w:type="spellEnd"/>
      <w:r>
        <w:rPr>
          <w:rFonts w:eastAsia="SimSun" w:cs="Times New Roman" w:hint="eastAsia"/>
          <w:i/>
          <w:iCs/>
          <w:sz w:val="20"/>
          <w:szCs w:val="20"/>
        </w:rPr>
        <w:t xml:space="preserve"> and Earth System, and Key Laboratory of Marine Chemistry Theory and Technology, Ministry of Education, Ocean University of China, Qingdao, China</w:t>
      </w:r>
    </w:p>
    <w:p w:rsidR="00300703" w:rsidRDefault="00B73693">
      <w:pPr>
        <w:spacing w:line="480" w:lineRule="auto"/>
        <w:rPr>
          <w:rFonts w:eastAsia="SimSun" w:cs="Times New Roman"/>
          <w:i/>
          <w:iCs/>
          <w:sz w:val="20"/>
          <w:szCs w:val="20"/>
        </w:rPr>
      </w:pPr>
      <w:proofErr w:type="gramStart"/>
      <w:r>
        <w:rPr>
          <w:rFonts w:eastAsia="SimSun" w:cs="Times New Roman"/>
          <w:i/>
          <w:iCs/>
          <w:color w:val="00B0F0"/>
          <w:sz w:val="20"/>
          <w:szCs w:val="20"/>
          <w:vertAlign w:val="superscript"/>
        </w:rPr>
        <w:t>b</w:t>
      </w:r>
      <w:proofErr w:type="gramEnd"/>
      <w:r>
        <w:rPr>
          <w:rFonts w:eastAsia="SimSun" w:cs="Times New Roman"/>
          <w:i/>
          <w:iCs/>
          <w:color w:val="00B0F0"/>
          <w:sz w:val="20"/>
          <w:szCs w:val="20"/>
          <w:vertAlign w:val="superscript"/>
        </w:rPr>
        <w:t xml:space="preserve"> </w:t>
      </w:r>
      <w:r>
        <w:rPr>
          <w:rFonts w:eastAsia="SimSun" w:cs="Times New Roman"/>
          <w:i/>
          <w:iCs/>
          <w:sz w:val="20"/>
          <w:szCs w:val="20"/>
        </w:rPr>
        <w:t>College of Chemistry and Chemical Engineering, Ocean University of China, Qingdao, China</w:t>
      </w:r>
    </w:p>
    <w:p w:rsidR="00300703" w:rsidRDefault="00B73693">
      <w:pPr>
        <w:spacing w:line="480" w:lineRule="auto"/>
        <w:rPr>
          <w:rFonts w:eastAsia="SimSun" w:cs="Times New Roman"/>
          <w:i/>
          <w:iCs/>
          <w:sz w:val="20"/>
          <w:szCs w:val="20"/>
        </w:rPr>
      </w:pPr>
      <w:r>
        <w:rPr>
          <w:rFonts w:eastAsia="SimSun" w:cs="Times New Roman"/>
          <w:i/>
          <w:iCs/>
          <w:color w:val="00B0F0"/>
          <w:sz w:val="20"/>
          <w:szCs w:val="20"/>
          <w:vertAlign w:val="superscript"/>
        </w:rPr>
        <w:t xml:space="preserve">C </w:t>
      </w:r>
      <w:r>
        <w:rPr>
          <w:rFonts w:eastAsia="SimSun" w:cs="Times New Roman" w:hint="eastAsia"/>
          <w:i/>
          <w:iCs/>
          <w:sz w:val="20"/>
          <w:szCs w:val="20"/>
        </w:rPr>
        <w:t>North China Sea Environmental Monitoring Center, State Oceanic Administration, Qingdao, China</w:t>
      </w:r>
    </w:p>
    <w:p w:rsidR="00300703" w:rsidRDefault="00B73693">
      <w:pPr>
        <w:spacing w:line="480" w:lineRule="auto"/>
        <w:rPr>
          <w:rFonts w:eastAsia="SimSun" w:cs="Times New Roman"/>
          <w:i/>
          <w:iCs/>
          <w:sz w:val="20"/>
          <w:szCs w:val="20"/>
        </w:rPr>
      </w:pPr>
      <w:proofErr w:type="gramStart"/>
      <w:r>
        <w:rPr>
          <w:rFonts w:eastAsia="SimSun" w:cs="Times New Roman"/>
          <w:i/>
          <w:iCs/>
          <w:color w:val="00B0F0"/>
          <w:sz w:val="20"/>
          <w:szCs w:val="20"/>
          <w:vertAlign w:val="superscript"/>
        </w:rPr>
        <w:t>d</w:t>
      </w:r>
      <w:proofErr w:type="gramEnd"/>
      <w:r>
        <w:rPr>
          <w:rFonts w:eastAsia="SimSun" w:cs="Times New Roman"/>
          <w:i/>
          <w:iCs/>
          <w:sz w:val="20"/>
          <w:szCs w:val="20"/>
        </w:rPr>
        <w:t xml:space="preserve"> China Petrochemical Corporation (Sinopec Group), Beijing, China</w:t>
      </w:r>
    </w:p>
    <w:p w:rsidR="00300703" w:rsidRDefault="00300703">
      <w:pPr>
        <w:contextualSpacing/>
        <w:rPr>
          <w:rFonts w:cs="Times New Roman"/>
          <w:b/>
          <w:bCs/>
          <w:szCs w:val="21"/>
        </w:rPr>
      </w:pPr>
    </w:p>
    <w:p w:rsidR="00300703" w:rsidRDefault="00300703">
      <w:pPr>
        <w:contextualSpacing/>
        <w:rPr>
          <w:rFonts w:cs="Times New Roman"/>
          <w:b/>
          <w:bCs/>
          <w:szCs w:val="21"/>
        </w:rPr>
      </w:pPr>
    </w:p>
    <w:p w:rsidR="00300703" w:rsidRDefault="00300703">
      <w:pPr>
        <w:contextualSpacing/>
        <w:rPr>
          <w:rFonts w:cs="Times New Roman"/>
          <w:b/>
          <w:bCs/>
          <w:szCs w:val="21"/>
        </w:rPr>
      </w:pPr>
    </w:p>
    <w:p w:rsidR="00300703" w:rsidRDefault="00300703">
      <w:pPr>
        <w:contextualSpacing/>
        <w:rPr>
          <w:rFonts w:cs="Times New Roman"/>
          <w:b/>
          <w:bCs/>
          <w:szCs w:val="21"/>
        </w:rPr>
      </w:pPr>
    </w:p>
    <w:p w:rsidR="00300703" w:rsidRDefault="00300703">
      <w:pPr>
        <w:contextualSpacing/>
        <w:rPr>
          <w:rFonts w:cs="Times New Roman"/>
          <w:b/>
          <w:bCs/>
          <w:szCs w:val="21"/>
        </w:rPr>
      </w:pPr>
    </w:p>
    <w:p w:rsidR="00300703" w:rsidRDefault="00300703">
      <w:pPr>
        <w:contextualSpacing/>
        <w:rPr>
          <w:rFonts w:cs="Times New Roman"/>
          <w:b/>
          <w:bCs/>
          <w:szCs w:val="21"/>
        </w:rPr>
      </w:pPr>
    </w:p>
    <w:p w:rsidR="00300703" w:rsidRDefault="00300703">
      <w:pPr>
        <w:contextualSpacing/>
        <w:rPr>
          <w:rFonts w:cs="Times New Roman"/>
          <w:b/>
          <w:bCs/>
          <w:szCs w:val="21"/>
        </w:rPr>
      </w:pPr>
    </w:p>
    <w:p w:rsidR="00300703" w:rsidRDefault="00300703">
      <w:pPr>
        <w:contextualSpacing/>
        <w:rPr>
          <w:rFonts w:cs="Times New Roman"/>
          <w:b/>
          <w:bCs/>
          <w:szCs w:val="21"/>
        </w:rPr>
      </w:pPr>
    </w:p>
    <w:p w:rsidR="00300703" w:rsidRDefault="00300703">
      <w:pPr>
        <w:contextualSpacing/>
        <w:rPr>
          <w:rFonts w:cs="Times New Roman"/>
          <w:b/>
          <w:bCs/>
          <w:szCs w:val="21"/>
        </w:rPr>
      </w:pPr>
    </w:p>
    <w:p w:rsidR="00300703" w:rsidRDefault="00300703">
      <w:pPr>
        <w:contextualSpacing/>
        <w:rPr>
          <w:rFonts w:cs="Times New Roman"/>
          <w:b/>
          <w:bCs/>
          <w:szCs w:val="21"/>
        </w:rPr>
      </w:pPr>
    </w:p>
    <w:p w:rsidR="00300703" w:rsidRDefault="00300703">
      <w:pPr>
        <w:contextualSpacing/>
        <w:rPr>
          <w:rFonts w:cs="Times New Roman"/>
          <w:b/>
          <w:bCs/>
          <w:szCs w:val="21"/>
        </w:rPr>
      </w:pPr>
    </w:p>
    <w:p w:rsidR="00300703" w:rsidRDefault="00300703">
      <w:pPr>
        <w:contextualSpacing/>
        <w:rPr>
          <w:rFonts w:cs="Times New Roman"/>
          <w:b/>
          <w:bCs/>
          <w:szCs w:val="21"/>
        </w:rPr>
      </w:pPr>
    </w:p>
    <w:p w:rsidR="00300703" w:rsidRDefault="00300703">
      <w:pPr>
        <w:contextualSpacing/>
        <w:rPr>
          <w:rFonts w:cs="Times New Roman"/>
          <w:b/>
          <w:bCs/>
          <w:szCs w:val="21"/>
        </w:rPr>
      </w:pPr>
    </w:p>
    <w:p w:rsidR="00300703" w:rsidRDefault="00300703">
      <w:pPr>
        <w:contextualSpacing/>
        <w:rPr>
          <w:rFonts w:cs="Times New Roman"/>
          <w:b/>
          <w:bCs/>
          <w:szCs w:val="21"/>
        </w:rPr>
      </w:pPr>
    </w:p>
    <w:p w:rsidR="00300703" w:rsidRDefault="00300703">
      <w:pPr>
        <w:contextualSpacing/>
        <w:rPr>
          <w:rFonts w:cs="Times New Roman"/>
          <w:b/>
          <w:bCs/>
          <w:szCs w:val="21"/>
        </w:rPr>
      </w:pPr>
    </w:p>
    <w:p w:rsidR="00300703" w:rsidRDefault="00300703">
      <w:pPr>
        <w:contextualSpacing/>
        <w:rPr>
          <w:rFonts w:cs="Times New Roman"/>
          <w:b/>
          <w:bCs/>
          <w:szCs w:val="21"/>
        </w:rPr>
      </w:pPr>
    </w:p>
    <w:p w:rsidR="00300703" w:rsidRDefault="00300703">
      <w:pPr>
        <w:contextualSpacing/>
        <w:rPr>
          <w:rFonts w:cs="Times New Roman"/>
          <w:b/>
          <w:bCs/>
          <w:szCs w:val="21"/>
        </w:rPr>
      </w:pPr>
    </w:p>
    <w:p w:rsidR="00300703" w:rsidRDefault="00B73693">
      <w:pPr>
        <w:spacing w:line="480" w:lineRule="auto"/>
        <w:contextualSpacing/>
        <w:rPr>
          <w:rFonts w:cs="Times New Roman"/>
          <w:szCs w:val="21"/>
        </w:rPr>
      </w:pPr>
      <w:r>
        <w:rPr>
          <w:rFonts w:cs="Times New Roman"/>
          <w:b/>
          <w:bCs/>
          <w:szCs w:val="21"/>
        </w:rPr>
        <w:lastRenderedPageBreak/>
        <w:t>Fig.</w:t>
      </w:r>
      <w:r>
        <w:rPr>
          <w:rFonts w:cs="Times New Roman" w:hint="eastAsia"/>
          <w:b/>
          <w:bCs/>
          <w:szCs w:val="21"/>
        </w:rPr>
        <w:t>S</w:t>
      </w:r>
      <w:r>
        <w:rPr>
          <w:rFonts w:cs="Times New Roman"/>
          <w:b/>
          <w:bCs/>
          <w:szCs w:val="21"/>
        </w:rPr>
        <w:t>1</w:t>
      </w:r>
      <w:r>
        <w:rPr>
          <w:rFonts w:cs="Times New Roman"/>
          <w:szCs w:val="21"/>
        </w:rPr>
        <w:t xml:space="preserve"> </w:t>
      </w:r>
      <w:r>
        <w:rPr>
          <w:rFonts w:cs="Times New Roman" w:hint="eastAsia"/>
          <w:szCs w:val="21"/>
        </w:rPr>
        <w:t>Schematic diagram of the experimental device for simulating the static release process</w:t>
      </w:r>
    </w:p>
    <w:p w:rsidR="00300703" w:rsidRDefault="00B73693">
      <w:pPr>
        <w:spacing w:line="480" w:lineRule="auto"/>
        <w:contextualSpacing/>
        <w:rPr>
          <w:rFonts w:cs="Times New Roman"/>
          <w:szCs w:val="21"/>
        </w:rPr>
      </w:pPr>
      <w:r>
        <w:rPr>
          <w:rFonts w:cs="Times New Roman"/>
          <w:b/>
          <w:bCs/>
          <w:szCs w:val="21"/>
        </w:rPr>
        <w:t>Fig.</w:t>
      </w:r>
      <w:r>
        <w:rPr>
          <w:rFonts w:cs="Times New Roman" w:hint="eastAsia"/>
          <w:b/>
          <w:bCs/>
          <w:szCs w:val="21"/>
        </w:rPr>
        <w:t>S2</w:t>
      </w:r>
      <w:r>
        <w:rPr>
          <w:rFonts w:cs="Times New Roman"/>
          <w:szCs w:val="21"/>
        </w:rPr>
        <w:t xml:space="preserve"> </w:t>
      </w:r>
      <w:r>
        <w:rPr>
          <w:rFonts w:cs="Times New Roman" w:hint="eastAsia"/>
          <w:szCs w:val="21"/>
        </w:rPr>
        <w:t>Changes in the release concentration of oily sediments with aging time</w:t>
      </w:r>
    </w:p>
    <w:p w:rsidR="00300703" w:rsidRDefault="00B73693">
      <w:pPr>
        <w:spacing w:line="480" w:lineRule="auto"/>
        <w:contextualSpacing/>
        <w:rPr>
          <w:szCs w:val="21"/>
        </w:rPr>
      </w:pPr>
      <w:r>
        <w:rPr>
          <w:rFonts w:cs="Times New Roman"/>
          <w:b/>
          <w:bCs/>
          <w:szCs w:val="21"/>
        </w:rPr>
        <w:t>Fig.</w:t>
      </w:r>
      <w:r>
        <w:rPr>
          <w:rFonts w:cs="Times New Roman" w:hint="eastAsia"/>
          <w:b/>
          <w:bCs/>
          <w:szCs w:val="21"/>
        </w:rPr>
        <w:t>S3</w:t>
      </w:r>
      <w:r>
        <w:rPr>
          <w:rFonts w:cs="Times New Roman"/>
          <w:szCs w:val="21"/>
        </w:rPr>
        <w:t xml:space="preserve"> </w:t>
      </w:r>
      <w:r>
        <w:rPr>
          <w:rFonts w:hint="eastAsia"/>
          <w:szCs w:val="21"/>
        </w:rPr>
        <w:t>C1-P relative peak area change diagram of U crude oil at different heights</w:t>
      </w:r>
    </w:p>
    <w:p w:rsidR="00300703" w:rsidRDefault="00B73693">
      <w:pPr>
        <w:spacing w:line="480" w:lineRule="auto"/>
        <w:contextualSpacing/>
        <w:rPr>
          <w:szCs w:val="21"/>
        </w:rPr>
      </w:pPr>
      <w:r>
        <w:rPr>
          <w:rFonts w:cs="Times New Roman"/>
          <w:b/>
          <w:bCs/>
          <w:szCs w:val="21"/>
        </w:rPr>
        <w:t>Fig.</w:t>
      </w:r>
      <w:r>
        <w:rPr>
          <w:rFonts w:cs="Times New Roman" w:hint="eastAsia"/>
          <w:b/>
          <w:bCs/>
          <w:szCs w:val="21"/>
        </w:rPr>
        <w:t>S4</w:t>
      </w:r>
      <w:r>
        <w:rPr>
          <w:rFonts w:cs="Times New Roman"/>
          <w:szCs w:val="21"/>
        </w:rPr>
        <w:t xml:space="preserve"> </w:t>
      </w:r>
      <w:r>
        <w:rPr>
          <w:rFonts w:hint="eastAsia"/>
          <w:szCs w:val="21"/>
        </w:rPr>
        <w:t>C1-P relative peak area change diagram of R crude oil at different heights</w:t>
      </w:r>
    </w:p>
    <w:p w:rsidR="00300703" w:rsidRDefault="00B73693">
      <w:pPr>
        <w:spacing w:line="480" w:lineRule="auto"/>
        <w:contextualSpacing/>
        <w:rPr>
          <w:rFonts w:cs="Times New Roman"/>
          <w:b/>
          <w:bCs/>
          <w:szCs w:val="21"/>
        </w:rPr>
      </w:pPr>
      <w:r>
        <w:rPr>
          <w:rFonts w:cs="Times New Roman"/>
          <w:b/>
          <w:bCs/>
          <w:szCs w:val="21"/>
        </w:rPr>
        <w:t>Fig.</w:t>
      </w:r>
      <w:r>
        <w:rPr>
          <w:rFonts w:cs="Times New Roman" w:hint="eastAsia"/>
          <w:b/>
          <w:bCs/>
          <w:szCs w:val="21"/>
        </w:rPr>
        <w:t>S5</w:t>
      </w:r>
      <w:r>
        <w:rPr>
          <w:rFonts w:cs="Times New Roman"/>
          <w:b/>
          <w:bCs/>
          <w:szCs w:val="21"/>
        </w:rPr>
        <w:t xml:space="preserve"> </w:t>
      </w:r>
      <w:r>
        <w:rPr>
          <w:rFonts w:cs="Times New Roman" w:hint="eastAsia"/>
          <w:szCs w:val="21"/>
        </w:rPr>
        <w:t>C1-P relative peak area change diagram of T crude oil at different heights</w:t>
      </w:r>
    </w:p>
    <w:p w:rsidR="00300703" w:rsidRDefault="00B73693">
      <w:pPr>
        <w:spacing w:line="480" w:lineRule="auto"/>
        <w:contextualSpacing/>
        <w:rPr>
          <w:rFonts w:cs="Times New Roman"/>
          <w:szCs w:val="21"/>
        </w:rPr>
      </w:pPr>
      <w:r>
        <w:rPr>
          <w:rFonts w:cs="Times New Roman"/>
          <w:b/>
          <w:bCs/>
          <w:szCs w:val="21"/>
        </w:rPr>
        <w:t>Fig.</w:t>
      </w:r>
      <w:r>
        <w:rPr>
          <w:rFonts w:cs="Times New Roman" w:hint="eastAsia"/>
          <w:b/>
          <w:bCs/>
          <w:szCs w:val="21"/>
        </w:rPr>
        <w:t>S6</w:t>
      </w:r>
      <w:r>
        <w:rPr>
          <w:rFonts w:cs="Times New Roman"/>
          <w:b/>
          <w:bCs/>
          <w:szCs w:val="21"/>
        </w:rPr>
        <w:t xml:space="preserve"> </w:t>
      </w:r>
      <w:r>
        <w:rPr>
          <w:rFonts w:cs="Times New Roman" w:hint="eastAsia"/>
          <w:szCs w:val="21"/>
        </w:rPr>
        <w:t>Comparison of microbial communities between the original sediment and the freeze-dried sediment</w:t>
      </w:r>
    </w:p>
    <w:p w:rsidR="00300703" w:rsidRDefault="00B73693">
      <w:pPr>
        <w:spacing w:line="480" w:lineRule="auto"/>
        <w:contextualSpacing/>
        <w:rPr>
          <w:rFonts w:cs="Times New Roman"/>
          <w:szCs w:val="21"/>
        </w:rPr>
      </w:pPr>
      <w:r>
        <w:rPr>
          <w:rFonts w:cs="Times New Roman"/>
          <w:b/>
          <w:bCs/>
          <w:szCs w:val="21"/>
        </w:rPr>
        <w:t>Fig.</w:t>
      </w:r>
      <w:r>
        <w:rPr>
          <w:rFonts w:cs="Times New Roman" w:hint="eastAsia"/>
          <w:b/>
          <w:bCs/>
          <w:szCs w:val="21"/>
        </w:rPr>
        <w:t>S7</w:t>
      </w:r>
      <w:r>
        <w:rPr>
          <w:rFonts w:cs="Times New Roman" w:hint="eastAsia"/>
          <w:szCs w:val="21"/>
        </w:rPr>
        <w:t xml:space="preserve"> Comparison of microbial communities in the four columns and freeze-dried</w:t>
      </w:r>
    </w:p>
    <w:p w:rsidR="00300703" w:rsidRDefault="00B73693">
      <w:pPr>
        <w:spacing w:line="480" w:lineRule="auto"/>
        <w:contextualSpacing/>
        <w:rPr>
          <w:rFonts w:cs="Times New Roman"/>
          <w:szCs w:val="21"/>
        </w:rPr>
      </w:pPr>
      <w:r>
        <w:rPr>
          <w:rFonts w:cs="Times New Roman" w:hint="eastAsia"/>
          <w:b/>
          <w:bCs/>
          <w:szCs w:val="21"/>
        </w:rPr>
        <w:t>Table.S1</w:t>
      </w:r>
      <w:r>
        <w:rPr>
          <w:rFonts w:cs="Times New Roman" w:hint="eastAsia"/>
          <w:szCs w:val="21"/>
        </w:rPr>
        <w:t xml:space="preserve"> Physicochemical information of three crude oils</w:t>
      </w:r>
    </w:p>
    <w:p w:rsidR="00300703" w:rsidRDefault="00B73693">
      <w:pPr>
        <w:spacing w:line="480" w:lineRule="auto"/>
        <w:contextualSpacing/>
        <w:rPr>
          <w:rFonts w:cs="Times New Roman"/>
          <w:szCs w:val="21"/>
        </w:rPr>
      </w:pPr>
      <w:r>
        <w:rPr>
          <w:rFonts w:cs="Times New Roman" w:hint="eastAsia"/>
          <w:b/>
          <w:bCs/>
          <w:szCs w:val="21"/>
        </w:rPr>
        <w:t>Table.S2</w:t>
      </w:r>
      <w:r>
        <w:rPr>
          <w:rFonts w:cs="Times New Roman" w:hint="eastAsia"/>
          <w:szCs w:val="21"/>
        </w:rPr>
        <w:t xml:space="preserve"> The Physicochemical information of Sediments</w:t>
      </w:r>
      <w:bookmarkStart w:id="4" w:name="_GoBack"/>
      <w:bookmarkEnd w:id="4"/>
    </w:p>
    <w:p w:rsidR="00300703" w:rsidRDefault="00B73693">
      <w:pPr>
        <w:spacing w:line="480" w:lineRule="auto"/>
        <w:contextualSpacing/>
        <w:rPr>
          <w:rFonts w:cs="Times New Roman"/>
          <w:szCs w:val="21"/>
        </w:rPr>
      </w:pPr>
      <w:r>
        <w:rPr>
          <w:rFonts w:cs="Times New Roman"/>
          <w:b/>
          <w:bCs/>
          <w:szCs w:val="21"/>
        </w:rPr>
        <w:t>Table.</w:t>
      </w:r>
      <w:r>
        <w:rPr>
          <w:rFonts w:cs="Times New Roman" w:hint="eastAsia"/>
          <w:b/>
          <w:bCs/>
          <w:szCs w:val="21"/>
        </w:rPr>
        <w:t>S3</w:t>
      </w:r>
      <w:r>
        <w:rPr>
          <w:rFonts w:cs="Times New Roman"/>
          <w:szCs w:val="21"/>
        </w:rPr>
        <w:t xml:space="preserve"> Main characteristic ions</w:t>
      </w:r>
    </w:p>
    <w:p w:rsidR="00300703" w:rsidRDefault="00B73693">
      <w:pPr>
        <w:spacing w:line="480" w:lineRule="auto"/>
        <w:contextualSpacing/>
        <w:sectPr w:rsidR="00300703" w:rsidSect="00040474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cs="Times New Roman"/>
          <w:b/>
          <w:bCs/>
          <w:szCs w:val="21"/>
        </w:rPr>
        <w:t>Table.</w:t>
      </w:r>
      <w:r>
        <w:rPr>
          <w:rFonts w:cs="Times New Roman" w:hint="eastAsia"/>
          <w:b/>
          <w:bCs/>
          <w:szCs w:val="21"/>
        </w:rPr>
        <w:t>S4</w:t>
      </w:r>
      <w:r>
        <w:rPr>
          <w:rFonts w:cs="Times New Roman"/>
          <w:szCs w:val="21"/>
        </w:rPr>
        <w:t xml:space="preserve"> Microbial </w:t>
      </w:r>
      <w:r>
        <w:rPr>
          <w:rFonts w:cs="Times New Roman" w:hint="eastAsia"/>
          <w:szCs w:val="21"/>
        </w:rPr>
        <w:t>phyla</w:t>
      </w:r>
      <w:r>
        <w:rPr>
          <w:rFonts w:cs="Times New Roman"/>
          <w:szCs w:val="21"/>
        </w:rPr>
        <w:t xml:space="preserve"> and relative abundance in natural seawater</w:t>
      </w:r>
    </w:p>
    <w:p w:rsidR="00300703" w:rsidRDefault="00B73693">
      <w:pPr>
        <w:pStyle w:val="Heading1"/>
      </w:pPr>
      <w:r>
        <w:rPr>
          <w:rFonts w:hint="eastAsia"/>
          <w:sz w:val="24"/>
        </w:rPr>
        <w:lastRenderedPageBreak/>
        <w:t>Support material</w:t>
      </w:r>
    </w:p>
    <w:p w:rsidR="00300703" w:rsidRDefault="00B73693">
      <w:pPr>
        <w:jc w:val="center"/>
      </w:pPr>
      <w:r>
        <w:rPr>
          <w:noProof/>
          <w:lang w:val="en-PH" w:eastAsia="en-PH"/>
        </w:rPr>
        <w:drawing>
          <wp:inline distT="0" distB="0" distL="114300" distR="114300">
            <wp:extent cx="5273040" cy="3908425"/>
            <wp:effectExtent l="0" t="0" r="0" b="15875"/>
            <wp:docPr id="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9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0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703" w:rsidRDefault="00B73693">
      <w:pPr>
        <w:contextualSpacing/>
        <w:jc w:val="center"/>
        <w:rPr>
          <w:rFonts w:cs="Times New Roman"/>
          <w:szCs w:val="21"/>
        </w:rPr>
      </w:pPr>
      <w:r>
        <w:rPr>
          <w:rFonts w:cs="Times New Roman"/>
          <w:b/>
          <w:bCs/>
          <w:szCs w:val="21"/>
        </w:rPr>
        <w:t>Fig.</w:t>
      </w:r>
      <w:r>
        <w:rPr>
          <w:rFonts w:cs="Times New Roman" w:hint="eastAsia"/>
          <w:b/>
          <w:bCs/>
          <w:szCs w:val="21"/>
        </w:rPr>
        <w:t>S</w:t>
      </w:r>
      <w:r>
        <w:rPr>
          <w:rFonts w:cs="Times New Roman"/>
          <w:b/>
          <w:bCs/>
          <w:szCs w:val="21"/>
        </w:rPr>
        <w:t>1</w:t>
      </w:r>
      <w:r>
        <w:rPr>
          <w:rFonts w:cs="Times New Roman"/>
          <w:szCs w:val="21"/>
        </w:rPr>
        <w:t xml:space="preserve"> </w:t>
      </w:r>
      <w:r>
        <w:rPr>
          <w:rFonts w:cs="Times New Roman" w:hint="eastAsia"/>
          <w:szCs w:val="21"/>
        </w:rPr>
        <w:t>Schematic diagram of the experimental device for simulating the static release process</w:t>
      </w:r>
    </w:p>
    <w:p w:rsidR="00300703" w:rsidRDefault="00300703">
      <w:pPr>
        <w:contextualSpacing/>
        <w:jc w:val="center"/>
        <w:rPr>
          <w:rFonts w:cs="Times New Roman"/>
          <w:i/>
          <w:iCs/>
          <w:szCs w:val="21"/>
        </w:rPr>
      </w:pPr>
    </w:p>
    <w:p w:rsidR="00300703" w:rsidRDefault="00B73693">
      <w:pPr>
        <w:ind w:firstLineChars="200" w:firstLine="420"/>
      </w:pPr>
      <w:r>
        <w:rPr>
          <w:noProof/>
          <w:lang w:val="en-PH" w:eastAsia="en-PH"/>
        </w:rPr>
        <w:drawing>
          <wp:inline distT="0" distB="0" distL="0" distR="0">
            <wp:extent cx="4572000" cy="2743200"/>
            <wp:effectExtent l="0" t="0" r="0" b="0"/>
            <wp:docPr id="31" name="图表 3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300703" w:rsidRDefault="00B73693">
      <w:pPr>
        <w:jc w:val="center"/>
        <w:rPr>
          <w:b/>
          <w:bCs/>
        </w:rPr>
      </w:pPr>
      <w:r>
        <w:rPr>
          <w:rFonts w:cs="Times New Roman"/>
          <w:b/>
          <w:bCs/>
          <w:szCs w:val="21"/>
        </w:rPr>
        <w:t xml:space="preserve">Fig. </w:t>
      </w:r>
      <w:r>
        <w:rPr>
          <w:rFonts w:cs="Times New Roman" w:hint="eastAsia"/>
          <w:b/>
          <w:bCs/>
          <w:szCs w:val="21"/>
        </w:rPr>
        <w:t>S2</w:t>
      </w:r>
      <w:r>
        <w:rPr>
          <w:rFonts w:cs="Times New Roman"/>
          <w:b/>
          <w:bCs/>
          <w:szCs w:val="21"/>
        </w:rPr>
        <w:t xml:space="preserve"> </w:t>
      </w:r>
      <w:r>
        <w:rPr>
          <w:rFonts w:cs="Times New Roman" w:hint="eastAsia"/>
          <w:szCs w:val="21"/>
        </w:rPr>
        <w:t>Changes in the release concentration of oily sediments with aging time</w:t>
      </w:r>
    </w:p>
    <w:p w:rsidR="00300703" w:rsidRDefault="00B73693">
      <w:pPr>
        <w:jc w:val="center"/>
      </w:pPr>
      <w:r>
        <w:object w:dxaOrig="6803" w:dyaOrig="800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40.15pt;height:400.4pt" o:ole="">
            <v:imagedata r:id="rId10" o:title="" croptop="1813f" cropbottom="2556f" cropleft="1627f" cropright="489f"/>
          </v:shape>
          <o:OLEObject Type="Embed" ProgID="Origin95.Graph" ShapeID="_x0000_i1025" DrawAspect="Content" ObjectID="_1725097847" r:id="rId11"/>
        </w:object>
      </w:r>
    </w:p>
    <w:p w:rsidR="00300703" w:rsidRDefault="00B73693">
      <w:pPr>
        <w:contextualSpacing/>
        <w:jc w:val="center"/>
        <w:rPr>
          <w:szCs w:val="21"/>
        </w:rPr>
      </w:pPr>
      <w:r>
        <w:rPr>
          <w:b/>
          <w:bCs/>
          <w:szCs w:val="21"/>
        </w:rPr>
        <w:t>Fig.</w:t>
      </w:r>
      <w:r>
        <w:rPr>
          <w:rFonts w:hint="eastAsia"/>
          <w:b/>
          <w:bCs/>
        </w:rPr>
        <w:t>S3</w:t>
      </w:r>
      <w:r>
        <w:rPr>
          <w:szCs w:val="21"/>
        </w:rPr>
        <w:t xml:space="preserve"> </w:t>
      </w:r>
      <w:r>
        <w:rPr>
          <w:rFonts w:hint="eastAsia"/>
          <w:szCs w:val="21"/>
        </w:rPr>
        <w:t>C1-P relative peak area change diagram of U crude oil at different heights</w:t>
      </w:r>
    </w:p>
    <w:p w:rsidR="00300703" w:rsidRDefault="00B73693">
      <w:pPr>
        <w:spacing w:line="480" w:lineRule="auto"/>
        <w:ind w:firstLineChars="200" w:firstLine="480"/>
        <w:rPr>
          <w:sz w:val="24"/>
        </w:rPr>
      </w:pPr>
      <w:r>
        <w:rPr>
          <w:rFonts w:hint="eastAsia"/>
          <w:color w:val="000000" w:themeColor="text1"/>
          <w:sz w:val="24"/>
        </w:rPr>
        <w:t>At 1 h, the C1-P content at the bottom was the highest, followed by the middle and surface layers and finally the upper layer. As time increased, the release of C1-P at the bottom first decreased and then raised. The middle part was similar to the bottom, and the release of C1-P in the surface and upper layers slowly raised. The release of C1-P in different heights all decreased after 24 h, and reached the lowest level of 0 after 72 h</w:t>
      </w:r>
      <w:r>
        <w:rPr>
          <w:sz w:val="24"/>
        </w:rPr>
        <w:t xml:space="preserve"> </w:t>
      </w:r>
      <w:r>
        <w:rPr>
          <w:rFonts w:hint="eastAsia"/>
        </w:rPr>
        <w:t>(</w:t>
      </w:r>
      <w:r>
        <w:rPr>
          <w:rFonts w:eastAsia="SimSun" w:cs="Times New Roman" w:hint="eastAsia"/>
          <w:color w:val="00B0F0"/>
          <w:sz w:val="24"/>
        </w:rPr>
        <w:t>Fig. S</w:t>
      </w:r>
      <w:r>
        <w:rPr>
          <w:rFonts w:eastAsia="SimSun" w:cs="Times New Roman"/>
          <w:color w:val="00B0F0"/>
          <w:sz w:val="24"/>
        </w:rPr>
        <w:t>3</w:t>
      </w:r>
      <w:r>
        <w:rPr>
          <w:rFonts w:hint="eastAsia"/>
        </w:rPr>
        <w:t>)</w:t>
      </w:r>
      <w:proofErr w:type="gramStart"/>
      <w:r>
        <w:rPr>
          <w:rFonts w:hint="eastAsia"/>
        </w:rPr>
        <w:t>.</w:t>
      </w:r>
      <w:r>
        <w:rPr>
          <w:rFonts w:hint="eastAsia"/>
          <w:sz w:val="24"/>
        </w:rPr>
        <w:t>.</w:t>
      </w:r>
      <w:proofErr w:type="gramEnd"/>
    </w:p>
    <w:p w:rsidR="00300703" w:rsidRDefault="00B73693">
      <w:pPr>
        <w:jc w:val="center"/>
      </w:pPr>
      <w:r>
        <w:object w:dxaOrig="6597" w:dyaOrig="8018">
          <v:shape id="_x0000_i1026" type="#_x0000_t75" style="width:329.85pt;height:400.9pt" o:ole="">
            <v:imagedata r:id="rId12" o:title="" croptop="2757f" cropbottom="2058f" cropleft="1298f" cropright="66f"/>
          </v:shape>
          <o:OLEObject Type="Embed" ProgID="Origin95.Graph" ShapeID="_x0000_i1026" DrawAspect="Content" ObjectID="_1725097848" r:id="rId13"/>
        </w:object>
      </w:r>
    </w:p>
    <w:p w:rsidR="00300703" w:rsidRDefault="00B73693">
      <w:pPr>
        <w:contextualSpacing/>
        <w:jc w:val="center"/>
        <w:rPr>
          <w:szCs w:val="21"/>
        </w:rPr>
      </w:pPr>
      <w:r>
        <w:rPr>
          <w:b/>
          <w:bCs/>
          <w:szCs w:val="21"/>
        </w:rPr>
        <w:t xml:space="preserve">Fig. </w:t>
      </w:r>
      <w:r>
        <w:rPr>
          <w:rFonts w:hint="eastAsia"/>
          <w:b/>
          <w:bCs/>
        </w:rPr>
        <w:t>S4</w:t>
      </w:r>
      <w:r>
        <w:rPr>
          <w:szCs w:val="21"/>
        </w:rPr>
        <w:t xml:space="preserve"> </w:t>
      </w:r>
      <w:r>
        <w:rPr>
          <w:rFonts w:hint="eastAsia"/>
          <w:szCs w:val="21"/>
        </w:rPr>
        <w:t>C1-P relative peak area change diagram of R crude oil at different heights</w:t>
      </w:r>
    </w:p>
    <w:p w:rsidR="00300703" w:rsidRDefault="00B73693">
      <w:pPr>
        <w:spacing w:line="480" w:lineRule="auto"/>
        <w:ind w:firstLineChars="200" w:firstLine="420"/>
        <w:contextualSpacing/>
        <w:rPr>
          <w:szCs w:val="21"/>
        </w:rPr>
      </w:pPr>
      <w:r>
        <w:rPr>
          <w:rFonts w:hint="eastAsia"/>
          <w:szCs w:val="21"/>
        </w:rPr>
        <w:t xml:space="preserve"> </w:t>
      </w:r>
      <w:r>
        <w:rPr>
          <w:rFonts w:hint="eastAsia"/>
          <w:color w:val="000000" w:themeColor="text1"/>
          <w:sz w:val="24"/>
        </w:rPr>
        <w:t xml:space="preserve">At 1 h, the C1-P content of the surface layer </w:t>
      </w:r>
      <w:r>
        <w:rPr>
          <w:color w:val="000000" w:themeColor="text1"/>
          <w:sz w:val="24"/>
        </w:rPr>
        <w:t>wa</w:t>
      </w:r>
      <w:r>
        <w:rPr>
          <w:rFonts w:hint="eastAsia"/>
          <w:color w:val="000000" w:themeColor="text1"/>
          <w:sz w:val="24"/>
        </w:rPr>
        <w:t xml:space="preserve">s the highest, followed by the upper layer, the middle, and finally the bottom. With the increase of time, the release of C1-P at the surface, upper and middle parts firstly decreased and then increased, while the release of C1-P at the bottom slowly increased. The peak of C1-P release in the middle and bottom </w:t>
      </w:r>
      <w:r>
        <w:rPr>
          <w:color w:val="000000" w:themeColor="text1"/>
          <w:sz w:val="24"/>
        </w:rPr>
        <w:t>wa</w:t>
      </w:r>
      <w:r>
        <w:rPr>
          <w:rFonts w:hint="eastAsia"/>
          <w:color w:val="000000" w:themeColor="text1"/>
          <w:sz w:val="24"/>
        </w:rPr>
        <w:t xml:space="preserve">s the same, and the peak reached by the surface and the upper layer </w:t>
      </w:r>
      <w:r>
        <w:rPr>
          <w:color w:val="000000" w:themeColor="text1"/>
          <w:sz w:val="24"/>
        </w:rPr>
        <w:t>wa</w:t>
      </w:r>
      <w:r>
        <w:rPr>
          <w:rFonts w:hint="eastAsia"/>
          <w:color w:val="000000" w:themeColor="text1"/>
          <w:sz w:val="24"/>
        </w:rPr>
        <w:t xml:space="preserve">s the same. The ratio of the two peaks </w:t>
      </w:r>
      <w:r>
        <w:rPr>
          <w:color w:val="000000" w:themeColor="text1"/>
          <w:sz w:val="24"/>
        </w:rPr>
        <w:t>wa</w:t>
      </w:r>
      <w:r>
        <w:rPr>
          <w:rFonts w:hint="eastAsia"/>
          <w:color w:val="000000" w:themeColor="text1"/>
          <w:sz w:val="24"/>
        </w:rPr>
        <w:t xml:space="preserve">s 1:2, so it </w:t>
      </w:r>
      <w:r>
        <w:rPr>
          <w:color w:val="000000" w:themeColor="text1"/>
          <w:sz w:val="24"/>
        </w:rPr>
        <w:t>wa</w:t>
      </w:r>
      <w:r>
        <w:rPr>
          <w:rFonts w:hint="eastAsia"/>
          <w:color w:val="000000" w:themeColor="text1"/>
          <w:sz w:val="24"/>
        </w:rPr>
        <w:t xml:space="preserve">s inferred that when C1-P is released from the bottom to the upper height, the arrival time of the middle </w:t>
      </w:r>
      <w:r>
        <w:rPr>
          <w:color w:val="000000" w:themeColor="text1"/>
          <w:sz w:val="24"/>
        </w:rPr>
        <w:t>wa</w:t>
      </w:r>
      <w:r>
        <w:rPr>
          <w:rFonts w:hint="eastAsia"/>
          <w:color w:val="000000" w:themeColor="text1"/>
          <w:sz w:val="24"/>
        </w:rPr>
        <w:t xml:space="preserve">s fast, Followed by the upper layer and the surface layer. After reaching the peak, the surface layer, upper layer, and middle layer decrease due to the decrease of the bottom </w:t>
      </w:r>
      <w:r>
        <w:rPr>
          <w:rFonts w:hint="eastAsia"/>
          <w:color w:val="000000" w:themeColor="text1"/>
          <w:sz w:val="24"/>
        </w:rPr>
        <w:lastRenderedPageBreak/>
        <w:t>release amount. Then, as the bottom release volume continues to increase, the content of the remaining heights (except for the slow decrease of the surface layer content) also increases</w:t>
      </w:r>
      <w:r>
        <w:rPr>
          <w:sz w:val="24"/>
        </w:rPr>
        <w:t xml:space="preserve"> </w:t>
      </w:r>
      <w:r>
        <w:rPr>
          <w:rFonts w:hint="eastAsia"/>
        </w:rPr>
        <w:t>(</w:t>
      </w:r>
      <w:r>
        <w:rPr>
          <w:rFonts w:eastAsia="SimSun" w:cs="Times New Roman" w:hint="eastAsia"/>
          <w:color w:val="00B0F0"/>
          <w:sz w:val="24"/>
        </w:rPr>
        <w:t>Fig. S4</w:t>
      </w:r>
      <w:r>
        <w:rPr>
          <w:rFonts w:hint="eastAsia"/>
        </w:rPr>
        <w:t>).</w:t>
      </w:r>
    </w:p>
    <w:p w:rsidR="00300703" w:rsidRDefault="00B73693">
      <w:pPr>
        <w:jc w:val="center"/>
      </w:pPr>
      <w:r>
        <w:object w:dxaOrig="6803" w:dyaOrig="8010">
          <v:shape id="_x0000_i1027" type="#_x0000_t75" style="width:340.15pt;height:400.5pt" o:ole="">
            <v:imagedata r:id="rId14" o:title="" croptop="3262f" cropbottom="2118f" cropleft="1062f" cropright="404f"/>
          </v:shape>
          <o:OLEObject Type="Embed" ProgID="Origin95.Graph" ShapeID="_x0000_i1027" DrawAspect="Content" ObjectID="_1725097849" r:id="rId15"/>
        </w:object>
      </w:r>
    </w:p>
    <w:p w:rsidR="00300703" w:rsidRDefault="00B73693">
      <w:pPr>
        <w:contextualSpacing/>
        <w:jc w:val="center"/>
        <w:rPr>
          <w:szCs w:val="21"/>
        </w:rPr>
      </w:pPr>
      <w:r>
        <w:rPr>
          <w:b/>
          <w:bCs/>
          <w:szCs w:val="21"/>
        </w:rPr>
        <w:t xml:space="preserve">Fig. </w:t>
      </w:r>
      <w:r>
        <w:rPr>
          <w:rFonts w:hint="eastAsia"/>
          <w:b/>
          <w:bCs/>
        </w:rPr>
        <w:t>S5</w:t>
      </w:r>
      <w:r>
        <w:rPr>
          <w:b/>
          <w:bCs/>
          <w:szCs w:val="21"/>
        </w:rPr>
        <w:t xml:space="preserve"> </w:t>
      </w:r>
      <w:r>
        <w:rPr>
          <w:rFonts w:hint="eastAsia"/>
          <w:szCs w:val="21"/>
        </w:rPr>
        <w:t>C1-P relative peak area change diagram of T crude oil at different heights</w:t>
      </w:r>
    </w:p>
    <w:p w:rsidR="00300703" w:rsidRDefault="00B73693">
      <w:pPr>
        <w:spacing w:line="480" w:lineRule="auto"/>
        <w:ind w:firstLineChars="200" w:firstLine="480"/>
        <w:contextualSpacing/>
        <w:rPr>
          <w:color w:val="FF0000"/>
          <w:sz w:val="24"/>
        </w:rPr>
      </w:pPr>
      <w:r>
        <w:rPr>
          <w:rFonts w:hint="eastAsia"/>
          <w:color w:val="000000" w:themeColor="text1"/>
          <w:sz w:val="24"/>
        </w:rPr>
        <w:t xml:space="preserve">At 1 h, the C1-P content in the surface layer was the highest, followed by the upper layer, the bottom layer, and the middle layer last. With the increase of time, the release of C1-P in the surface layer and the upper layer first decreased and then increased, while the release of C1-P in the middle layer and the bottom layer slowly increased. The peak of C1-P release in the middle and bottom </w:t>
      </w:r>
      <w:r>
        <w:rPr>
          <w:color w:val="000000" w:themeColor="text1"/>
          <w:sz w:val="24"/>
        </w:rPr>
        <w:t>wa</w:t>
      </w:r>
      <w:r>
        <w:rPr>
          <w:rFonts w:hint="eastAsia"/>
          <w:color w:val="000000" w:themeColor="text1"/>
          <w:sz w:val="24"/>
        </w:rPr>
        <w:t xml:space="preserve">s the same, and the peak reached by the surface and the upper layer </w:t>
      </w:r>
      <w:r>
        <w:rPr>
          <w:color w:val="000000" w:themeColor="text1"/>
          <w:sz w:val="24"/>
        </w:rPr>
        <w:t>wa</w:t>
      </w:r>
      <w:r>
        <w:rPr>
          <w:rFonts w:hint="eastAsia"/>
          <w:color w:val="000000" w:themeColor="text1"/>
          <w:sz w:val="24"/>
        </w:rPr>
        <w:t xml:space="preserve">s the same. The ratio of the two peaks </w:t>
      </w:r>
      <w:r>
        <w:rPr>
          <w:color w:val="000000" w:themeColor="text1"/>
          <w:sz w:val="24"/>
        </w:rPr>
        <w:t>wa</w:t>
      </w:r>
      <w:r>
        <w:rPr>
          <w:rFonts w:hint="eastAsia"/>
          <w:color w:val="000000" w:themeColor="text1"/>
          <w:sz w:val="24"/>
        </w:rPr>
        <w:t xml:space="preserve">s 1:2, so it is </w:t>
      </w:r>
      <w:r>
        <w:rPr>
          <w:rFonts w:hint="eastAsia"/>
          <w:color w:val="000000" w:themeColor="text1"/>
          <w:sz w:val="24"/>
        </w:rPr>
        <w:lastRenderedPageBreak/>
        <w:t xml:space="preserve">inferred that when C1-P </w:t>
      </w:r>
      <w:r>
        <w:rPr>
          <w:color w:val="000000" w:themeColor="text1"/>
          <w:sz w:val="24"/>
        </w:rPr>
        <w:t>wa</w:t>
      </w:r>
      <w:r>
        <w:rPr>
          <w:rFonts w:hint="eastAsia"/>
          <w:color w:val="000000" w:themeColor="text1"/>
          <w:sz w:val="24"/>
        </w:rPr>
        <w:t xml:space="preserve">s released from the bottom to the upper height, the arrival time of the middle is fast, </w:t>
      </w:r>
      <w:r>
        <w:rPr>
          <w:color w:val="000000" w:themeColor="text1"/>
          <w:sz w:val="24"/>
        </w:rPr>
        <w:t>f</w:t>
      </w:r>
      <w:r>
        <w:rPr>
          <w:rFonts w:hint="eastAsia"/>
          <w:color w:val="000000" w:themeColor="text1"/>
          <w:sz w:val="24"/>
        </w:rPr>
        <w:t>ollowed by the upper layer and the surface layer. After reaching the peak, due to the decrease of the bottom release, the surface, upper and middle layers will decrease accordingly</w:t>
      </w:r>
      <w:r>
        <w:rPr>
          <w:color w:val="FF0000"/>
          <w:sz w:val="24"/>
        </w:rPr>
        <w:t xml:space="preserve"> </w:t>
      </w:r>
      <w:r>
        <w:rPr>
          <w:rFonts w:hint="eastAsia"/>
        </w:rPr>
        <w:t>(</w:t>
      </w:r>
      <w:r>
        <w:rPr>
          <w:rFonts w:eastAsia="SimSun" w:cs="Times New Roman" w:hint="eastAsia"/>
          <w:color w:val="00B0F0"/>
          <w:sz w:val="24"/>
        </w:rPr>
        <w:t>Fig. S</w:t>
      </w:r>
      <w:r>
        <w:rPr>
          <w:rFonts w:eastAsia="SimSun" w:cs="Times New Roman"/>
          <w:color w:val="00B0F0"/>
          <w:sz w:val="24"/>
        </w:rPr>
        <w:t>5</w:t>
      </w:r>
      <w:r>
        <w:rPr>
          <w:rFonts w:hint="eastAsia"/>
        </w:rPr>
        <w:t>)</w:t>
      </w:r>
      <w:r>
        <w:rPr>
          <w:rFonts w:hint="eastAsia"/>
          <w:color w:val="FF0000"/>
          <w:sz w:val="24"/>
        </w:rPr>
        <w:t>.</w:t>
      </w:r>
    </w:p>
    <w:p w:rsidR="00300703" w:rsidRDefault="00B73693">
      <w:pPr>
        <w:contextualSpacing/>
        <w:jc w:val="center"/>
      </w:pPr>
      <w:r>
        <w:object w:dxaOrig="7193" w:dyaOrig="4808">
          <v:shape id="_x0000_i1028" type="#_x0000_t75" style="width:359.65pt;height:240.4pt" o:ole="">
            <v:imagedata r:id="rId16" o:title=""/>
          </v:shape>
          <o:OLEObject Type="Embed" ProgID="Origin95.Graph" ShapeID="_x0000_i1028" DrawAspect="Content" ObjectID="_1725097850" r:id="rId17"/>
        </w:object>
      </w:r>
    </w:p>
    <w:p w:rsidR="00300703" w:rsidRDefault="00B73693">
      <w:pPr>
        <w:contextualSpacing/>
        <w:jc w:val="center"/>
        <w:rPr>
          <w:b/>
          <w:bCs/>
        </w:rPr>
      </w:pPr>
      <w:r>
        <w:object w:dxaOrig="7193" w:dyaOrig="4808">
          <v:shape id="_x0000_i1029" type="#_x0000_t75" style="width:359.65pt;height:240.4pt" o:ole="">
            <v:imagedata r:id="rId18" o:title=""/>
          </v:shape>
          <o:OLEObject Type="Embed" ProgID="Origin95.Graph" ShapeID="_x0000_i1029" DrawAspect="Content" ObjectID="_1725097851" r:id="rId19"/>
        </w:object>
      </w:r>
    </w:p>
    <w:p w:rsidR="00300703" w:rsidRDefault="00300703">
      <w:pPr>
        <w:contextualSpacing/>
        <w:jc w:val="center"/>
      </w:pPr>
    </w:p>
    <w:p w:rsidR="00300703" w:rsidRDefault="00B73693">
      <w:pPr>
        <w:contextualSpacing/>
        <w:jc w:val="center"/>
        <w:rPr>
          <w:szCs w:val="21"/>
        </w:rPr>
      </w:pPr>
      <w:r>
        <w:rPr>
          <w:b/>
          <w:bCs/>
          <w:szCs w:val="21"/>
        </w:rPr>
        <w:t xml:space="preserve">Fig. </w:t>
      </w:r>
      <w:r>
        <w:rPr>
          <w:rFonts w:hint="eastAsia"/>
          <w:b/>
          <w:bCs/>
        </w:rPr>
        <w:t>S6</w:t>
      </w:r>
      <w:r>
        <w:rPr>
          <w:szCs w:val="21"/>
        </w:rPr>
        <w:t xml:space="preserve"> </w:t>
      </w:r>
      <w:r>
        <w:rPr>
          <w:rFonts w:hint="eastAsia"/>
          <w:szCs w:val="21"/>
        </w:rPr>
        <w:t>Comparison of microbial communities between the original sediment and the freeze-dried sediment</w:t>
      </w:r>
    </w:p>
    <w:p w:rsidR="00300703" w:rsidRDefault="00B73693">
      <w:pPr>
        <w:contextualSpacing/>
        <w:jc w:val="center"/>
      </w:pPr>
      <w:r>
        <w:object w:dxaOrig="8303" w:dyaOrig="4215">
          <v:shape id="_x0000_i1030" type="#_x0000_t75" style="width:415.15pt;height:210.75pt" o:ole="">
            <v:imagedata r:id="rId20" o:title=""/>
          </v:shape>
          <o:OLEObject Type="Embed" ProgID="Origin95.Graph" ShapeID="_x0000_i1030" DrawAspect="Content" ObjectID="_1725097852" r:id="rId21"/>
        </w:object>
      </w:r>
    </w:p>
    <w:p w:rsidR="00300703" w:rsidRDefault="00B73693">
      <w:pPr>
        <w:contextualSpacing/>
        <w:jc w:val="center"/>
      </w:pPr>
      <w:r>
        <w:object w:dxaOrig="8303" w:dyaOrig="4215">
          <v:shape id="_x0000_i1031" type="#_x0000_t75" style="width:415.15pt;height:210.75pt" o:ole="">
            <v:imagedata r:id="rId22" o:title=""/>
          </v:shape>
          <o:OLEObject Type="Embed" ProgID="Origin95.Graph" ShapeID="_x0000_i1031" DrawAspect="Content" ObjectID="_1725097853" r:id="rId23"/>
        </w:object>
      </w:r>
    </w:p>
    <w:p w:rsidR="00300703" w:rsidRDefault="00B73693">
      <w:pPr>
        <w:contextualSpacing/>
        <w:jc w:val="center"/>
        <w:rPr>
          <w:rFonts w:cs="Times New Roman"/>
          <w:szCs w:val="21"/>
        </w:rPr>
        <w:sectPr w:rsidR="00300703" w:rsidSect="00040474">
          <w:footerReference w:type="default" r:id="rId24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b/>
          <w:bCs/>
          <w:szCs w:val="21"/>
        </w:rPr>
        <w:t xml:space="preserve">Fig. </w:t>
      </w:r>
      <w:r>
        <w:rPr>
          <w:rFonts w:hint="eastAsia"/>
          <w:b/>
          <w:bCs/>
          <w:szCs w:val="21"/>
        </w:rPr>
        <w:t xml:space="preserve">S7 </w:t>
      </w:r>
      <w:r>
        <w:rPr>
          <w:rFonts w:hint="eastAsia"/>
          <w:szCs w:val="21"/>
        </w:rPr>
        <w:t>Comparison of microbial communities in the four columns and freeze-</w:t>
      </w:r>
      <w:proofErr w:type="spellStart"/>
      <w:r>
        <w:rPr>
          <w:rFonts w:hint="eastAsia"/>
          <w:szCs w:val="21"/>
        </w:rPr>
        <w:t>drie</w:t>
      </w:r>
      <w:proofErr w:type="spellEnd"/>
    </w:p>
    <w:p w:rsidR="00300703" w:rsidRDefault="00B73693">
      <w:pPr>
        <w:ind w:firstLineChars="100" w:firstLine="210"/>
        <w:contextualSpacing/>
        <w:jc w:val="center"/>
        <w:rPr>
          <w:szCs w:val="21"/>
        </w:rPr>
      </w:pPr>
      <w:r>
        <w:rPr>
          <w:szCs w:val="21"/>
        </w:rPr>
        <w:lastRenderedPageBreak/>
        <w:t>Table. S1 Physicochemical information of three crude oils</w:t>
      </w:r>
    </w:p>
    <w:tbl>
      <w:tblPr>
        <w:tblW w:w="9729" w:type="dxa"/>
        <w:tblInd w:w="-202" w:type="dxa"/>
        <w:tblBorders>
          <w:top w:val="single" w:sz="4" w:space="0" w:color="auto"/>
          <w:bottom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50"/>
        <w:gridCol w:w="1087"/>
        <w:gridCol w:w="820"/>
        <w:gridCol w:w="881"/>
        <w:gridCol w:w="1241"/>
        <w:gridCol w:w="1157"/>
        <w:gridCol w:w="1275"/>
        <w:gridCol w:w="932"/>
        <w:gridCol w:w="986"/>
      </w:tblGrid>
      <w:tr w:rsidR="00300703">
        <w:tc>
          <w:tcPr>
            <w:tcW w:w="1350" w:type="dxa"/>
            <w:vMerge w:val="restart"/>
            <w:tcBorders>
              <w:top w:val="single" w:sz="4" w:space="0" w:color="auto"/>
            </w:tcBorders>
            <w:vAlign w:val="center"/>
          </w:tcPr>
          <w:p w:rsidR="00300703" w:rsidRDefault="00B73693">
            <w:pPr>
              <w:jc w:val="center"/>
              <w:rPr>
                <w:szCs w:val="21"/>
              </w:rPr>
            </w:pPr>
            <w:r>
              <w:rPr>
                <w:b/>
                <w:bCs/>
                <w:szCs w:val="21"/>
              </w:rPr>
              <w:t>Oil category</w:t>
            </w:r>
          </w:p>
        </w:tc>
        <w:tc>
          <w:tcPr>
            <w:tcW w:w="1087" w:type="dxa"/>
            <w:vMerge w:val="restart"/>
            <w:tcBorders>
              <w:top w:val="single" w:sz="4" w:space="0" w:color="auto"/>
            </w:tcBorders>
            <w:vAlign w:val="center"/>
          </w:tcPr>
          <w:p w:rsidR="00300703" w:rsidRDefault="00B73693">
            <w:pPr>
              <w:jc w:val="center"/>
              <w:rPr>
                <w:b/>
                <w:bCs/>
                <w:szCs w:val="21"/>
              </w:rPr>
            </w:pPr>
            <w:r>
              <w:rPr>
                <w:b/>
                <w:bCs/>
                <w:szCs w:val="21"/>
              </w:rPr>
              <w:t>Viscosity</w:t>
            </w:r>
          </w:p>
          <w:p w:rsidR="00300703" w:rsidRDefault="00B73693">
            <w:pPr>
              <w:jc w:val="center"/>
              <w:rPr>
                <w:b/>
                <w:bCs/>
                <w:szCs w:val="21"/>
              </w:rPr>
            </w:pPr>
            <w:r>
              <w:rPr>
                <w:b/>
                <w:bCs/>
                <w:szCs w:val="21"/>
              </w:rPr>
              <w:t>(</w:t>
            </w:r>
            <w:proofErr w:type="spellStart"/>
            <w:r>
              <w:rPr>
                <w:b/>
                <w:bCs/>
                <w:szCs w:val="21"/>
              </w:rPr>
              <w:t>mPa·S</w:t>
            </w:r>
            <w:proofErr w:type="spellEnd"/>
            <w:r>
              <w:rPr>
                <w:b/>
                <w:bCs/>
                <w:szCs w:val="21"/>
              </w:rPr>
              <w:t>)</w:t>
            </w:r>
          </w:p>
          <w:p w:rsidR="00300703" w:rsidRDefault="00B73693">
            <w:pPr>
              <w:jc w:val="center"/>
              <w:rPr>
                <w:b/>
                <w:bCs/>
                <w:szCs w:val="21"/>
              </w:rPr>
            </w:pPr>
            <w:r>
              <w:rPr>
                <w:b/>
                <w:bCs/>
                <w:szCs w:val="21"/>
              </w:rPr>
              <w:t>25℃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nil"/>
            </w:tcBorders>
            <w:vAlign w:val="center"/>
          </w:tcPr>
          <w:p w:rsidR="00300703" w:rsidRDefault="00B73693">
            <w:pPr>
              <w:jc w:val="center"/>
              <w:rPr>
                <w:b/>
                <w:bCs/>
                <w:szCs w:val="21"/>
              </w:rPr>
            </w:pPr>
            <w:r>
              <w:rPr>
                <w:b/>
                <w:bCs/>
                <w:szCs w:val="21"/>
              </w:rPr>
              <w:t>Emulsification rate (%)</w:t>
            </w:r>
          </w:p>
        </w:tc>
        <w:tc>
          <w:tcPr>
            <w:tcW w:w="1241" w:type="dxa"/>
            <w:vMerge w:val="restart"/>
            <w:tcBorders>
              <w:top w:val="single" w:sz="4" w:space="0" w:color="auto"/>
            </w:tcBorders>
            <w:vAlign w:val="center"/>
          </w:tcPr>
          <w:p w:rsidR="00300703" w:rsidRDefault="00B73693">
            <w:pPr>
              <w:jc w:val="center"/>
              <w:rPr>
                <w:b/>
                <w:bCs/>
                <w:szCs w:val="21"/>
              </w:rPr>
            </w:pPr>
            <w:r>
              <w:rPr>
                <w:b/>
                <w:bCs/>
                <w:szCs w:val="21"/>
              </w:rPr>
              <w:t>Saturation</w:t>
            </w:r>
          </w:p>
          <w:p w:rsidR="00300703" w:rsidRDefault="00B73693">
            <w:pPr>
              <w:jc w:val="center"/>
              <w:rPr>
                <w:b/>
                <w:bCs/>
                <w:szCs w:val="21"/>
              </w:rPr>
            </w:pPr>
            <w:r>
              <w:rPr>
                <w:b/>
                <w:bCs/>
                <w:szCs w:val="21"/>
              </w:rPr>
              <w:t>(%)</w:t>
            </w:r>
          </w:p>
        </w:tc>
        <w:tc>
          <w:tcPr>
            <w:tcW w:w="1157" w:type="dxa"/>
            <w:vMerge w:val="restart"/>
            <w:tcBorders>
              <w:top w:val="single" w:sz="4" w:space="0" w:color="auto"/>
            </w:tcBorders>
            <w:vAlign w:val="center"/>
          </w:tcPr>
          <w:p w:rsidR="00300703" w:rsidRDefault="00B73693">
            <w:pPr>
              <w:jc w:val="center"/>
              <w:rPr>
                <w:b/>
                <w:bCs/>
                <w:szCs w:val="21"/>
              </w:rPr>
            </w:pPr>
            <w:r>
              <w:rPr>
                <w:b/>
                <w:bCs/>
                <w:szCs w:val="21"/>
              </w:rPr>
              <w:t>Aromatics</w:t>
            </w:r>
          </w:p>
          <w:p w:rsidR="00300703" w:rsidRDefault="00B73693">
            <w:pPr>
              <w:jc w:val="center"/>
              <w:rPr>
                <w:b/>
                <w:bCs/>
                <w:szCs w:val="21"/>
              </w:rPr>
            </w:pPr>
            <w:r>
              <w:rPr>
                <w:b/>
                <w:bCs/>
                <w:szCs w:val="21"/>
              </w:rPr>
              <w:t>(%)</w:t>
            </w:r>
          </w:p>
        </w:tc>
        <w:tc>
          <w:tcPr>
            <w:tcW w:w="1275" w:type="dxa"/>
            <w:vMerge w:val="restart"/>
            <w:tcBorders>
              <w:top w:val="single" w:sz="4" w:space="0" w:color="auto"/>
            </w:tcBorders>
            <w:vAlign w:val="center"/>
          </w:tcPr>
          <w:p w:rsidR="00300703" w:rsidRDefault="00B73693">
            <w:pPr>
              <w:jc w:val="center"/>
              <w:rPr>
                <w:b/>
                <w:bCs/>
                <w:szCs w:val="21"/>
              </w:rPr>
            </w:pPr>
            <w:proofErr w:type="spellStart"/>
            <w:r>
              <w:rPr>
                <w:b/>
                <w:bCs/>
                <w:szCs w:val="21"/>
              </w:rPr>
              <w:t>Asphaltene</w:t>
            </w:r>
            <w:proofErr w:type="spellEnd"/>
          </w:p>
          <w:p w:rsidR="00300703" w:rsidRDefault="00B73693">
            <w:pPr>
              <w:jc w:val="center"/>
              <w:rPr>
                <w:b/>
                <w:bCs/>
                <w:szCs w:val="21"/>
              </w:rPr>
            </w:pPr>
            <w:r>
              <w:rPr>
                <w:b/>
                <w:bCs/>
                <w:szCs w:val="21"/>
              </w:rPr>
              <w:t>(%)</w:t>
            </w:r>
          </w:p>
        </w:tc>
        <w:tc>
          <w:tcPr>
            <w:tcW w:w="932" w:type="dxa"/>
            <w:vMerge w:val="restart"/>
            <w:tcBorders>
              <w:top w:val="single" w:sz="4" w:space="0" w:color="auto"/>
            </w:tcBorders>
            <w:vAlign w:val="center"/>
          </w:tcPr>
          <w:p w:rsidR="00300703" w:rsidRDefault="00B73693">
            <w:pPr>
              <w:jc w:val="center"/>
              <w:rPr>
                <w:b/>
                <w:bCs/>
                <w:szCs w:val="21"/>
              </w:rPr>
            </w:pPr>
            <w:r>
              <w:rPr>
                <w:b/>
                <w:bCs/>
                <w:szCs w:val="21"/>
              </w:rPr>
              <w:t>Colloid</w:t>
            </w:r>
          </w:p>
          <w:p w:rsidR="00300703" w:rsidRDefault="00B73693">
            <w:pPr>
              <w:jc w:val="center"/>
              <w:rPr>
                <w:b/>
                <w:bCs/>
                <w:szCs w:val="21"/>
              </w:rPr>
            </w:pPr>
            <w:r>
              <w:rPr>
                <w:b/>
                <w:bCs/>
                <w:szCs w:val="21"/>
              </w:rPr>
              <w:t>(%)</w:t>
            </w:r>
          </w:p>
        </w:tc>
        <w:tc>
          <w:tcPr>
            <w:tcW w:w="986" w:type="dxa"/>
            <w:vMerge w:val="restart"/>
            <w:tcBorders>
              <w:top w:val="single" w:sz="4" w:space="0" w:color="auto"/>
            </w:tcBorders>
            <w:vAlign w:val="center"/>
          </w:tcPr>
          <w:p w:rsidR="00300703" w:rsidRDefault="00B73693">
            <w:pPr>
              <w:jc w:val="center"/>
              <w:rPr>
                <w:b/>
                <w:bCs/>
                <w:szCs w:val="21"/>
              </w:rPr>
            </w:pPr>
            <w:r>
              <w:rPr>
                <w:b/>
                <w:bCs/>
                <w:szCs w:val="21"/>
              </w:rPr>
              <w:t>The wax content</w:t>
            </w:r>
          </w:p>
          <w:p w:rsidR="00300703" w:rsidRDefault="00B73693">
            <w:pPr>
              <w:jc w:val="center"/>
              <w:rPr>
                <w:b/>
                <w:bCs/>
                <w:szCs w:val="21"/>
              </w:rPr>
            </w:pPr>
            <w:r>
              <w:rPr>
                <w:b/>
                <w:bCs/>
                <w:szCs w:val="21"/>
              </w:rPr>
              <w:t>(%)</w:t>
            </w:r>
          </w:p>
        </w:tc>
      </w:tr>
      <w:tr w:rsidR="00300703">
        <w:tc>
          <w:tcPr>
            <w:tcW w:w="1350" w:type="dxa"/>
            <w:vMerge/>
            <w:vAlign w:val="center"/>
          </w:tcPr>
          <w:p w:rsidR="00300703" w:rsidRDefault="00300703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087" w:type="dxa"/>
            <w:vMerge/>
            <w:vAlign w:val="center"/>
          </w:tcPr>
          <w:p w:rsidR="00300703" w:rsidRDefault="00300703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701" w:type="dxa"/>
            <w:gridSpan w:val="2"/>
            <w:tcBorders>
              <w:top w:val="nil"/>
              <w:bottom w:val="nil"/>
            </w:tcBorders>
            <w:vAlign w:val="center"/>
          </w:tcPr>
          <w:p w:rsidR="00300703" w:rsidRDefault="00B73693">
            <w:pPr>
              <w:jc w:val="center"/>
              <w:rPr>
                <w:szCs w:val="21"/>
              </w:rPr>
            </w:pPr>
            <w:r>
              <w:rPr>
                <w:b/>
                <w:bCs/>
                <w:szCs w:val="21"/>
              </w:rPr>
              <w:t>25℃</w:t>
            </w:r>
          </w:p>
        </w:tc>
        <w:tc>
          <w:tcPr>
            <w:tcW w:w="1241" w:type="dxa"/>
            <w:vMerge/>
            <w:vAlign w:val="center"/>
          </w:tcPr>
          <w:p w:rsidR="00300703" w:rsidRDefault="00300703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157" w:type="dxa"/>
            <w:vMerge/>
            <w:vAlign w:val="center"/>
          </w:tcPr>
          <w:p w:rsidR="00300703" w:rsidRDefault="00300703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275" w:type="dxa"/>
            <w:vMerge/>
            <w:vAlign w:val="center"/>
          </w:tcPr>
          <w:p w:rsidR="00300703" w:rsidRDefault="00300703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932" w:type="dxa"/>
            <w:vMerge/>
            <w:vAlign w:val="center"/>
          </w:tcPr>
          <w:p w:rsidR="00300703" w:rsidRDefault="00300703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986" w:type="dxa"/>
            <w:vMerge/>
            <w:vAlign w:val="center"/>
          </w:tcPr>
          <w:p w:rsidR="00300703" w:rsidRDefault="00300703">
            <w:pPr>
              <w:jc w:val="center"/>
              <w:rPr>
                <w:sz w:val="18"/>
                <w:szCs w:val="18"/>
              </w:rPr>
            </w:pPr>
          </w:p>
        </w:tc>
      </w:tr>
      <w:tr w:rsidR="00300703">
        <w:tc>
          <w:tcPr>
            <w:tcW w:w="1350" w:type="dxa"/>
            <w:vMerge/>
            <w:tcBorders>
              <w:bottom w:val="single" w:sz="4" w:space="0" w:color="auto"/>
            </w:tcBorders>
            <w:vAlign w:val="center"/>
          </w:tcPr>
          <w:p w:rsidR="00300703" w:rsidRDefault="00300703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087" w:type="dxa"/>
            <w:vMerge/>
            <w:tcBorders>
              <w:bottom w:val="single" w:sz="4" w:space="0" w:color="auto"/>
            </w:tcBorders>
            <w:vAlign w:val="center"/>
          </w:tcPr>
          <w:p w:rsidR="00300703" w:rsidRDefault="00300703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820" w:type="dxa"/>
            <w:tcBorders>
              <w:top w:val="nil"/>
              <w:bottom w:val="single" w:sz="4" w:space="0" w:color="auto"/>
            </w:tcBorders>
            <w:vAlign w:val="center"/>
          </w:tcPr>
          <w:p w:rsidR="00300703" w:rsidRDefault="00B73693">
            <w:pPr>
              <w:jc w:val="center"/>
              <w:rPr>
                <w:szCs w:val="21"/>
              </w:rPr>
            </w:pPr>
            <w:r>
              <w:rPr>
                <w:b/>
                <w:bCs/>
                <w:szCs w:val="21"/>
              </w:rPr>
              <w:t>30 s</w:t>
            </w:r>
          </w:p>
        </w:tc>
        <w:tc>
          <w:tcPr>
            <w:tcW w:w="881" w:type="dxa"/>
            <w:tcBorders>
              <w:top w:val="nil"/>
              <w:bottom w:val="single" w:sz="4" w:space="0" w:color="auto"/>
            </w:tcBorders>
            <w:vAlign w:val="center"/>
          </w:tcPr>
          <w:p w:rsidR="00300703" w:rsidRDefault="00B73693">
            <w:pPr>
              <w:jc w:val="center"/>
              <w:rPr>
                <w:szCs w:val="21"/>
              </w:rPr>
            </w:pPr>
            <w:r>
              <w:rPr>
                <w:b/>
                <w:bCs/>
                <w:szCs w:val="21"/>
              </w:rPr>
              <w:t>10 min</w:t>
            </w:r>
          </w:p>
        </w:tc>
        <w:tc>
          <w:tcPr>
            <w:tcW w:w="1241" w:type="dxa"/>
            <w:vMerge/>
            <w:tcBorders>
              <w:bottom w:val="single" w:sz="4" w:space="0" w:color="auto"/>
            </w:tcBorders>
            <w:vAlign w:val="center"/>
          </w:tcPr>
          <w:p w:rsidR="00300703" w:rsidRDefault="00300703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157" w:type="dxa"/>
            <w:vMerge/>
            <w:tcBorders>
              <w:bottom w:val="single" w:sz="4" w:space="0" w:color="auto"/>
            </w:tcBorders>
            <w:vAlign w:val="center"/>
          </w:tcPr>
          <w:p w:rsidR="00300703" w:rsidRDefault="00300703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275" w:type="dxa"/>
            <w:vMerge/>
            <w:tcBorders>
              <w:bottom w:val="single" w:sz="4" w:space="0" w:color="auto"/>
            </w:tcBorders>
            <w:vAlign w:val="center"/>
          </w:tcPr>
          <w:p w:rsidR="00300703" w:rsidRDefault="00300703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932" w:type="dxa"/>
            <w:vMerge/>
            <w:tcBorders>
              <w:bottom w:val="single" w:sz="4" w:space="0" w:color="auto"/>
            </w:tcBorders>
            <w:vAlign w:val="center"/>
          </w:tcPr>
          <w:p w:rsidR="00300703" w:rsidRDefault="00300703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986" w:type="dxa"/>
            <w:vMerge/>
            <w:tcBorders>
              <w:bottom w:val="single" w:sz="4" w:space="0" w:color="auto"/>
            </w:tcBorders>
            <w:vAlign w:val="center"/>
          </w:tcPr>
          <w:p w:rsidR="00300703" w:rsidRDefault="00300703">
            <w:pPr>
              <w:jc w:val="center"/>
              <w:rPr>
                <w:sz w:val="18"/>
                <w:szCs w:val="18"/>
              </w:rPr>
            </w:pPr>
          </w:p>
        </w:tc>
      </w:tr>
      <w:tr w:rsidR="00300703">
        <w:tc>
          <w:tcPr>
            <w:tcW w:w="1350" w:type="dxa"/>
            <w:tcBorders>
              <w:top w:val="single" w:sz="4" w:space="0" w:color="auto"/>
            </w:tcBorders>
            <w:vAlign w:val="center"/>
          </w:tcPr>
          <w:p w:rsidR="00300703" w:rsidRDefault="00B73693">
            <w:pPr>
              <w:jc w:val="center"/>
              <w:rPr>
                <w:szCs w:val="21"/>
              </w:rPr>
            </w:pPr>
            <w:r>
              <w:rPr>
                <w:b/>
                <w:bCs/>
                <w:szCs w:val="21"/>
              </w:rPr>
              <w:t>R</w:t>
            </w:r>
          </w:p>
        </w:tc>
        <w:tc>
          <w:tcPr>
            <w:tcW w:w="1087" w:type="dxa"/>
            <w:tcBorders>
              <w:top w:val="single" w:sz="4" w:space="0" w:color="auto"/>
            </w:tcBorders>
            <w:vAlign w:val="center"/>
          </w:tcPr>
          <w:p w:rsidR="00300703" w:rsidRDefault="00B73693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736.3</w:t>
            </w:r>
          </w:p>
        </w:tc>
        <w:tc>
          <w:tcPr>
            <w:tcW w:w="820" w:type="dxa"/>
            <w:tcBorders>
              <w:top w:val="single" w:sz="4" w:space="0" w:color="auto"/>
            </w:tcBorders>
            <w:vAlign w:val="center"/>
          </w:tcPr>
          <w:p w:rsidR="00300703" w:rsidRDefault="00B73693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88.2</w:t>
            </w:r>
          </w:p>
        </w:tc>
        <w:tc>
          <w:tcPr>
            <w:tcW w:w="881" w:type="dxa"/>
            <w:tcBorders>
              <w:top w:val="single" w:sz="4" w:space="0" w:color="auto"/>
            </w:tcBorders>
            <w:vAlign w:val="center"/>
          </w:tcPr>
          <w:p w:rsidR="00300703" w:rsidRDefault="00B73693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74.6</w:t>
            </w:r>
          </w:p>
        </w:tc>
        <w:tc>
          <w:tcPr>
            <w:tcW w:w="1241" w:type="dxa"/>
            <w:tcBorders>
              <w:top w:val="single" w:sz="4" w:space="0" w:color="auto"/>
            </w:tcBorders>
            <w:vAlign w:val="center"/>
          </w:tcPr>
          <w:p w:rsidR="00300703" w:rsidRDefault="00B73693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64.0</w:t>
            </w:r>
          </w:p>
        </w:tc>
        <w:tc>
          <w:tcPr>
            <w:tcW w:w="1157" w:type="dxa"/>
            <w:tcBorders>
              <w:top w:val="single" w:sz="4" w:space="0" w:color="auto"/>
            </w:tcBorders>
            <w:vAlign w:val="center"/>
          </w:tcPr>
          <w:p w:rsidR="00300703" w:rsidRDefault="00B73693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21.6</w:t>
            </w:r>
          </w:p>
        </w:tc>
        <w:tc>
          <w:tcPr>
            <w:tcW w:w="1275" w:type="dxa"/>
            <w:tcBorders>
              <w:top w:val="single" w:sz="4" w:space="0" w:color="auto"/>
            </w:tcBorders>
            <w:vAlign w:val="center"/>
          </w:tcPr>
          <w:p w:rsidR="00300703" w:rsidRDefault="00B73693">
            <w:pPr>
              <w:jc w:val="center"/>
              <w:rPr>
                <w:szCs w:val="21"/>
              </w:rPr>
            </w:pPr>
            <w:r>
              <w:rPr>
                <w:szCs w:val="21"/>
              </w:rPr>
              <w:t>1.3</w:t>
            </w:r>
          </w:p>
        </w:tc>
        <w:tc>
          <w:tcPr>
            <w:tcW w:w="932" w:type="dxa"/>
            <w:tcBorders>
              <w:top w:val="single" w:sz="4" w:space="0" w:color="auto"/>
            </w:tcBorders>
            <w:vAlign w:val="center"/>
          </w:tcPr>
          <w:p w:rsidR="00300703" w:rsidRDefault="00B73693">
            <w:pPr>
              <w:jc w:val="center"/>
              <w:rPr>
                <w:szCs w:val="21"/>
              </w:rPr>
            </w:pPr>
            <w:r>
              <w:rPr>
                <w:szCs w:val="21"/>
              </w:rPr>
              <w:t>17.2</w:t>
            </w:r>
          </w:p>
        </w:tc>
        <w:tc>
          <w:tcPr>
            <w:tcW w:w="986" w:type="dxa"/>
            <w:tcBorders>
              <w:top w:val="single" w:sz="4" w:space="0" w:color="auto"/>
            </w:tcBorders>
            <w:vAlign w:val="center"/>
          </w:tcPr>
          <w:p w:rsidR="00300703" w:rsidRDefault="00B73693">
            <w:pPr>
              <w:jc w:val="center"/>
              <w:rPr>
                <w:szCs w:val="21"/>
              </w:rPr>
            </w:pPr>
            <w:r>
              <w:rPr>
                <w:szCs w:val="21"/>
              </w:rPr>
              <w:t>7.1</w:t>
            </w:r>
          </w:p>
        </w:tc>
      </w:tr>
      <w:tr w:rsidR="00300703">
        <w:tc>
          <w:tcPr>
            <w:tcW w:w="1350" w:type="dxa"/>
            <w:vAlign w:val="center"/>
          </w:tcPr>
          <w:p w:rsidR="00300703" w:rsidRDefault="00B73693">
            <w:pPr>
              <w:jc w:val="center"/>
              <w:rPr>
                <w:szCs w:val="21"/>
              </w:rPr>
            </w:pPr>
            <w:r>
              <w:rPr>
                <w:b/>
                <w:bCs/>
                <w:szCs w:val="21"/>
              </w:rPr>
              <w:t>U</w:t>
            </w:r>
          </w:p>
        </w:tc>
        <w:tc>
          <w:tcPr>
            <w:tcW w:w="1087" w:type="dxa"/>
            <w:vAlign w:val="center"/>
          </w:tcPr>
          <w:p w:rsidR="00300703" w:rsidRDefault="00B73693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1147.8</w:t>
            </w:r>
          </w:p>
        </w:tc>
        <w:tc>
          <w:tcPr>
            <w:tcW w:w="820" w:type="dxa"/>
            <w:vAlign w:val="center"/>
          </w:tcPr>
          <w:p w:rsidR="00300703" w:rsidRDefault="00B73693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59.8</w:t>
            </w:r>
          </w:p>
        </w:tc>
        <w:tc>
          <w:tcPr>
            <w:tcW w:w="881" w:type="dxa"/>
            <w:vAlign w:val="center"/>
          </w:tcPr>
          <w:p w:rsidR="00300703" w:rsidRDefault="00B73693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54.6</w:t>
            </w:r>
          </w:p>
        </w:tc>
        <w:tc>
          <w:tcPr>
            <w:tcW w:w="1241" w:type="dxa"/>
            <w:vAlign w:val="center"/>
          </w:tcPr>
          <w:p w:rsidR="00300703" w:rsidRDefault="00B73693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82.3</w:t>
            </w:r>
          </w:p>
        </w:tc>
        <w:tc>
          <w:tcPr>
            <w:tcW w:w="1157" w:type="dxa"/>
            <w:vAlign w:val="center"/>
          </w:tcPr>
          <w:p w:rsidR="00300703" w:rsidRDefault="00B73693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11.0</w:t>
            </w:r>
          </w:p>
        </w:tc>
        <w:tc>
          <w:tcPr>
            <w:tcW w:w="1275" w:type="dxa"/>
            <w:vAlign w:val="center"/>
          </w:tcPr>
          <w:p w:rsidR="00300703" w:rsidRDefault="00B73693">
            <w:pPr>
              <w:jc w:val="center"/>
              <w:rPr>
                <w:szCs w:val="21"/>
              </w:rPr>
            </w:pPr>
            <w:r>
              <w:rPr>
                <w:szCs w:val="21"/>
              </w:rPr>
              <w:t>0.8</w:t>
            </w:r>
          </w:p>
        </w:tc>
        <w:tc>
          <w:tcPr>
            <w:tcW w:w="932" w:type="dxa"/>
            <w:vAlign w:val="center"/>
          </w:tcPr>
          <w:p w:rsidR="00300703" w:rsidRDefault="00B73693">
            <w:pPr>
              <w:jc w:val="center"/>
              <w:rPr>
                <w:szCs w:val="21"/>
              </w:rPr>
            </w:pPr>
            <w:r>
              <w:rPr>
                <w:szCs w:val="21"/>
              </w:rPr>
              <w:t>9.8</w:t>
            </w:r>
          </w:p>
        </w:tc>
        <w:tc>
          <w:tcPr>
            <w:tcW w:w="986" w:type="dxa"/>
            <w:vAlign w:val="center"/>
          </w:tcPr>
          <w:p w:rsidR="00300703" w:rsidRDefault="00B73693">
            <w:pPr>
              <w:jc w:val="center"/>
              <w:rPr>
                <w:szCs w:val="21"/>
              </w:rPr>
            </w:pPr>
            <w:r>
              <w:rPr>
                <w:szCs w:val="21"/>
              </w:rPr>
              <w:t>17.0</w:t>
            </w:r>
          </w:p>
        </w:tc>
      </w:tr>
      <w:tr w:rsidR="00300703">
        <w:tc>
          <w:tcPr>
            <w:tcW w:w="1350" w:type="dxa"/>
            <w:vAlign w:val="center"/>
          </w:tcPr>
          <w:p w:rsidR="00300703" w:rsidRDefault="00B73693">
            <w:pPr>
              <w:jc w:val="center"/>
              <w:rPr>
                <w:szCs w:val="21"/>
              </w:rPr>
            </w:pPr>
            <w:r>
              <w:rPr>
                <w:b/>
                <w:bCs/>
                <w:szCs w:val="21"/>
              </w:rPr>
              <w:t>T</w:t>
            </w:r>
          </w:p>
        </w:tc>
        <w:tc>
          <w:tcPr>
            <w:tcW w:w="1087" w:type="dxa"/>
            <w:vAlign w:val="center"/>
          </w:tcPr>
          <w:p w:rsidR="00300703" w:rsidRDefault="00B73693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12985.0</w:t>
            </w:r>
          </w:p>
        </w:tc>
        <w:tc>
          <w:tcPr>
            <w:tcW w:w="820" w:type="dxa"/>
            <w:vAlign w:val="center"/>
          </w:tcPr>
          <w:p w:rsidR="00300703" w:rsidRDefault="00B73693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98.2</w:t>
            </w:r>
          </w:p>
        </w:tc>
        <w:tc>
          <w:tcPr>
            <w:tcW w:w="881" w:type="dxa"/>
            <w:vAlign w:val="center"/>
          </w:tcPr>
          <w:p w:rsidR="00300703" w:rsidRDefault="00B73693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79.2</w:t>
            </w:r>
          </w:p>
        </w:tc>
        <w:tc>
          <w:tcPr>
            <w:tcW w:w="1241" w:type="dxa"/>
            <w:vAlign w:val="center"/>
          </w:tcPr>
          <w:p w:rsidR="00300703" w:rsidRDefault="00B73693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45.3</w:t>
            </w:r>
          </w:p>
        </w:tc>
        <w:tc>
          <w:tcPr>
            <w:tcW w:w="1157" w:type="dxa"/>
            <w:vAlign w:val="center"/>
          </w:tcPr>
          <w:p w:rsidR="00300703" w:rsidRDefault="00B73693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30.3</w:t>
            </w:r>
          </w:p>
        </w:tc>
        <w:tc>
          <w:tcPr>
            <w:tcW w:w="1275" w:type="dxa"/>
            <w:vAlign w:val="center"/>
          </w:tcPr>
          <w:p w:rsidR="00300703" w:rsidRDefault="00B73693">
            <w:pPr>
              <w:jc w:val="center"/>
              <w:rPr>
                <w:szCs w:val="21"/>
              </w:rPr>
            </w:pPr>
            <w:r>
              <w:rPr>
                <w:szCs w:val="21"/>
              </w:rPr>
              <w:t>3.7</w:t>
            </w:r>
          </w:p>
        </w:tc>
        <w:tc>
          <w:tcPr>
            <w:tcW w:w="932" w:type="dxa"/>
            <w:vAlign w:val="center"/>
          </w:tcPr>
          <w:p w:rsidR="00300703" w:rsidRDefault="00B73693">
            <w:pPr>
              <w:jc w:val="center"/>
              <w:rPr>
                <w:szCs w:val="21"/>
              </w:rPr>
            </w:pPr>
            <w:r>
              <w:rPr>
                <w:szCs w:val="21"/>
              </w:rPr>
              <w:t>23.5</w:t>
            </w:r>
          </w:p>
        </w:tc>
        <w:tc>
          <w:tcPr>
            <w:tcW w:w="986" w:type="dxa"/>
            <w:vAlign w:val="center"/>
          </w:tcPr>
          <w:p w:rsidR="00300703" w:rsidRDefault="00B73693">
            <w:pPr>
              <w:jc w:val="center"/>
              <w:rPr>
                <w:szCs w:val="21"/>
              </w:rPr>
            </w:pPr>
            <w:r>
              <w:rPr>
                <w:szCs w:val="21"/>
              </w:rPr>
              <w:t>1.5</w:t>
            </w:r>
          </w:p>
        </w:tc>
      </w:tr>
    </w:tbl>
    <w:p w:rsidR="00300703" w:rsidRDefault="00300703">
      <w:pPr>
        <w:ind w:left="360"/>
        <w:jc w:val="center"/>
        <w:rPr>
          <w:sz w:val="22"/>
        </w:rPr>
      </w:pPr>
      <w:bookmarkStart w:id="5" w:name="_Hlk111627461"/>
      <w:bookmarkStart w:id="6" w:name="_Hlk111454880"/>
    </w:p>
    <w:bookmarkEnd w:id="5"/>
    <w:p w:rsidR="00300703" w:rsidRDefault="00B73693">
      <w:pPr>
        <w:jc w:val="center"/>
        <w:rPr>
          <w:szCs w:val="21"/>
        </w:rPr>
      </w:pPr>
      <w:r>
        <w:rPr>
          <w:szCs w:val="21"/>
        </w:rPr>
        <w:t xml:space="preserve">Table. S2 </w:t>
      </w:r>
      <w:proofErr w:type="gramStart"/>
      <w:r>
        <w:rPr>
          <w:szCs w:val="21"/>
        </w:rPr>
        <w:t>The</w:t>
      </w:r>
      <w:proofErr w:type="gramEnd"/>
      <w:r>
        <w:rPr>
          <w:szCs w:val="21"/>
        </w:rPr>
        <w:t xml:space="preserve"> Physicochemical information of Sediments</w:t>
      </w:r>
      <w:bookmarkStart w:id="7" w:name="_Hlk111627502"/>
    </w:p>
    <w:tbl>
      <w:tblPr>
        <w:tblW w:w="9937" w:type="dxa"/>
        <w:tblInd w:w="-395" w:type="dxa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1700"/>
        <w:gridCol w:w="1525"/>
        <w:gridCol w:w="1473"/>
        <w:gridCol w:w="1501"/>
        <w:gridCol w:w="1432"/>
        <w:gridCol w:w="1153"/>
        <w:gridCol w:w="1153"/>
      </w:tblGrid>
      <w:tr w:rsidR="00300703">
        <w:trPr>
          <w:trHeight w:val="321"/>
        </w:trPr>
        <w:tc>
          <w:tcPr>
            <w:tcW w:w="6199" w:type="dxa"/>
            <w:gridSpan w:val="4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:rsidR="00300703" w:rsidRDefault="00B73693">
            <w:pPr>
              <w:jc w:val="center"/>
              <w:rPr>
                <w:b/>
                <w:bCs/>
                <w:szCs w:val="21"/>
              </w:rPr>
            </w:pPr>
            <w:r>
              <w:rPr>
                <w:b/>
                <w:bCs/>
                <w:szCs w:val="21"/>
              </w:rPr>
              <w:t>Grain size content (%)</w:t>
            </w:r>
          </w:p>
        </w:tc>
        <w:tc>
          <w:tcPr>
            <w:tcW w:w="1432" w:type="dxa"/>
            <w:vMerge w:val="restart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:rsidR="00300703" w:rsidRDefault="00B73693">
            <w:pPr>
              <w:jc w:val="center"/>
              <w:rPr>
                <w:b/>
                <w:bCs/>
                <w:szCs w:val="21"/>
              </w:rPr>
            </w:pPr>
            <w:r>
              <w:rPr>
                <w:b/>
                <w:bCs/>
                <w:szCs w:val="21"/>
              </w:rPr>
              <w:t>Name of granularity</w:t>
            </w:r>
          </w:p>
        </w:tc>
        <w:tc>
          <w:tcPr>
            <w:tcW w:w="1153" w:type="dxa"/>
            <w:vMerge w:val="restar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300703" w:rsidRDefault="00B73693">
            <w:pPr>
              <w:jc w:val="center"/>
              <w:rPr>
                <w:b/>
                <w:bCs/>
                <w:szCs w:val="21"/>
              </w:rPr>
            </w:pPr>
            <w:r>
              <w:rPr>
                <w:b/>
                <w:bCs/>
                <w:szCs w:val="21"/>
              </w:rPr>
              <w:t>Oil</w:t>
            </w:r>
          </w:p>
          <w:p w:rsidR="00300703" w:rsidRDefault="00B73693">
            <w:pPr>
              <w:jc w:val="center"/>
              <w:rPr>
                <w:b/>
                <w:bCs/>
                <w:szCs w:val="21"/>
              </w:rPr>
            </w:pPr>
            <w:r>
              <w:rPr>
                <w:b/>
                <w:bCs/>
                <w:szCs w:val="21"/>
              </w:rPr>
              <w:t>(</w:t>
            </w:r>
            <w:r>
              <w:rPr>
                <w:kern w:val="0"/>
                <w:szCs w:val="21"/>
              </w:rPr>
              <w:t>m</w:t>
            </w:r>
            <w:r>
              <w:rPr>
                <w:rFonts w:hint="eastAsia"/>
                <w:kern w:val="0"/>
                <w:szCs w:val="21"/>
              </w:rPr>
              <w:t>g/L</w:t>
            </w:r>
            <w:r>
              <w:rPr>
                <w:b/>
                <w:bCs/>
                <w:szCs w:val="21"/>
              </w:rPr>
              <w:t>)</w:t>
            </w:r>
          </w:p>
        </w:tc>
        <w:tc>
          <w:tcPr>
            <w:tcW w:w="1153" w:type="dxa"/>
            <w:vMerge w:val="restar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300703" w:rsidRDefault="00B73693">
            <w:pPr>
              <w:jc w:val="center"/>
              <w:rPr>
                <w:b/>
                <w:bCs/>
                <w:szCs w:val="21"/>
              </w:rPr>
            </w:pPr>
            <w:r>
              <w:rPr>
                <w:b/>
                <w:bCs/>
                <w:szCs w:val="21"/>
              </w:rPr>
              <w:t>Organic carbon</w:t>
            </w:r>
          </w:p>
          <w:p w:rsidR="00300703" w:rsidRDefault="00B73693">
            <w:pPr>
              <w:jc w:val="center"/>
              <w:rPr>
                <w:b/>
                <w:bCs/>
                <w:szCs w:val="21"/>
              </w:rPr>
            </w:pPr>
            <w:r>
              <w:rPr>
                <w:b/>
                <w:bCs/>
                <w:szCs w:val="21"/>
              </w:rPr>
              <w:t>(</w:t>
            </w:r>
            <w:r>
              <w:rPr>
                <w:rFonts w:hint="eastAsia"/>
                <w:kern w:val="0"/>
                <w:szCs w:val="21"/>
              </w:rPr>
              <w:t>m</w:t>
            </w:r>
            <w:r>
              <w:rPr>
                <w:kern w:val="0"/>
                <w:szCs w:val="21"/>
              </w:rPr>
              <w:t>L</w:t>
            </w:r>
            <w:r>
              <w:rPr>
                <w:rFonts w:hint="eastAsia"/>
                <w:kern w:val="0"/>
                <w:szCs w:val="21"/>
              </w:rPr>
              <w:t>/L</w:t>
            </w:r>
            <w:r>
              <w:rPr>
                <w:b/>
                <w:bCs/>
                <w:szCs w:val="21"/>
              </w:rPr>
              <w:t>)</w:t>
            </w:r>
          </w:p>
        </w:tc>
      </w:tr>
      <w:tr w:rsidR="00300703">
        <w:trPr>
          <w:trHeight w:val="931"/>
        </w:trPr>
        <w:tc>
          <w:tcPr>
            <w:tcW w:w="170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:rsidR="00300703" w:rsidRDefault="00B73693">
            <w:pPr>
              <w:jc w:val="center"/>
              <w:rPr>
                <w:b/>
                <w:bCs/>
                <w:szCs w:val="21"/>
              </w:rPr>
            </w:pPr>
            <w:r>
              <w:rPr>
                <w:b/>
                <w:bCs/>
                <w:szCs w:val="21"/>
              </w:rPr>
              <w:t>Gravel</w:t>
            </w:r>
          </w:p>
          <w:p w:rsidR="00300703" w:rsidRDefault="00B73693">
            <w:pPr>
              <w:jc w:val="center"/>
              <w:rPr>
                <w:b/>
                <w:bCs/>
                <w:szCs w:val="21"/>
              </w:rPr>
            </w:pPr>
            <w:r>
              <w:rPr>
                <w:b/>
                <w:bCs/>
                <w:szCs w:val="21"/>
              </w:rPr>
              <w:t xml:space="preserve"> (4000 ~ 2000µm)</w:t>
            </w:r>
          </w:p>
        </w:tc>
        <w:tc>
          <w:tcPr>
            <w:tcW w:w="1525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:rsidR="00300703" w:rsidRDefault="00B73693">
            <w:pPr>
              <w:jc w:val="center"/>
              <w:rPr>
                <w:b/>
                <w:bCs/>
                <w:szCs w:val="21"/>
              </w:rPr>
            </w:pPr>
            <w:r>
              <w:rPr>
                <w:b/>
                <w:bCs/>
                <w:szCs w:val="21"/>
              </w:rPr>
              <w:t xml:space="preserve">Sand </w:t>
            </w:r>
          </w:p>
          <w:p w:rsidR="00300703" w:rsidRDefault="00B73693">
            <w:pPr>
              <w:jc w:val="center"/>
              <w:rPr>
                <w:b/>
                <w:bCs/>
                <w:szCs w:val="21"/>
              </w:rPr>
            </w:pPr>
            <w:r>
              <w:rPr>
                <w:b/>
                <w:bCs/>
                <w:szCs w:val="21"/>
              </w:rPr>
              <w:t>(2000 ~ 63µm)</w:t>
            </w:r>
          </w:p>
        </w:tc>
        <w:tc>
          <w:tcPr>
            <w:tcW w:w="1473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:rsidR="00300703" w:rsidRDefault="00B73693">
            <w:pPr>
              <w:jc w:val="center"/>
              <w:rPr>
                <w:b/>
                <w:bCs/>
                <w:szCs w:val="21"/>
              </w:rPr>
            </w:pPr>
            <w:r>
              <w:rPr>
                <w:b/>
                <w:bCs/>
                <w:szCs w:val="21"/>
              </w:rPr>
              <w:t>Silt (63 ~ 4µm)</w:t>
            </w:r>
          </w:p>
        </w:tc>
        <w:tc>
          <w:tcPr>
            <w:tcW w:w="1501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:rsidR="00300703" w:rsidRDefault="00B73693">
            <w:pPr>
              <w:jc w:val="center"/>
              <w:rPr>
                <w:b/>
                <w:bCs/>
                <w:szCs w:val="21"/>
              </w:rPr>
            </w:pPr>
            <w:r>
              <w:rPr>
                <w:b/>
                <w:bCs/>
                <w:szCs w:val="21"/>
              </w:rPr>
              <w:t>Clay (&lt; 4µm)</w:t>
            </w:r>
          </w:p>
        </w:tc>
        <w:tc>
          <w:tcPr>
            <w:tcW w:w="1432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:rsidR="00300703" w:rsidRDefault="00300703">
            <w:pPr>
              <w:jc w:val="center"/>
              <w:rPr>
                <w:b/>
                <w:bCs/>
                <w:szCs w:val="21"/>
              </w:rPr>
            </w:pPr>
          </w:p>
        </w:tc>
        <w:tc>
          <w:tcPr>
            <w:tcW w:w="1153" w:type="dxa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300703" w:rsidRDefault="00300703">
            <w:pPr>
              <w:jc w:val="center"/>
              <w:rPr>
                <w:b/>
                <w:bCs/>
                <w:szCs w:val="21"/>
              </w:rPr>
            </w:pPr>
          </w:p>
        </w:tc>
        <w:tc>
          <w:tcPr>
            <w:tcW w:w="1153" w:type="dxa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300703" w:rsidRDefault="00300703">
            <w:pPr>
              <w:jc w:val="center"/>
              <w:rPr>
                <w:b/>
                <w:bCs/>
                <w:szCs w:val="21"/>
              </w:rPr>
            </w:pPr>
          </w:p>
        </w:tc>
      </w:tr>
      <w:tr w:rsidR="00300703">
        <w:trPr>
          <w:trHeight w:val="641"/>
        </w:trPr>
        <w:tc>
          <w:tcPr>
            <w:tcW w:w="1700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300703" w:rsidRDefault="00B73693">
            <w:pPr>
              <w:jc w:val="center"/>
              <w:rPr>
                <w:szCs w:val="21"/>
              </w:rPr>
            </w:pPr>
            <w:r>
              <w:rPr>
                <w:kern w:val="0"/>
                <w:szCs w:val="21"/>
              </w:rPr>
              <w:t>0.00</w:t>
            </w:r>
          </w:p>
        </w:tc>
        <w:tc>
          <w:tcPr>
            <w:tcW w:w="1525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300703" w:rsidRDefault="00B73693">
            <w:pPr>
              <w:jc w:val="center"/>
              <w:rPr>
                <w:szCs w:val="21"/>
              </w:rPr>
            </w:pPr>
            <w:r>
              <w:rPr>
                <w:kern w:val="0"/>
                <w:szCs w:val="21"/>
              </w:rPr>
              <w:t>57.75</w:t>
            </w:r>
          </w:p>
        </w:tc>
        <w:tc>
          <w:tcPr>
            <w:tcW w:w="1473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300703" w:rsidRDefault="00B73693">
            <w:pPr>
              <w:jc w:val="center"/>
              <w:rPr>
                <w:szCs w:val="21"/>
              </w:rPr>
            </w:pPr>
            <w:r>
              <w:rPr>
                <w:kern w:val="0"/>
                <w:szCs w:val="21"/>
              </w:rPr>
              <w:t>42.25</w:t>
            </w:r>
          </w:p>
        </w:tc>
        <w:tc>
          <w:tcPr>
            <w:tcW w:w="1501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300703" w:rsidRDefault="00B73693">
            <w:pPr>
              <w:jc w:val="center"/>
              <w:rPr>
                <w:szCs w:val="21"/>
              </w:rPr>
            </w:pPr>
            <w:r>
              <w:rPr>
                <w:kern w:val="0"/>
                <w:szCs w:val="21"/>
              </w:rPr>
              <w:t>0.00</w:t>
            </w:r>
          </w:p>
        </w:tc>
        <w:tc>
          <w:tcPr>
            <w:tcW w:w="1432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300703" w:rsidRDefault="00B73693">
            <w:pPr>
              <w:jc w:val="center"/>
              <w:rPr>
                <w:szCs w:val="21"/>
              </w:rPr>
            </w:pPr>
            <w:proofErr w:type="spellStart"/>
            <w:r>
              <w:rPr>
                <w:szCs w:val="21"/>
              </w:rPr>
              <w:t>Silty</w:t>
            </w:r>
            <w:proofErr w:type="spellEnd"/>
            <w:r>
              <w:rPr>
                <w:szCs w:val="21"/>
              </w:rPr>
              <w:t xml:space="preserve"> sand </w:t>
            </w:r>
          </w:p>
        </w:tc>
        <w:tc>
          <w:tcPr>
            <w:tcW w:w="1153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300703" w:rsidRDefault="00B73693">
            <w:pPr>
              <w:jc w:val="center"/>
              <w:rPr>
                <w:szCs w:val="21"/>
              </w:rPr>
            </w:pPr>
            <w:r>
              <w:rPr>
                <w:kern w:val="0"/>
                <w:szCs w:val="21"/>
              </w:rPr>
              <w:t>20.3</w:t>
            </w:r>
            <w:r>
              <w:rPr>
                <w:rFonts w:hint="eastAsia"/>
                <w:kern w:val="0"/>
                <w:szCs w:val="21"/>
              </w:rPr>
              <w:t>×</w:t>
            </w:r>
            <w:r>
              <w:rPr>
                <w:rFonts w:hint="eastAsia"/>
                <w:kern w:val="0"/>
                <w:szCs w:val="21"/>
              </w:rPr>
              <w:t>10</w:t>
            </w:r>
            <w:r>
              <w:rPr>
                <w:rFonts w:hint="eastAsia"/>
                <w:kern w:val="0"/>
                <w:szCs w:val="21"/>
                <w:vertAlign w:val="superscript"/>
              </w:rPr>
              <w:t>-6</w:t>
            </w:r>
          </w:p>
        </w:tc>
        <w:tc>
          <w:tcPr>
            <w:tcW w:w="1153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300703" w:rsidRDefault="00B73693">
            <w:pPr>
              <w:jc w:val="center"/>
              <w:rPr>
                <w:kern w:val="0"/>
                <w:szCs w:val="21"/>
              </w:rPr>
            </w:pPr>
            <w:r>
              <w:rPr>
                <w:kern w:val="0"/>
                <w:szCs w:val="21"/>
              </w:rPr>
              <w:t>0.50</w:t>
            </w:r>
            <w:r>
              <w:rPr>
                <w:rFonts w:hint="eastAsia"/>
                <w:kern w:val="0"/>
                <w:szCs w:val="21"/>
              </w:rPr>
              <w:t>×</w:t>
            </w:r>
            <w:r>
              <w:rPr>
                <w:rFonts w:hint="eastAsia"/>
                <w:kern w:val="0"/>
                <w:szCs w:val="21"/>
              </w:rPr>
              <w:t>10</w:t>
            </w:r>
            <w:r>
              <w:rPr>
                <w:rFonts w:hint="eastAsia"/>
                <w:kern w:val="0"/>
                <w:szCs w:val="21"/>
                <w:vertAlign w:val="superscript"/>
              </w:rPr>
              <w:t>-6</w:t>
            </w:r>
          </w:p>
        </w:tc>
      </w:tr>
      <w:bookmarkEnd w:id="6"/>
      <w:bookmarkEnd w:id="7"/>
    </w:tbl>
    <w:p w:rsidR="00300703" w:rsidRDefault="00300703">
      <w:pPr>
        <w:contextualSpacing/>
        <w:rPr>
          <w:rFonts w:cs="Times New Roman"/>
          <w:szCs w:val="21"/>
        </w:rPr>
      </w:pPr>
    </w:p>
    <w:p w:rsidR="00300703" w:rsidRDefault="00B73693">
      <w:pPr>
        <w:contextualSpacing/>
        <w:jc w:val="center"/>
        <w:rPr>
          <w:rFonts w:cs="Times New Roman"/>
          <w:szCs w:val="21"/>
        </w:rPr>
      </w:pPr>
      <w:r>
        <w:rPr>
          <w:rFonts w:cs="Times New Roman"/>
          <w:b/>
          <w:bCs/>
          <w:szCs w:val="21"/>
        </w:rPr>
        <w:t xml:space="preserve">Table. </w:t>
      </w:r>
      <w:r>
        <w:rPr>
          <w:rFonts w:cs="Times New Roman" w:hint="eastAsia"/>
          <w:b/>
          <w:bCs/>
          <w:szCs w:val="21"/>
        </w:rPr>
        <w:t>S</w:t>
      </w:r>
      <w:r>
        <w:rPr>
          <w:rFonts w:cs="Times New Roman"/>
          <w:b/>
          <w:bCs/>
          <w:szCs w:val="21"/>
        </w:rPr>
        <w:t>3</w:t>
      </w:r>
      <w:r>
        <w:rPr>
          <w:rFonts w:cs="Times New Roman"/>
          <w:szCs w:val="21"/>
        </w:rPr>
        <w:t xml:space="preserve"> Main characteristic ions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2866"/>
        <w:gridCol w:w="3451"/>
        <w:gridCol w:w="1989"/>
      </w:tblGrid>
      <w:tr w:rsidR="00300703">
        <w:trPr>
          <w:jc w:val="center"/>
        </w:trPr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00703" w:rsidRDefault="00B73693">
            <w:pPr>
              <w:jc w:val="center"/>
              <w:rPr>
                <w:rFonts w:cs="Times New Roman"/>
                <w:b/>
                <w:bCs/>
                <w:szCs w:val="21"/>
              </w:rPr>
            </w:pPr>
            <w:r>
              <w:rPr>
                <w:rFonts w:cs="Times New Roman"/>
                <w:b/>
                <w:bCs/>
                <w:szCs w:val="21"/>
              </w:rPr>
              <w:t>Component name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:rsidR="00300703" w:rsidRDefault="00300703">
            <w:pPr>
              <w:jc w:val="center"/>
              <w:rPr>
                <w:rFonts w:cs="Times New Roman"/>
                <w:b/>
                <w:bCs/>
                <w:szCs w:val="21"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:rsidR="00300703" w:rsidRDefault="00B73693">
            <w:pPr>
              <w:jc w:val="center"/>
              <w:rPr>
                <w:rFonts w:cs="Times New Roman"/>
                <w:b/>
                <w:bCs/>
                <w:szCs w:val="21"/>
              </w:rPr>
            </w:pPr>
            <w:r>
              <w:rPr>
                <w:rFonts w:cs="Times New Roman"/>
                <w:b/>
                <w:bCs/>
                <w:szCs w:val="21"/>
              </w:rPr>
              <w:t>m/z</w:t>
            </w:r>
          </w:p>
        </w:tc>
      </w:tr>
      <w:tr w:rsidR="00300703">
        <w:trPr>
          <w:jc w:val="center"/>
        </w:trPr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:rsidR="00300703" w:rsidRDefault="00B73693">
            <w:pPr>
              <w:jc w:val="center"/>
              <w:rPr>
                <w:rFonts w:cs="Times New Roman"/>
                <w:szCs w:val="21"/>
              </w:rPr>
            </w:pPr>
            <w:r>
              <w:rPr>
                <w:rFonts w:cs="Times New Roman"/>
                <w:szCs w:val="21"/>
              </w:rPr>
              <w:t>Normal Alkanes (</w:t>
            </w:r>
            <w:proofErr w:type="spellStart"/>
            <w:r>
              <w:rPr>
                <w:rFonts w:cs="Times New Roman"/>
                <w:szCs w:val="21"/>
              </w:rPr>
              <w:t>Pr</w:t>
            </w:r>
            <w:proofErr w:type="spellEnd"/>
            <w:r>
              <w:rPr>
                <w:rFonts w:cs="Times New Roman"/>
                <w:szCs w:val="21"/>
              </w:rPr>
              <w:t xml:space="preserve"> and </w:t>
            </w:r>
            <w:proofErr w:type="spellStart"/>
            <w:r>
              <w:rPr>
                <w:rFonts w:cs="Times New Roman"/>
                <w:szCs w:val="21"/>
              </w:rPr>
              <w:t>Ph</w:t>
            </w:r>
            <w:proofErr w:type="spellEnd"/>
            <w:r>
              <w:rPr>
                <w:rFonts w:cs="Times New Roman"/>
                <w:szCs w:val="21"/>
              </w:rPr>
              <w:t>)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:rsidR="00300703" w:rsidRDefault="00300703">
            <w:pPr>
              <w:jc w:val="center"/>
              <w:rPr>
                <w:rFonts w:cs="Times New Roman"/>
                <w:szCs w:val="21"/>
              </w:rPr>
            </w:pPr>
          </w:p>
        </w:tc>
        <w:tc>
          <w:tcPr>
            <w:tcW w:w="0" w:type="auto"/>
            <w:tcBorders>
              <w:top w:val="single" w:sz="4" w:space="0" w:color="auto"/>
            </w:tcBorders>
          </w:tcPr>
          <w:p w:rsidR="00300703" w:rsidRDefault="00B73693">
            <w:pPr>
              <w:jc w:val="center"/>
              <w:rPr>
                <w:rFonts w:cs="Times New Roman"/>
                <w:szCs w:val="21"/>
              </w:rPr>
            </w:pPr>
            <w:r>
              <w:rPr>
                <w:rFonts w:cs="Times New Roman"/>
                <w:szCs w:val="21"/>
              </w:rPr>
              <w:t>85</w:t>
            </w:r>
          </w:p>
        </w:tc>
      </w:tr>
      <w:tr w:rsidR="00300703">
        <w:trPr>
          <w:jc w:val="center"/>
        </w:trPr>
        <w:tc>
          <w:tcPr>
            <w:tcW w:w="0" w:type="auto"/>
            <w:vAlign w:val="center"/>
          </w:tcPr>
          <w:p w:rsidR="00300703" w:rsidRDefault="00B73693">
            <w:pPr>
              <w:jc w:val="center"/>
              <w:rPr>
                <w:rFonts w:cs="Times New Roman"/>
                <w:szCs w:val="21"/>
              </w:rPr>
            </w:pPr>
            <w:r>
              <w:rPr>
                <w:rFonts w:cs="Times New Roman"/>
                <w:szCs w:val="21"/>
              </w:rPr>
              <w:t>Major polycyclic aromatic hydrocarbons</w:t>
            </w:r>
          </w:p>
        </w:tc>
        <w:tc>
          <w:tcPr>
            <w:tcW w:w="0" w:type="auto"/>
            <w:vAlign w:val="center"/>
          </w:tcPr>
          <w:p w:rsidR="00300703" w:rsidRDefault="00B73693">
            <w:pPr>
              <w:ind w:firstLineChars="200" w:firstLine="440"/>
              <w:jc w:val="center"/>
              <w:rPr>
                <w:rFonts w:cs="Times New Roman"/>
                <w:szCs w:val="21"/>
              </w:rPr>
            </w:pPr>
            <w:r>
              <w:rPr>
                <w:sz w:val="22"/>
              </w:rPr>
              <w:t>Naphthalene</w:t>
            </w:r>
            <w:r>
              <w:rPr>
                <w:rFonts w:cs="Times New Roman"/>
                <w:szCs w:val="21"/>
              </w:rPr>
              <w:t xml:space="preserve"> series</w:t>
            </w:r>
          </w:p>
        </w:tc>
        <w:tc>
          <w:tcPr>
            <w:tcW w:w="0" w:type="auto"/>
          </w:tcPr>
          <w:p w:rsidR="00300703" w:rsidRDefault="00B73693">
            <w:pPr>
              <w:jc w:val="center"/>
              <w:rPr>
                <w:rFonts w:cs="Times New Roman"/>
                <w:szCs w:val="21"/>
              </w:rPr>
            </w:pPr>
            <w:r>
              <w:rPr>
                <w:rFonts w:cs="Times New Roman"/>
                <w:szCs w:val="21"/>
              </w:rPr>
              <w:t>128</w:t>
            </w:r>
            <w:r>
              <w:rPr>
                <w:rFonts w:cs="Times New Roman"/>
                <w:szCs w:val="21"/>
              </w:rPr>
              <w:t>、</w:t>
            </w:r>
            <w:r>
              <w:rPr>
                <w:rFonts w:cs="Times New Roman"/>
                <w:szCs w:val="21"/>
              </w:rPr>
              <w:t>142</w:t>
            </w:r>
            <w:r>
              <w:rPr>
                <w:rFonts w:cs="Times New Roman"/>
                <w:szCs w:val="21"/>
              </w:rPr>
              <w:t>、</w:t>
            </w:r>
            <w:r>
              <w:rPr>
                <w:rFonts w:cs="Times New Roman"/>
                <w:szCs w:val="21"/>
              </w:rPr>
              <w:t>156</w:t>
            </w:r>
            <w:r>
              <w:rPr>
                <w:rFonts w:cs="Times New Roman"/>
                <w:szCs w:val="21"/>
              </w:rPr>
              <w:t>、</w:t>
            </w:r>
            <w:r>
              <w:rPr>
                <w:rFonts w:cs="Times New Roman"/>
                <w:szCs w:val="21"/>
              </w:rPr>
              <w:t>170</w:t>
            </w:r>
            <w:r>
              <w:rPr>
                <w:rFonts w:cs="Times New Roman"/>
                <w:szCs w:val="21"/>
              </w:rPr>
              <w:t>、</w:t>
            </w:r>
            <w:r>
              <w:rPr>
                <w:rFonts w:cs="Times New Roman"/>
                <w:szCs w:val="21"/>
              </w:rPr>
              <w:t>184</w:t>
            </w:r>
          </w:p>
        </w:tc>
      </w:tr>
      <w:tr w:rsidR="00300703">
        <w:trPr>
          <w:jc w:val="center"/>
        </w:trPr>
        <w:tc>
          <w:tcPr>
            <w:tcW w:w="0" w:type="auto"/>
            <w:vAlign w:val="center"/>
          </w:tcPr>
          <w:p w:rsidR="00300703" w:rsidRDefault="00300703">
            <w:pPr>
              <w:jc w:val="center"/>
              <w:rPr>
                <w:rFonts w:cs="Times New Roman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300703" w:rsidRDefault="00B73693">
            <w:pPr>
              <w:ind w:firstLineChars="200" w:firstLine="440"/>
              <w:jc w:val="center"/>
              <w:rPr>
                <w:rFonts w:cs="Times New Roman"/>
                <w:szCs w:val="21"/>
              </w:rPr>
            </w:pPr>
            <w:proofErr w:type="spellStart"/>
            <w:r>
              <w:rPr>
                <w:sz w:val="22"/>
              </w:rPr>
              <w:t>Phenanthrene</w:t>
            </w:r>
            <w:proofErr w:type="spellEnd"/>
            <w:r>
              <w:rPr>
                <w:rFonts w:cs="Times New Roman"/>
                <w:szCs w:val="21"/>
              </w:rPr>
              <w:t xml:space="preserve"> series</w:t>
            </w:r>
          </w:p>
        </w:tc>
        <w:tc>
          <w:tcPr>
            <w:tcW w:w="0" w:type="auto"/>
          </w:tcPr>
          <w:p w:rsidR="00300703" w:rsidRDefault="00B73693">
            <w:pPr>
              <w:jc w:val="center"/>
              <w:rPr>
                <w:rFonts w:cs="Times New Roman"/>
                <w:szCs w:val="21"/>
              </w:rPr>
            </w:pPr>
            <w:r>
              <w:rPr>
                <w:rFonts w:cs="Times New Roman"/>
                <w:szCs w:val="21"/>
              </w:rPr>
              <w:t>178</w:t>
            </w:r>
            <w:r>
              <w:rPr>
                <w:rFonts w:cs="Times New Roman"/>
                <w:szCs w:val="21"/>
              </w:rPr>
              <w:t>、</w:t>
            </w:r>
            <w:r>
              <w:rPr>
                <w:rFonts w:cs="Times New Roman"/>
                <w:szCs w:val="21"/>
              </w:rPr>
              <w:t>192</w:t>
            </w:r>
            <w:r>
              <w:rPr>
                <w:rFonts w:cs="Times New Roman"/>
                <w:szCs w:val="21"/>
              </w:rPr>
              <w:t>、</w:t>
            </w:r>
            <w:r>
              <w:rPr>
                <w:rFonts w:cs="Times New Roman"/>
                <w:szCs w:val="21"/>
              </w:rPr>
              <w:t>206</w:t>
            </w:r>
            <w:r>
              <w:rPr>
                <w:rFonts w:cs="Times New Roman"/>
                <w:szCs w:val="21"/>
              </w:rPr>
              <w:t>、</w:t>
            </w:r>
            <w:r>
              <w:rPr>
                <w:rFonts w:cs="Times New Roman"/>
                <w:szCs w:val="21"/>
              </w:rPr>
              <w:t>220</w:t>
            </w:r>
            <w:r>
              <w:rPr>
                <w:rFonts w:cs="Times New Roman"/>
                <w:szCs w:val="21"/>
              </w:rPr>
              <w:t>、</w:t>
            </w:r>
            <w:r>
              <w:rPr>
                <w:rFonts w:cs="Times New Roman"/>
                <w:szCs w:val="21"/>
              </w:rPr>
              <w:t>234</w:t>
            </w:r>
          </w:p>
        </w:tc>
      </w:tr>
      <w:tr w:rsidR="00300703">
        <w:trPr>
          <w:jc w:val="center"/>
        </w:trPr>
        <w:tc>
          <w:tcPr>
            <w:tcW w:w="0" w:type="auto"/>
            <w:vAlign w:val="center"/>
          </w:tcPr>
          <w:p w:rsidR="00300703" w:rsidRDefault="00300703">
            <w:pPr>
              <w:jc w:val="center"/>
              <w:rPr>
                <w:rFonts w:cs="Times New Roman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300703" w:rsidRDefault="00B73693">
            <w:pPr>
              <w:ind w:firstLineChars="200" w:firstLine="440"/>
              <w:jc w:val="center"/>
              <w:rPr>
                <w:rFonts w:cs="Times New Roman"/>
                <w:szCs w:val="21"/>
              </w:rPr>
            </w:pPr>
            <w:proofErr w:type="spellStart"/>
            <w:r>
              <w:rPr>
                <w:sz w:val="22"/>
              </w:rPr>
              <w:t>Dibenzothiophene</w:t>
            </w:r>
            <w:proofErr w:type="spellEnd"/>
            <w:r>
              <w:rPr>
                <w:rFonts w:cs="Times New Roman"/>
                <w:szCs w:val="21"/>
              </w:rPr>
              <w:t xml:space="preserve"> series</w:t>
            </w:r>
          </w:p>
        </w:tc>
        <w:tc>
          <w:tcPr>
            <w:tcW w:w="0" w:type="auto"/>
          </w:tcPr>
          <w:p w:rsidR="00300703" w:rsidRDefault="00B73693">
            <w:pPr>
              <w:jc w:val="center"/>
              <w:rPr>
                <w:rFonts w:cs="Times New Roman"/>
                <w:szCs w:val="21"/>
              </w:rPr>
            </w:pPr>
            <w:r>
              <w:rPr>
                <w:rFonts w:cs="Times New Roman"/>
                <w:szCs w:val="21"/>
              </w:rPr>
              <w:t>184</w:t>
            </w:r>
            <w:r>
              <w:rPr>
                <w:rFonts w:cs="Times New Roman"/>
                <w:szCs w:val="21"/>
              </w:rPr>
              <w:t>、</w:t>
            </w:r>
            <w:r>
              <w:rPr>
                <w:rFonts w:cs="Times New Roman"/>
                <w:szCs w:val="21"/>
              </w:rPr>
              <w:t>198</w:t>
            </w:r>
            <w:r>
              <w:rPr>
                <w:rFonts w:cs="Times New Roman"/>
                <w:szCs w:val="21"/>
              </w:rPr>
              <w:t>、</w:t>
            </w:r>
            <w:r>
              <w:rPr>
                <w:rFonts w:cs="Times New Roman"/>
                <w:szCs w:val="21"/>
              </w:rPr>
              <w:t>212</w:t>
            </w:r>
            <w:r>
              <w:rPr>
                <w:rFonts w:cs="Times New Roman"/>
                <w:szCs w:val="21"/>
              </w:rPr>
              <w:t>、</w:t>
            </w:r>
            <w:r>
              <w:rPr>
                <w:rFonts w:cs="Times New Roman"/>
                <w:szCs w:val="21"/>
              </w:rPr>
              <w:t>226</w:t>
            </w:r>
            <w:r>
              <w:rPr>
                <w:rFonts w:cs="Times New Roman"/>
                <w:szCs w:val="21"/>
              </w:rPr>
              <w:t>、</w:t>
            </w:r>
            <w:r>
              <w:rPr>
                <w:rFonts w:cs="Times New Roman"/>
                <w:szCs w:val="21"/>
              </w:rPr>
              <w:t>240</w:t>
            </w:r>
          </w:p>
        </w:tc>
      </w:tr>
      <w:tr w:rsidR="00300703">
        <w:trPr>
          <w:jc w:val="center"/>
        </w:trPr>
        <w:tc>
          <w:tcPr>
            <w:tcW w:w="0" w:type="auto"/>
            <w:vAlign w:val="center"/>
          </w:tcPr>
          <w:p w:rsidR="00300703" w:rsidRDefault="00300703">
            <w:pPr>
              <w:jc w:val="center"/>
              <w:rPr>
                <w:rFonts w:cs="Times New Roman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300703" w:rsidRDefault="00B73693">
            <w:pPr>
              <w:ind w:firstLineChars="200" w:firstLine="440"/>
              <w:jc w:val="center"/>
              <w:rPr>
                <w:rFonts w:cs="Times New Roman"/>
                <w:szCs w:val="21"/>
              </w:rPr>
            </w:pPr>
            <w:proofErr w:type="spellStart"/>
            <w:r>
              <w:rPr>
                <w:sz w:val="22"/>
              </w:rPr>
              <w:t>Fluorene</w:t>
            </w:r>
            <w:proofErr w:type="spellEnd"/>
            <w:r>
              <w:rPr>
                <w:sz w:val="22"/>
              </w:rPr>
              <w:t xml:space="preserve"> </w:t>
            </w:r>
            <w:r>
              <w:rPr>
                <w:rFonts w:cs="Times New Roman"/>
                <w:szCs w:val="21"/>
              </w:rPr>
              <w:t>Series</w:t>
            </w:r>
          </w:p>
        </w:tc>
        <w:tc>
          <w:tcPr>
            <w:tcW w:w="0" w:type="auto"/>
          </w:tcPr>
          <w:p w:rsidR="00300703" w:rsidRDefault="00B73693">
            <w:pPr>
              <w:jc w:val="center"/>
              <w:rPr>
                <w:rFonts w:cs="Times New Roman"/>
                <w:szCs w:val="21"/>
              </w:rPr>
            </w:pPr>
            <w:r>
              <w:rPr>
                <w:rFonts w:cs="Times New Roman"/>
                <w:szCs w:val="21"/>
              </w:rPr>
              <w:t>166</w:t>
            </w:r>
            <w:r>
              <w:rPr>
                <w:rFonts w:cs="Times New Roman"/>
                <w:szCs w:val="21"/>
              </w:rPr>
              <w:t>、</w:t>
            </w:r>
            <w:r>
              <w:rPr>
                <w:rFonts w:cs="Times New Roman"/>
                <w:szCs w:val="21"/>
              </w:rPr>
              <w:t>180</w:t>
            </w:r>
            <w:r>
              <w:rPr>
                <w:rFonts w:cs="Times New Roman"/>
                <w:szCs w:val="21"/>
              </w:rPr>
              <w:t>、</w:t>
            </w:r>
            <w:r>
              <w:rPr>
                <w:rFonts w:cs="Times New Roman"/>
                <w:szCs w:val="21"/>
              </w:rPr>
              <w:t>194</w:t>
            </w:r>
            <w:r>
              <w:rPr>
                <w:rFonts w:cs="Times New Roman"/>
                <w:szCs w:val="21"/>
              </w:rPr>
              <w:t>、</w:t>
            </w:r>
            <w:r>
              <w:rPr>
                <w:rFonts w:cs="Times New Roman"/>
                <w:szCs w:val="21"/>
              </w:rPr>
              <w:t>208</w:t>
            </w:r>
          </w:p>
        </w:tc>
      </w:tr>
      <w:tr w:rsidR="00300703">
        <w:trPr>
          <w:jc w:val="center"/>
        </w:trPr>
        <w:tc>
          <w:tcPr>
            <w:tcW w:w="0" w:type="auto"/>
            <w:vAlign w:val="center"/>
          </w:tcPr>
          <w:p w:rsidR="00300703" w:rsidRDefault="00300703">
            <w:pPr>
              <w:jc w:val="center"/>
              <w:rPr>
                <w:rFonts w:cs="Times New Roman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300703" w:rsidRDefault="00B73693">
            <w:pPr>
              <w:ind w:firstLineChars="200" w:firstLine="440"/>
              <w:jc w:val="center"/>
              <w:rPr>
                <w:rFonts w:cs="Times New Roman"/>
                <w:szCs w:val="21"/>
              </w:rPr>
            </w:pPr>
            <w:proofErr w:type="spellStart"/>
            <w:r>
              <w:rPr>
                <w:sz w:val="22"/>
              </w:rPr>
              <w:t>Benzoanthrocene</w:t>
            </w:r>
            <w:proofErr w:type="spellEnd"/>
            <w:r>
              <w:rPr>
                <w:sz w:val="22"/>
              </w:rPr>
              <w:t xml:space="preserve">/Chrysene </w:t>
            </w:r>
            <w:r>
              <w:rPr>
                <w:rFonts w:cs="Times New Roman"/>
                <w:szCs w:val="21"/>
              </w:rPr>
              <w:t>Series</w:t>
            </w:r>
          </w:p>
        </w:tc>
        <w:tc>
          <w:tcPr>
            <w:tcW w:w="0" w:type="auto"/>
          </w:tcPr>
          <w:p w:rsidR="00300703" w:rsidRDefault="00B73693">
            <w:pPr>
              <w:jc w:val="center"/>
              <w:rPr>
                <w:rFonts w:cs="Times New Roman"/>
                <w:szCs w:val="21"/>
              </w:rPr>
            </w:pPr>
            <w:r>
              <w:rPr>
                <w:rFonts w:cs="Times New Roman"/>
                <w:szCs w:val="21"/>
              </w:rPr>
              <w:t>228</w:t>
            </w:r>
            <w:r>
              <w:rPr>
                <w:rFonts w:cs="Times New Roman"/>
                <w:szCs w:val="21"/>
              </w:rPr>
              <w:t>、</w:t>
            </w:r>
            <w:r>
              <w:rPr>
                <w:rFonts w:cs="Times New Roman"/>
                <w:szCs w:val="21"/>
              </w:rPr>
              <w:t>242</w:t>
            </w:r>
            <w:r>
              <w:rPr>
                <w:rFonts w:cs="Times New Roman"/>
                <w:szCs w:val="21"/>
              </w:rPr>
              <w:t>、</w:t>
            </w:r>
            <w:r>
              <w:rPr>
                <w:rFonts w:cs="Times New Roman"/>
                <w:szCs w:val="21"/>
              </w:rPr>
              <w:t>256</w:t>
            </w:r>
            <w:r>
              <w:rPr>
                <w:rFonts w:cs="Times New Roman"/>
                <w:szCs w:val="21"/>
              </w:rPr>
              <w:t>、</w:t>
            </w:r>
            <w:r>
              <w:rPr>
                <w:rFonts w:cs="Times New Roman"/>
                <w:szCs w:val="21"/>
              </w:rPr>
              <w:t>270</w:t>
            </w:r>
          </w:p>
        </w:tc>
      </w:tr>
      <w:tr w:rsidR="00300703">
        <w:trPr>
          <w:jc w:val="center"/>
        </w:trPr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:rsidR="00300703" w:rsidRDefault="00B73693">
            <w:pPr>
              <w:jc w:val="center"/>
              <w:rPr>
                <w:rFonts w:cs="Times New Roman"/>
                <w:szCs w:val="21"/>
              </w:rPr>
            </w:pPr>
            <w:r>
              <w:rPr>
                <w:rFonts w:cs="Times New Roman"/>
                <w:szCs w:val="21"/>
              </w:rPr>
              <w:t xml:space="preserve">C30 </w:t>
            </w:r>
            <w:proofErr w:type="spellStart"/>
            <w:r>
              <w:rPr>
                <w:rFonts w:cs="Times New Roman"/>
                <w:szCs w:val="21"/>
              </w:rPr>
              <w:t>Horane</w:t>
            </w:r>
            <w:proofErr w:type="spellEnd"/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300703" w:rsidRDefault="00300703">
            <w:pPr>
              <w:jc w:val="center"/>
              <w:rPr>
                <w:rFonts w:cs="Times New Roman"/>
                <w:szCs w:val="21"/>
              </w:rPr>
            </w:pP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300703" w:rsidRDefault="00B73693">
            <w:pPr>
              <w:jc w:val="center"/>
              <w:rPr>
                <w:rFonts w:cs="Times New Roman"/>
                <w:szCs w:val="21"/>
              </w:rPr>
            </w:pPr>
            <w:r>
              <w:rPr>
                <w:rFonts w:cs="Times New Roman"/>
                <w:szCs w:val="21"/>
              </w:rPr>
              <w:t>191</w:t>
            </w:r>
          </w:p>
        </w:tc>
      </w:tr>
    </w:tbl>
    <w:p w:rsidR="00300703" w:rsidRDefault="00300703">
      <w:pPr>
        <w:contextualSpacing/>
        <w:jc w:val="center"/>
        <w:rPr>
          <w:sz w:val="22"/>
        </w:rPr>
      </w:pPr>
    </w:p>
    <w:p w:rsidR="00300703" w:rsidRDefault="00B73693">
      <w:pPr>
        <w:contextualSpacing/>
        <w:jc w:val="center"/>
        <w:rPr>
          <w:szCs w:val="21"/>
        </w:rPr>
      </w:pPr>
      <w:r>
        <w:rPr>
          <w:b/>
          <w:bCs/>
          <w:szCs w:val="21"/>
        </w:rPr>
        <w:t xml:space="preserve">Table. </w:t>
      </w:r>
      <w:r>
        <w:rPr>
          <w:rFonts w:hint="eastAsia"/>
          <w:b/>
          <w:bCs/>
          <w:szCs w:val="21"/>
        </w:rPr>
        <w:t>S</w:t>
      </w:r>
      <w:r>
        <w:rPr>
          <w:b/>
          <w:bCs/>
          <w:szCs w:val="21"/>
        </w:rPr>
        <w:t>4</w:t>
      </w:r>
      <w:r>
        <w:rPr>
          <w:szCs w:val="21"/>
        </w:rPr>
        <w:t xml:space="preserve"> Microbial </w:t>
      </w:r>
      <w:r>
        <w:rPr>
          <w:rFonts w:hint="eastAsia"/>
          <w:szCs w:val="21"/>
        </w:rPr>
        <w:t>phyla</w:t>
      </w:r>
      <w:r>
        <w:rPr>
          <w:szCs w:val="21"/>
        </w:rPr>
        <w:t xml:space="preserve"> and relative abundance in natural seawater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2776"/>
        <w:gridCol w:w="2866"/>
      </w:tblGrid>
      <w:tr w:rsidR="00300703">
        <w:trPr>
          <w:trHeight w:val="57"/>
          <w:jc w:val="center"/>
        </w:trPr>
        <w:tc>
          <w:tcPr>
            <w:tcW w:w="2776" w:type="dxa"/>
            <w:tcBorders>
              <w:top w:val="single" w:sz="4" w:space="0" w:color="auto"/>
              <w:bottom w:val="single" w:sz="4" w:space="0" w:color="auto"/>
            </w:tcBorders>
            <w:noWrap/>
          </w:tcPr>
          <w:p w:rsidR="00300703" w:rsidRDefault="00B73693">
            <w:pPr>
              <w:jc w:val="center"/>
              <w:rPr>
                <w:rFonts w:cs="Times New Roman"/>
                <w:b/>
                <w:bCs/>
                <w:kern w:val="0"/>
                <w:szCs w:val="16"/>
              </w:rPr>
            </w:pPr>
            <w:r>
              <w:rPr>
                <w:rFonts w:cs="Times New Roman" w:hint="eastAsia"/>
                <w:b/>
                <w:bCs/>
                <w:kern w:val="0"/>
                <w:szCs w:val="16"/>
              </w:rPr>
              <w:t>Microorganism</w:t>
            </w:r>
          </w:p>
        </w:tc>
        <w:tc>
          <w:tcPr>
            <w:tcW w:w="2866" w:type="dxa"/>
            <w:tcBorders>
              <w:top w:val="single" w:sz="4" w:space="0" w:color="auto"/>
              <w:bottom w:val="single" w:sz="4" w:space="0" w:color="auto"/>
            </w:tcBorders>
            <w:noWrap/>
          </w:tcPr>
          <w:p w:rsidR="00300703" w:rsidRDefault="00B73693">
            <w:pPr>
              <w:jc w:val="center"/>
              <w:rPr>
                <w:rFonts w:cs="Times New Roman"/>
                <w:b/>
                <w:bCs/>
                <w:kern w:val="0"/>
                <w:szCs w:val="16"/>
              </w:rPr>
            </w:pPr>
            <w:r>
              <w:rPr>
                <w:rFonts w:cs="Times New Roman" w:hint="eastAsia"/>
                <w:b/>
                <w:bCs/>
                <w:kern w:val="0"/>
                <w:szCs w:val="16"/>
              </w:rPr>
              <w:t xml:space="preserve">Relative abundance </w:t>
            </w:r>
            <w:r>
              <w:rPr>
                <w:rFonts w:cs="Times New Roman" w:hint="eastAsia"/>
                <w:b/>
                <w:bCs/>
                <w:kern w:val="0"/>
                <w:szCs w:val="16"/>
              </w:rPr>
              <w:t>（</w:t>
            </w:r>
            <w:r>
              <w:rPr>
                <w:rFonts w:cs="Times New Roman" w:hint="eastAsia"/>
                <w:b/>
                <w:bCs/>
                <w:kern w:val="0"/>
                <w:szCs w:val="16"/>
              </w:rPr>
              <w:t>%</w:t>
            </w:r>
            <w:r>
              <w:rPr>
                <w:rFonts w:cs="Times New Roman" w:hint="eastAsia"/>
                <w:b/>
                <w:bCs/>
                <w:kern w:val="0"/>
                <w:szCs w:val="16"/>
              </w:rPr>
              <w:t>）</w:t>
            </w:r>
          </w:p>
        </w:tc>
      </w:tr>
      <w:tr w:rsidR="00300703">
        <w:trPr>
          <w:trHeight w:val="57"/>
          <w:jc w:val="center"/>
        </w:trPr>
        <w:tc>
          <w:tcPr>
            <w:tcW w:w="2776" w:type="dxa"/>
            <w:tcBorders>
              <w:top w:val="single" w:sz="4" w:space="0" w:color="auto"/>
            </w:tcBorders>
            <w:noWrap/>
          </w:tcPr>
          <w:p w:rsidR="00300703" w:rsidRDefault="00B73693">
            <w:pPr>
              <w:jc w:val="center"/>
              <w:rPr>
                <w:rFonts w:cs="Times New Roman"/>
                <w:kern w:val="0"/>
                <w:szCs w:val="20"/>
              </w:rPr>
            </w:pPr>
            <w:proofErr w:type="spellStart"/>
            <w:r>
              <w:rPr>
                <w:rFonts w:cs="Times New Roman" w:hint="eastAsia"/>
                <w:kern w:val="0"/>
                <w:szCs w:val="20"/>
              </w:rPr>
              <w:t>Proteobacteria</w:t>
            </w:r>
            <w:proofErr w:type="spellEnd"/>
          </w:p>
        </w:tc>
        <w:tc>
          <w:tcPr>
            <w:tcW w:w="2866" w:type="dxa"/>
            <w:tcBorders>
              <w:top w:val="single" w:sz="4" w:space="0" w:color="auto"/>
            </w:tcBorders>
            <w:noWrap/>
          </w:tcPr>
          <w:p w:rsidR="00300703" w:rsidRDefault="00B73693">
            <w:pPr>
              <w:jc w:val="center"/>
              <w:rPr>
                <w:rFonts w:cs="Times New Roman"/>
                <w:kern w:val="0"/>
                <w:szCs w:val="20"/>
              </w:rPr>
            </w:pPr>
            <w:r>
              <w:rPr>
                <w:rFonts w:cs="Times New Roman" w:hint="eastAsia"/>
                <w:kern w:val="0"/>
                <w:szCs w:val="20"/>
              </w:rPr>
              <w:t>0.839585</w:t>
            </w:r>
          </w:p>
        </w:tc>
      </w:tr>
      <w:tr w:rsidR="00300703">
        <w:trPr>
          <w:trHeight w:val="57"/>
          <w:jc w:val="center"/>
        </w:trPr>
        <w:tc>
          <w:tcPr>
            <w:tcW w:w="2776" w:type="dxa"/>
            <w:noWrap/>
          </w:tcPr>
          <w:p w:rsidR="00300703" w:rsidRDefault="00B73693">
            <w:pPr>
              <w:jc w:val="center"/>
              <w:rPr>
                <w:rFonts w:cs="Times New Roman"/>
                <w:kern w:val="0"/>
                <w:szCs w:val="20"/>
              </w:rPr>
            </w:pPr>
            <w:proofErr w:type="spellStart"/>
            <w:r>
              <w:rPr>
                <w:rFonts w:cs="Times New Roman" w:hint="eastAsia"/>
                <w:kern w:val="0"/>
                <w:szCs w:val="20"/>
              </w:rPr>
              <w:t>Bacteroidetes</w:t>
            </w:r>
            <w:proofErr w:type="spellEnd"/>
          </w:p>
        </w:tc>
        <w:tc>
          <w:tcPr>
            <w:tcW w:w="2866" w:type="dxa"/>
            <w:noWrap/>
          </w:tcPr>
          <w:p w:rsidR="00300703" w:rsidRDefault="00B73693">
            <w:pPr>
              <w:jc w:val="center"/>
              <w:rPr>
                <w:rFonts w:cs="Times New Roman"/>
                <w:kern w:val="0"/>
                <w:szCs w:val="20"/>
              </w:rPr>
            </w:pPr>
            <w:r>
              <w:rPr>
                <w:rFonts w:cs="Times New Roman" w:hint="eastAsia"/>
                <w:kern w:val="0"/>
                <w:szCs w:val="20"/>
              </w:rPr>
              <w:t>0.092905</w:t>
            </w:r>
          </w:p>
        </w:tc>
      </w:tr>
      <w:tr w:rsidR="00300703">
        <w:trPr>
          <w:trHeight w:val="57"/>
          <w:jc w:val="center"/>
        </w:trPr>
        <w:tc>
          <w:tcPr>
            <w:tcW w:w="2776" w:type="dxa"/>
            <w:noWrap/>
          </w:tcPr>
          <w:p w:rsidR="00300703" w:rsidRDefault="00B73693">
            <w:pPr>
              <w:jc w:val="center"/>
              <w:rPr>
                <w:rFonts w:cs="Times New Roman"/>
                <w:kern w:val="0"/>
                <w:szCs w:val="20"/>
              </w:rPr>
            </w:pPr>
            <w:r>
              <w:rPr>
                <w:rFonts w:cs="Times New Roman" w:hint="eastAsia"/>
                <w:kern w:val="0"/>
                <w:szCs w:val="20"/>
              </w:rPr>
              <w:t>Cyanobacteria</w:t>
            </w:r>
          </w:p>
        </w:tc>
        <w:tc>
          <w:tcPr>
            <w:tcW w:w="2866" w:type="dxa"/>
            <w:noWrap/>
          </w:tcPr>
          <w:p w:rsidR="00300703" w:rsidRDefault="00B73693">
            <w:pPr>
              <w:jc w:val="center"/>
              <w:rPr>
                <w:rFonts w:cs="Times New Roman"/>
                <w:kern w:val="0"/>
                <w:szCs w:val="20"/>
              </w:rPr>
            </w:pPr>
            <w:r>
              <w:rPr>
                <w:rFonts w:cs="Times New Roman" w:hint="eastAsia"/>
                <w:kern w:val="0"/>
                <w:szCs w:val="20"/>
              </w:rPr>
              <w:t>0.044244</w:t>
            </w:r>
          </w:p>
        </w:tc>
      </w:tr>
      <w:tr w:rsidR="00300703">
        <w:trPr>
          <w:trHeight w:val="57"/>
          <w:jc w:val="center"/>
        </w:trPr>
        <w:tc>
          <w:tcPr>
            <w:tcW w:w="2776" w:type="dxa"/>
            <w:noWrap/>
          </w:tcPr>
          <w:p w:rsidR="00300703" w:rsidRDefault="00B73693">
            <w:pPr>
              <w:jc w:val="center"/>
              <w:rPr>
                <w:rFonts w:cs="Times New Roman"/>
                <w:kern w:val="0"/>
                <w:szCs w:val="20"/>
              </w:rPr>
            </w:pPr>
            <w:proofErr w:type="spellStart"/>
            <w:r>
              <w:rPr>
                <w:rFonts w:cs="Times New Roman" w:hint="eastAsia"/>
                <w:kern w:val="0"/>
                <w:szCs w:val="20"/>
              </w:rPr>
              <w:t>Actinobacteria</w:t>
            </w:r>
            <w:proofErr w:type="spellEnd"/>
          </w:p>
        </w:tc>
        <w:tc>
          <w:tcPr>
            <w:tcW w:w="2866" w:type="dxa"/>
            <w:noWrap/>
          </w:tcPr>
          <w:p w:rsidR="00300703" w:rsidRDefault="00B73693">
            <w:pPr>
              <w:jc w:val="center"/>
              <w:rPr>
                <w:rFonts w:cs="Times New Roman"/>
                <w:kern w:val="0"/>
                <w:szCs w:val="20"/>
              </w:rPr>
            </w:pPr>
            <w:r>
              <w:rPr>
                <w:rFonts w:cs="Times New Roman" w:hint="eastAsia"/>
                <w:kern w:val="0"/>
                <w:szCs w:val="20"/>
              </w:rPr>
              <w:t>0.011097</w:t>
            </w:r>
          </w:p>
        </w:tc>
      </w:tr>
      <w:tr w:rsidR="00300703">
        <w:trPr>
          <w:trHeight w:val="57"/>
          <w:jc w:val="center"/>
        </w:trPr>
        <w:tc>
          <w:tcPr>
            <w:tcW w:w="2776" w:type="dxa"/>
            <w:noWrap/>
          </w:tcPr>
          <w:p w:rsidR="00300703" w:rsidRDefault="00B73693">
            <w:pPr>
              <w:jc w:val="center"/>
              <w:rPr>
                <w:rFonts w:cs="Times New Roman"/>
                <w:kern w:val="0"/>
                <w:szCs w:val="20"/>
              </w:rPr>
            </w:pPr>
            <w:proofErr w:type="spellStart"/>
            <w:r>
              <w:rPr>
                <w:rFonts w:cs="Times New Roman" w:hint="eastAsia"/>
                <w:kern w:val="0"/>
                <w:szCs w:val="20"/>
              </w:rPr>
              <w:t>Planctomycetes</w:t>
            </w:r>
            <w:proofErr w:type="spellEnd"/>
          </w:p>
        </w:tc>
        <w:tc>
          <w:tcPr>
            <w:tcW w:w="2866" w:type="dxa"/>
            <w:noWrap/>
          </w:tcPr>
          <w:p w:rsidR="00300703" w:rsidRDefault="00B73693">
            <w:pPr>
              <w:jc w:val="center"/>
              <w:rPr>
                <w:rFonts w:cs="Times New Roman"/>
                <w:kern w:val="0"/>
                <w:szCs w:val="20"/>
              </w:rPr>
            </w:pPr>
            <w:r>
              <w:rPr>
                <w:rFonts w:cs="Times New Roman" w:hint="eastAsia"/>
                <w:kern w:val="0"/>
                <w:szCs w:val="20"/>
              </w:rPr>
              <w:t>0.003284</w:t>
            </w:r>
          </w:p>
        </w:tc>
      </w:tr>
      <w:tr w:rsidR="00300703">
        <w:trPr>
          <w:trHeight w:val="57"/>
          <w:jc w:val="center"/>
        </w:trPr>
        <w:tc>
          <w:tcPr>
            <w:tcW w:w="2776" w:type="dxa"/>
            <w:noWrap/>
          </w:tcPr>
          <w:p w:rsidR="00300703" w:rsidRDefault="00B73693">
            <w:pPr>
              <w:jc w:val="center"/>
              <w:rPr>
                <w:rFonts w:cs="Times New Roman"/>
                <w:kern w:val="0"/>
                <w:szCs w:val="20"/>
              </w:rPr>
            </w:pPr>
            <w:proofErr w:type="spellStart"/>
            <w:r>
              <w:rPr>
                <w:rFonts w:cs="Times New Roman" w:hint="eastAsia"/>
                <w:kern w:val="0"/>
                <w:szCs w:val="20"/>
              </w:rPr>
              <w:t>unidentified_Bacteria</w:t>
            </w:r>
            <w:proofErr w:type="spellEnd"/>
          </w:p>
        </w:tc>
        <w:tc>
          <w:tcPr>
            <w:tcW w:w="2866" w:type="dxa"/>
            <w:noWrap/>
          </w:tcPr>
          <w:p w:rsidR="00300703" w:rsidRDefault="00B73693">
            <w:pPr>
              <w:jc w:val="center"/>
              <w:rPr>
                <w:rFonts w:cs="Times New Roman"/>
                <w:kern w:val="0"/>
                <w:szCs w:val="20"/>
              </w:rPr>
            </w:pPr>
            <w:r>
              <w:rPr>
                <w:rFonts w:cs="Times New Roman" w:hint="eastAsia"/>
                <w:kern w:val="0"/>
                <w:szCs w:val="20"/>
              </w:rPr>
              <w:t>0.002037</w:t>
            </w:r>
          </w:p>
        </w:tc>
      </w:tr>
      <w:tr w:rsidR="00300703">
        <w:trPr>
          <w:trHeight w:val="57"/>
          <w:jc w:val="center"/>
        </w:trPr>
        <w:tc>
          <w:tcPr>
            <w:tcW w:w="2776" w:type="dxa"/>
            <w:noWrap/>
          </w:tcPr>
          <w:p w:rsidR="00300703" w:rsidRDefault="00B73693">
            <w:pPr>
              <w:jc w:val="center"/>
              <w:rPr>
                <w:rFonts w:cs="Times New Roman"/>
                <w:kern w:val="0"/>
                <w:szCs w:val="20"/>
              </w:rPr>
            </w:pPr>
            <w:bookmarkStart w:id="8" w:name="_Hlk47507939"/>
            <w:proofErr w:type="spellStart"/>
            <w:r>
              <w:rPr>
                <w:rFonts w:cs="Times New Roman" w:hint="eastAsia"/>
                <w:kern w:val="0"/>
                <w:szCs w:val="20"/>
              </w:rPr>
              <w:t>Verrucomicrobia</w:t>
            </w:r>
            <w:bookmarkEnd w:id="8"/>
            <w:proofErr w:type="spellEnd"/>
          </w:p>
        </w:tc>
        <w:tc>
          <w:tcPr>
            <w:tcW w:w="2866" w:type="dxa"/>
            <w:noWrap/>
          </w:tcPr>
          <w:p w:rsidR="00300703" w:rsidRDefault="00B73693">
            <w:pPr>
              <w:jc w:val="center"/>
              <w:rPr>
                <w:rFonts w:cs="Times New Roman"/>
                <w:kern w:val="0"/>
                <w:szCs w:val="20"/>
              </w:rPr>
            </w:pPr>
            <w:r>
              <w:rPr>
                <w:rFonts w:cs="Times New Roman" w:hint="eastAsia"/>
                <w:kern w:val="0"/>
                <w:szCs w:val="20"/>
              </w:rPr>
              <w:t>0.002257</w:t>
            </w:r>
          </w:p>
        </w:tc>
      </w:tr>
      <w:tr w:rsidR="00300703">
        <w:trPr>
          <w:trHeight w:val="57"/>
          <w:jc w:val="center"/>
        </w:trPr>
        <w:tc>
          <w:tcPr>
            <w:tcW w:w="2776" w:type="dxa"/>
            <w:noWrap/>
          </w:tcPr>
          <w:p w:rsidR="00300703" w:rsidRDefault="00B73693">
            <w:pPr>
              <w:jc w:val="center"/>
              <w:rPr>
                <w:rFonts w:cs="Times New Roman"/>
                <w:kern w:val="0"/>
                <w:szCs w:val="20"/>
              </w:rPr>
            </w:pPr>
            <w:proofErr w:type="spellStart"/>
            <w:r>
              <w:rPr>
                <w:rFonts w:cs="Times New Roman" w:hint="eastAsia"/>
                <w:kern w:val="0"/>
                <w:szCs w:val="20"/>
              </w:rPr>
              <w:t>Firmicutes</w:t>
            </w:r>
            <w:proofErr w:type="spellEnd"/>
          </w:p>
        </w:tc>
        <w:tc>
          <w:tcPr>
            <w:tcW w:w="2866" w:type="dxa"/>
            <w:noWrap/>
          </w:tcPr>
          <w:p w:rsidR="00300703" w:rsidRDefault="00B73693">
            <w:pPr>
              <w:jc w:val="center"/>
              <w:rPr>
                <w:rFonts w:cs="Times New Roman"/>
                <w:kern w:val="0"/>
                <w:szCs w:val="20"/>
              </w:rPr>
            </w:pPr>
            <w:r>
              <w:rPr>
                <w:rFonts w:cs="Times New Roman" w:hint="eastAsia"/>
                <w:kern w:val="0"/>
                <w:szCs w:val="20"/>
              </w:rPr>
              <w:t>0.001117</w:t>
            </w:r>
          </w:p>
        </w:tc>
      </w:tr>
      <w:tr w:rsidR="00300703">
        <w:trPr>
          <w:trHeight w:val="57"/>
          <w:jc w:val="center"/>
        </w:trPr>
        <w:tc>
          <w:tcPr>
            <w:tcW w:w="2776" w:type="dxa"/>
            <w:noWrap/>
          </w:tcPr>
          <w:p w:rsidR="00300703" w:rsidRDefault="00B73693">
            <w:pPr>
              <w:jc w:val="center"/>
              <w:rPr>
                <w:rFonts w:cs="Times New Roman"/>
                <w:kern w:val="0"/>
                <w:szCs w:val="20"/>
              </w:rPr>
            </w:pPr>
            <w:proofErr w:type="spellStart"/>
            <w:r>
              <w:rPr>
                <w:rFonts w:cs="Times New Roman" w:hint="eastAsia"/>
                <w:kern w:val="0"/>
                <w:szCs w:val="20"/>
              </w:rPr>
              <w:t>Chloroflexi</w:t>
            </w:r>
            <w:proofErr w:type="spellEnd"/>
          </w:p>
        </w:tc>
        <w:tc>
          <w:tcPr>
            <w:tcW w:w="2866" w:type="dxa"/>
            <w:noWrap/>
          </w:tcPr>
          <w:p w:rsidR="00300703" w:rsidRDefault="00B73693">
            <w:pPr>
              <w:jc w:val="center"/>
              <w:rPr>
                <w:rFonts w:cs="Times New Roman"/>
                <w:kern w:val="0"/>
                <w:szCs w:val="20"/>
              </w:rPr>
            </w:pPr>
            <w:r>
              <w:rPr>
                <w:rFonts w:cs="Times New Roman" w:hint="eastAsia"/>
                <w:kern w:val="0"/>
                <w:szCs w:val="20"/>
              </w:rPr>
              <w:t>0.0006</w:t>
            </w:r>
          </w:p>
        </w:tc>
      </w:tr>
      <w:tr w:rsidR="00300703">
        <w:trPr>
          <w:trHeight w:val="57"/>
          <w:jc w:val="center"/>
        </w:trPr>
        <w:tc>
          <w:tcPr>
            <w:tcW w:w="2776" w:type="dxa"/>
            <w:noWrap/>
          </w:tcPr>
          <w:p w:rsidR="00300703" w:rsidRDefault="00B73693">
            <w:pPr>
              <w:jc w:val="center"/>
              <w:rPr>
                <w:rFonts w:cs="Times New Roman"/>
                <w:kern w:val="0"/>
                <w:szCs w:val="20"/>
              </w:rPr>
            </w:pPr>
            <w:bookmarkStart w:id="9" w:name="_Hlk47507990"/>
            <w:proofErr w:type="spellStart"/>
            <w:r>
              <w:rPr>
                <w:rFonts w:cs="Times New Roman" w:hint="eastAsia"/>
                <w:kern w:val="0"/>
                <w:szCs w:val="20"/>
              </w:rPr>
              <w:t>Euryarchaeota</w:t>
            </w:r>
            <w:bookmarkEnd w:id="9"/>
            <w:proofErr w:type="spellEnd"/>
          </w:p>
        </w:tc>
        <w:tc>
          <w:tcPr>
            <w:tcW w:w="2866" w:type="dxa"/>
            <w:noWrap/>
          </w:tcPr>
          <w:p w:rsidR="00300703" w:rsidRDefault="00B73693">
            <w:pPr>
              <w:jc w:val="center"/>
              <w:rPr>
                <w:rFonts w:cs="Times New Roman"/>
                <w:kern w:val="0"/>
                <w:szCs w:val="20"/>
              </w:rPr>
            </w:pPr>
            <w:r>
              <w:rPr>
                <w:rFonts w:cs="Times New Roman" w:hint="eastAsia"/>
                <w:kern w:val="0"/>
                <w:szCs w:val="20"/>
              </w:rPr>
              <w:t>0.000638</w:t>
            </w:r>
          </w:p>
        </w:tc>
      </w:tr>
      <w:tr w:rsidR="00300703">
        <w:trPr>
          <w:trHeight w:val="57"/>
          <w:jc w:val="center"/>
        </w:trPr>
        <w:tc>
          <w:tcPr>
            <w:tcW w:w="2776" w:type="dxa"/>
            <w:tcBorders>
              <w:bottom w:val="single" w:sz="4" w:space="0" w:color="auto"/>
            </w:tcBorders>
            <w:noWrap/>
          </w:tcPr>
          <w:p w:rsidR="00300703" w:rsidRDefault="00B73693">
            <w:pPr>
              <w:jc w:val="center"/>
              <w:rPr>
                <w:rFonts w:cs="Times New Roman"/>
                <w:kern w:val="0"/>
                <w:szCs w:val="20"/>
              </w:rPr>
            </w:pPr>
            <w:r>
              <w:rPr>
                <w:rFonts w:cs="Times New Roman" w:hint="eastAsia"/>
                <w:kern w:val="0"/>
                <w:szCs w:val="20"/>
              </w:rPr>
              <w:lastRenderedPageBreak/>
              <w:t>Others</w:t>
            </w:r>
          </w:p>
        </w:tc>
        <w:tc>
          <w:tcPr>
            <w:tcW w:w="2866" w:type="dxa"/>
            <w:tcBorders>
              <w:bottom w:val="single" w:sz="4" w:space="0" w:color="auto"/>
            </w:tcBorders>
            <w:noWrap/>
          </w:tcPr>
          <w:p w:rsidR="00300703" w:rsidRDefault="00B73693">
            <w:pPr>
              <w:jc w:val="center"/>
              <w:rPr>
                <w:rFonts w:cs="Times New Roman"/>
                <w:kern w:val="0"/>
                <w:szCs w:val="20"/>
              </w:rPr>
            </w:pPr>
            <w:r>
              <w:rPr>
                <w:rFonts w:cs="Times New Roman" w:hint="eastAsia"/>
                <w:kern w:val="0"/>
                <w:szCs w:val="20"/>
              </w:rPr>
              <w:t>0.002235</w:t>
            </w:r>
          </w:p>
        </w:tc>
      </w:tr>
    </w:tbl>
    <w:p w:rsidR="00300703" w:rsidRDefault="00300703"/>
    <w:sectPr w:rsidR="00300703" w:rsidSect="00040474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709C0" w:rsidRDefault="00B73693">
      <w:r>
        <w:separator/>
      </w:r>
    </w:p>
  </w:endnote>
  <w:endnote w:type="continuationSeparator" w:id="0">
    <w:p w:rsidR="005709C0" w:rsidRDefault="00B7369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00703" w:rsidRDefault="00B73693">
    <w:pPr>
      <w:pStyle w:val="Footer"/>
    </w:pPr>
    <w:r>
      <w:rPr>
        <w:noProof/>
        <w:lang w:val="en-PH" w:eastAsia="en-PH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300703" w:rsidRDefault="00B73693">
                          <w:pPr>
                            <w:pStyle w:val="Footer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 w:rsidR="00040474">
                            <w:rPr>
                              <w:noProof/>
                            </w:rP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本框 1" o:spid="_x0000_s1026" type="#_x0000_t202" style="position:absolute;margin-left:0;margin-top:0;width:2in;height:2in;z-index:251659264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" filled="f" stroked="f" strokeweight=".5pt">
              <v:textbox style="mso-fit-shape-to-text:t" inset="0,0,0,0">
                <w:txbxContent>
                  <w:p w:rsidR="00300703" w:rsidRDefault="00B73693">
                    <w:pPr>
                      <w:pStyle w:val="Footer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 w:rsidR="00040474">
                      <w:rPr>
                        <w:noProof/>
                      </w:rP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00703" w:rsidRDefault="00B73693">
      <w:r>
        <w:separator/>
      </w:r>
    </w:p>
  </w:footnote>
  <w:footnote w:type="continuationSeparator" w:id="0">
    <w:p w:rsidR="00300703" w:rsidRDefault="00B73693">
      <w:r>
        <w:continuationSeparator/>
      </w:r>
    </w:p>
  </w:footnote>
  <w:footnote w:id="1">
    <w:p w:rsidR="00300703" w:rsidRDefault="00B73693">
      <w:pPr>
        <w:pStyle w:val="FootnoteText"/>
        <w:spacing w:after="120"/>
        <w:rPr>
          <w:rFonts w:eastAsia="Times New Roman" w:cs="Times New Roman"/>
        </w:rPr>
      </w:pPr>
      <w:r>
        <w:rPr>
          <w:rStyle w:val="FootnoteReference"/>
        </w:rPr>
        <w:sym w:font="Symbol" w:char="F02A"/>
      </w:r>
      <w:r>
        <w:t xml:space="preserve"> Corresponding authors: </w:t>
      </w:r>
      <w:proofErr w:type="spellStart"/>
      <w:r>
        <w:t>Mutai</w:t>
      </w:r>
      <w:proofErr w:type="spellEnd"/>
      <w:r>
        <w:t xml:space="preserve"> </w:t>
      </w:r>
      <w:proofErr w:type="spellStart"/>
      <w:r>
        <w:t>Bao</w:t>
      </w:r>
      <w:proofErr w:type="spellEnd"/>
      <w:r>
        <w:t xml:space="preserve">. E-mail address: mtbao@ouc.edu.cn (M. </w:t>
      </w:r>
      <w:proofErr w:type="spellStart"/>
      <w:r>
        <w:t>Bao</w:t>
      </w:r>
      <w:proofErr w:type="spellEnd"/>
      <w:r>
        <w:t>). Tel/Fax</w:t>
      </w:r>
      <w:proofErr w:type="gramStart"/>
      <w:r>
        <w:t>:+</w:t>
      </w:r>
      <w:proofErr w:type="gramEnd"/>
      <w:r>
        <w:t xml:space="preserve">86-532-66782509. Postal address: No. 238 </w:t>
      </w:r>
      <w:proofErr w:type="spellStart"/>
      <w:r>
        <w:t>Songling</w:t>
      </w:r>
      <w:proofErr w:type="spellEnd"/>
      <w:r>
        <w:t xml:space="preserve"> Road, Qingdao, Shandong Province, China, 266100. </w:t>
      </w:r>
      <w:bookmarkStart w:id="1" w:name="_Hlk85050283"/>
      <w:proofErr w:type="spellStart"/>
      <w:r>
        <w:rPr>
          <w:rFonts w:hint="eastAsia"/>
        </w:rPr>
        <w:t>Peiyan</w:t>
      </w:r>
      <w:proofErr w:type="spellEnd"/>
      <w:r>
        <w:t xml:space="preserve"> </w:t>
      </w:r>
      <w:r>
        <w:rPr>
          <w:rFonts w:hint="eastAsia"/>
        </w:rPr>
        <w:t>Sun</w:t>
      </w:r>
      <w:r>
        <w:t xml:space="preserve">. E-mail address: </w:t>
      </w:r>
      <w:hyperlink r:id="rId1" w:history="1">
        <w:r>
          <w:rPr>
            <w:rStyle w:val="Hyperlink"/>
            <w:rFonts w:hint="eastAsia"/>
          </w:rPr>
          <w:t>sunpeiyan@ncs.mnr.gov.cn</w:t>
        </w:r>
      </w:hyperlink>
      <w:r>
        <w:rPr>
          <w:rFonts w:hint="eastAsia"/>
        </w:rPr>
        <w:t xml:space="preserve"> </w:t>
      </w:r>
      <w:r>
        <w:t>(</w:t>
      </w:r>
      <w:r>
        <w:rPr>
          <w:rFonts w:hint="eastAsia"/>
        </w:rPr>
        <w:t>Y</w:t>
      </w:r>
      <w:r>
        <w:t xml:space="preserve">. </w:t>
      </w:r>
      <w:r>
        <w:rPr>
          <w:rFonts w:hint="eastAsia"/>
        </w:rPr>
        <w:t>Sun</w:t>
      </w:r>
      <w:r>
        <w:t xml:space="preserve">). Postal address: No. </w:t>
      </w:r>
      <w:r>
        <w:rPr>
          <w:rFonts w:hint="eastAsia"/>
        </w:rPr>
        <w:t>22</w:t>
      </w:r>
      <w:r>
        <w:t xml:space="preserve"> </w:t>
      </w:r>
      <w:r>
        <w:rPr>
          <w:rFonts w:hint="eastAsia"/>
        </w:rPr>
        <w:t>Fushun</w:t>
      </w:r>
      <w:r>
        <w:t xml:space="preserve"> Road, Qingdao, Shandong Province, China, 266</w:t>
      </w:r>
      <w:r>
        <w:rPr>
          <w:rFonts w:hint="eastAsia"/>
        </w:rPr>
        <w:t>033</w:t>
      </w:r>
      <w:r>
        <w:t>.</w:t>
      </w:r>
      <w:bookmarkEnd w:id="1"/>
    </w:p>
  </w:footnote>
  <w:footnote w:id="2">
    <w:p w:rsidR="00300703" w:rsidRDefault="00300703">
      <w:pPr>
        <w:pStyle w:val="FootnoteText"/>
        <w:spacing w:after="120"/>
        <w:rPr>
          <w:rFonts w:eastAsia="Times New Roman" w:cs="Times New Roman"/>
        </w:rPr>
      </w:pP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embedSystemFonts/>
  <w:bordersDoNotSurroundHeader/>
  <w:bordersDoNotSurroundFooter/>
  <w:proofState w:spelling="clean" w:grammar="clean"/>
  <w:revisionView w:markup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jM4MDFhNzEyMDgyNWNlZGNkOGZlMTg4MDRlNzg3NGQifQ=="/>
  </w:docVars>
  <w:rsids>
    <w:rsidRoot w:val="56866ABB"/>
    <w:rsid w:val="00040474"/>
    <w:rsid w:val="00040D64"/>
    <w:rsid w:val="000C6686"/>
    <w:rsid w:val="0010217C"/>
    <w:rsid w:val="002607DB"/>
    <w:rsid w:val="002917D2"/>
    <w:rsid w:val="002D2B42"/>
    <w:rsid w:val="002D3534"/>
    <w:rsid w:val="00300703"/>
    <w:rsid w:val="0039306F"/>
    <w:rsid w:val="003B5ADC"/>
    <w:rsid w:val="003B604B"/>
    <w:rsid w:val="003F5DCC"/>
    <w:rsid w:val="004A75D5"/>
    <w:rsid w:val="00513EC8"/>
    <w:rsid w:val="005204C7"/>
    <w:rsid w:val="00520A6A"/>
    <w:rsid w:val="005709C0"/>
    <w:rsid w:val="005C4794"/>
    <w:rsid w:val="005F082B"/>
    <w:rsid w:val="0061173D"/>
    <w:rsid w:val="00681591"/>
    <w:rsid w:val="006B178A"/>
    <w:rsid w:val="00705D41"/>
    <w:rsid w:val="00745403"/>
    <w:rsid w:val="007A15FE"/>
    <w:rsid w:val="007F027C"/>
    <w:rsid w:val="00832F40"/>
    <w:rsid w:val="008346A1"/>
    <w:rsid w:val="00846BE2"/>
    <w:rsid w:val="00871830"/>
    <w:rsid w:val="00911591"/>
    <w:rsid w:val="00982275"/>
    <w:rsid w:val="00A0028A"/>
    <w:rsid w:val="00B53ADF"/>
    <w:rsid w:val="00B73693"/>
    <w:rsid w:val="00BC0A80"/>
    <w:rsid w:val="00C23967"/>
    <w:rsid w:val="00C2489F"/>
    <w:rsid w:val="00C73907"/>
    <w:rsid w:val="00CA2EC9"/>
    <w:rsid w:val="00CB594A"/>
    <w:rsid w:val="00CC589D"/>
    <w:rsid w:val="00CD0648"/>
    <w:rsid w:val="00D33F46"/>
    <w:rsid w:val="00D376A7"/>
    <w:rsid w:val="00DA0121"/>
    <w:rsid w:val="00DB0108"/>
    <w:rsid w:val="00DF0773"/>
    <w:rsid w:val="00E075B8"/>
    <w:rsid w:val="00E2646D"/>
    <w:rsid w:val="00EB1918"/>
    <w:rsid w:val="00EC15A0"/>
    <w:rsid w:val="00F65F24"/>
    <w:rsid w:val="00F81A2E"/>
    <w:rsid w:val="00FF4F06"/>
    <w:rsid w:val="01B10FE5"/>
    <w:rsid w:val="0956362C"/>
    <w:rsid w:val="0B4A2446"/>
    <w:rsid w:val="0CD26ABD"/>
    <w:rsid w:val="0F66217A"/>
    <w:rsid w:val="113A263D"/>
    <w:rsid w:val="14AB1989"/>
    <w:rsid w:val="168B1D57"/>
    <w:rsid w:val="17B729DF"/>
    <w:rsid w:val="184C2D42"/>
    <w:rsid w:val="19377C8F"/>
    <w:rsid w:val="19A54822"/>
    <w:rsid w:val="1ADB159F"/>
    <w:rsid w:val="24CA1728"/>
    <w:rsid w:val="2C385DA0"/>
    <w:rsid w:val="2C9479A1"/>
    <w:rsid w:val="2FED0D77"/>
    <w:rsid w:val="380629F1"/>
    <w:rsid w:val="3E66054B"/>
    <w:rsid w:val="3FA75DEE"/>
    <w:rsid w:val="40555BB9"/>
    <w:rsid w:val="42F531E7"/>
    <w:rsid w:val="47297221"/>
    <w:rsid w:val="4A3E412A"/>
    <w:rsid w:val="4EA92B80"/>
    <w:rsid w:val="52DF3B79"/>
    <w:rsid w:val="52F156C3"/>
    <w:rsid w:val="56866ABB"/>
    <w:rsid w:val="601D1E88"/>
    <w:rsid w:val="620B6A77"/>
    <w:rsid w:val="6B791BEE"/>
    <w:rsid w:val="6CB65A1C"/>
    <w:rsid w:val="6E882730"/>
    <w:rsid w:val="6ECB7DD2"/>
    <w:rsid w:val="76AF1CF4"/>
    <w:rsid w:val="7A18751B"/>
    <w:rsid w:val="7E2C01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3"/>
    <o:shapelayout v:ext="edit">
      <o:idmap v:ext="edit" data="1"/>
    </o:shapelayout>
  </w:shapeDefaults>
  <w:decimalSymbol w:val="."/>
  <w:listSeparator w:val=","/>
  <w15:docId w15:val="{627BA62F-1E55-4561-83EC-5B7ED4DAEB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en-PH" w:eastAsia="en-PH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note text" w:semiHidden="1" w:uiPriority="99" w:unhideWhenUsed="1" w:qFormat="1"/>
    <w:lsdException w:name="header" w:qFormat="1"/>
    <w:lsdException w:name="footer" w:qFormat="1"/>
    <w:lsdException w:name="caption" w:semiHidden="1" w:unhideWhenUsed="1" w:qFormat="1"/>
    <w:lsdException w:name="footnote reference" w:semiHidden="1" w:uiPriority="99" w:qFormat="1"/>
    <w:lsdException w:name="line number" w:qFormat="1"/>
    <w:lsdException w:name="Title" w:qFormat="1"/>
    <w:lsdException w:name="Default Paragraph Font" w:semiHidden="1" w:uiPriority="1" w:unhideWhenUsed="1" w:qFormat="1"/>
    <w:lsdException w:name="Subtitle" w:qFormat="1"/>
    <w:lsdException w:name="Hyperlink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qFormat="1"/>
    <w:lsdException w:name="Normal Table" w:semiHidden="1" w:uiPriority="99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widowControl w:val="0"/>
      <w:jc w:val="both"/>
    </w:pPr>
    <w:rPr>
      <w:rFonts w:ascii="Times New Roman" w:hAnsi="Times New Roman"/>
      <w:kern w:val="2"/>
      <w:sz w:val="21"/>
      <w:szCs w:val="24"/>
      <w:lang w:val="en-US" w:eastAsia="zh-CN"/>
    </w:rPr>
  </w:style>
  <w:style w:type="paragraph" w:styleId="Heading1">
    <w:name w:val="heading 1"/>
    <w:basedOn w:val="Normal"/>
    <w:next w:val="Normal"/>
    <w:qFormat/>
    <w:pPr>
      <w:keepNext/>
      <w:keepLines/>
      <w:outlineLvl w:val="0"/>
    </w:pPr>
    <w:rPr>
      <w:b/>
      <w:kern w:val="4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qFormat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Header">
    <w:name w:val="header"/>
    <w:basedOn w:val="Normal"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FootnoteText">
    <w:name w:val="footnote text"/>
    <w:basedOn w:val="Normal"/>
    <w:uiPriority w:val="99"/>
    <w:semiHidden/>
    <w:unhideWhenUsed/>
    <w:qFormat/>
    <w:pPr>
      <w:snapToGrid w:val="0"/>
      <w:jc w:val="left"/>
    </w:pPr>
    <w:rPr>
      <w:sz w:val="18"/>
      <w:szCs w:val="18"/>
    </w:rPr>
  </w:style>
  <w:style w:type="paragraph" w:styleId="NormalWeb">
    <w:name w:val="Normal (Web)"/>
    <w:basedOn w:val="Normal"/>
    <w:qFormat/>
    <w:pPr>
      <w:spacing w:beforeAutospacing="1" w:afterAutospacing="1"/>
      <w:jc w:val="left"/>
    </w:pPr>
    <w:rPr>
      <w:rFonts w:cs="Times New Roman"/>
      <w:kern w:val="0"/>
    </w:rPr>
  </w:style>
  <w:style w:type="character" w:styleId="LineNumber">
    <w:name w:val="line number"/>
    <w:basedOn w:val="DefaultParagraphFont"/>
    <w:qFormat/>
  </w:style>
  <w:style w:type="character" w:styleId="Hyperlink">
    <w:name w:val="Hyperlink"/>
    <w:basedOn w:val="DefaultParagraphFont"/>
    <w:qFormat/>
    <w:rPr>
      <w:color w:val="0000FF"/>
      <w:u w:val="single"/>
    </w:rPr>
  </w:style>
  <w:style w:type="character" w:styleId="FootnoteReference">
    <w:name w:val="footnote reference"/>
    <w:basedOn w:val="DefaultParagraphFont"/>
    <w:uiPriority w:val="99"/>
    <w:semiHidden/>
    <w:qFormat/>
    <w:rPr>
      <w:vertAlign w:val="superscript"/>
    </w:rPr>
  </w:style>
  <w:style w:type="paragraph" w:styleId="BalloonText">
    <w:name w:val="Balloon Text"/>
    <w:basedOn w:val="Normal"/>
    <w:link w:val="BalloonTextChar"/>
    <w:rsid w:val="00A0028A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A0028A"/>
    <w:rPr>
      <w:rFonts w:ascii="Segoe UI" w:hAnsi="Segoe UI" w:cs="Segoe UI"/>
      <w:kern w:val="2"/>
      <w:sz w:val="18"/>
      <w:szCs w:val="18"/>
      <w:lang w:val="en-US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oleObject" Target="embeddings/oleObject2.bin"/><Relationship Id="rId18" Type="http://schemas.openxmlformats.org/officeDocument/2006/relationships/image" Target="media/image6.wmf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oleObject" Target="embeddings/oleObject6.bin"/><Relationship Id="rId7" Type="http://schemas.openxmlformats.org/officeDocument/2006/relationships/endnotes" Target="endnotes.xml"/><Relationship Id="rId12" Type="http://schemas.openxmlformats.org/officeDocument/2006/relationships/image" Target="media/image3.wmf"/><Relationship Id="rId17" Type="http://schemas.openxmlformats.org/officeDocument/2006/relationships/oleObject" Target="embeddings/oleObject4.bin"/><Relationship Id="rId25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5.wmf"/><Relationship Id="rId20" Type="http://schemas.openxmlformats.org/officeDocument/2006/relationships/image" Target="media/image7.w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1.bin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3.bin"/><Relationship Id="rId23" Type="http://schemas.openxmlformats.org/officeDocument/2006/relationships/oleObject" Target="embeddings/oleObject7.bin"/><Relationship Id="rId10" Type="http://schemas.openxmlformats.org/officeDocument/2006/relationships/image" Target="media/image2.wmf"/><Relationship Id="rId19" Type="http://schemas.openxmlformats.org/officeDocument/2006/relationships/oleObject" Target="embeddings/oleObject5.bin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image" Target="media/image4.wmf"/><Relationship Id="rId22" Type="http://schemas.openxmlformats.org/officeDocument/2006/relationships/image" Target="media/image8.wmf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mailto:sunpeiyan@ncs.mnr.gov.cn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24703043801039"/>
          <c:y val="3.9808658991405899E-2"/>
          <c:w val="0.837483595800525"/>
          <c:h val="0.79979440069991203"/>
        </c:manualLayout>
      </c:layout>
      <c:lineChart>
        <c:grouping val="standard"/>
        <c:varyColors val="0"/>
        <c:ser>
          <c:idx val="0"/>
          <c:order val="0"/>
          <c:tx>
            <c:strRef>
              <c:f>Sheet2!$B$1</c:f>
              <c:strCache>
                <c:ptCount val="1"/>
                <c:pt idx="0">
                  <c:v>R</c:v>
                </c:pt>
              </c:strCache>
            </c:strRef>
          </c:tx>
          <c:spPr>
            <a:ln w="28575" cap="rnd" cmpd="sng" algn="ctr">
              <a:solidFill>
                <a:schemeClr val="accent1"/>
              </a:solidFill>
              <a:prstDash val="solid"/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 cap="flat" cmpd="sng" algn="ctr">
                <a:solidFill>
                  <a:schemeClr val="accent1"/>
                </a:solidFill>
                <a:prstDash val="solid"/>
                <a:round/>
              </a:ln>
              <a:effectLst/>
            </c:spPr>
          </c:marker>
          <c:cat>
            <c:strRef>
              <c:f>Sheet2!$A$2:$A$7</c:f>
              <c:strCache>
                <c:ptCount val="6"/>
                <c:pt idx="0">
                  <c:v>1d</c:v>
                </c:pt>
                <c:pt idx="1">
                  <c:v>5d</c:v>
                </c:pt>
                <c:pt idx="2">
                  <c:v>7d</c:v>
                </c:pt>
                <c:pt idx="3">
                  <c:v>9d</c:v>
                </c:pt>
                <c:pt idx="4">
                  <c:v>11d</c:v>
                </c:pt>
                <c:pt idx="5">
                  <c:v>13d</c:v>
                </c:pt>
              </c:strCache>
            </c:strRef>
          </c:cat>
          <c:val>
            <c:numRef>
              <c:f>Sheet2!$B$2:$B$7</c:f>
              <c:numCache>
                <c:formatCode>0.00_ </c:formatCode>
                <c:ptCount val="6"/>
                <c:pt idx="0">
                  <c:v>8.3320158102766797</c:v>
                </c:pt>
                <c:pt idx="1">
                  <c:v>6.1581027667984198</c:v>
                </c:pt>
                <c:pt idx="2">
                  <c:v>5.11067193675889</c:v>
                </c:pt>
                <c:pt idx="3">
                  <c:v>6.3359683794466397</c:v>
                </c:pt>
                <c:pt idx="4">
                  <c:v>4.99209486166008</c:v>
                </c:pt>
                <c:pt idx="5">
                  <c:v>7.9367588932806301</c:v>
                </c:pt>
              </c:numCache>
            </c:numRef>
          </c:val>
          <c:smooth val="0"/>
        </c:ser>
        <c:ser>
          <c:idx val="1"/>
          <c:order val="1"/>
          <c:tx>
            <c:strRef>
              <c:f>Sheet2!$C$1</c:f>
              <c:strCache>
                <c:ptCount val="1"/>
                <c:pt idx="0">
                  <c:v>U</c:v>
                </c:pt>
              </c:strCache>
            </c:strRef>
          </c:tx>
          <c:spPr>
            <a:ln w="28575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 cap="flat" cmpd="sng" algn="ctr">
                <a:solidFill>
                  <a:schemeClr val="accent2"/>
                </a:solidFill>
                <a:prstDash val="solid"/>
                <a:round/>
              </a:ln>
              <a:effectLst/>
            </c:spPr>
          </c:marker>
          <c:cat>
            <c:strRef>
              <c:f>Sheet2!$A$2:$A$7</c:f>
              <c:strCache>
                <c:ptCount val="6"/>
                <c:pt idx="0">
                  <c:v>1d</c:v>
                </c:pt>
                <c:pt idx="1">
                  <c:v>5d</c:v>
                </c:pt>
                <c:pt idx="2">
                  <c:v>7d</c:v>
                </c:pt>
                <c:pt idx="3">
                  <c:v>9d</c:v>
                </c:pt>
                <c:pt idx="4">
                  <c:v>11d</c:v>
                </c:pt>
                <c:pt idx="5">
                  <c:v>13d</c:v>
                </c:pt>
              </c:strCache>
            </c:strRef>
          </c:cat>
          <c:val>
            <c:numRef>
              <c:f>Sheet2!$C$2:$C$7</c:f>
              <c:numCache>
                <c:formatCode>0.00_ </c:formatCode>
                <c:ptCount val="6"/>
                <c:pt idx="0">
                  <c:v>12.8190045248869</c:v>
                </c:pt>
                <c:pt idx="1">
                  <c:v>10.0588235294118</c:v>
                </c:pt>
                <c:pt idx="2">
                  <c:v>9.5837104072398205</c:v>
                </c:pt>
                <c:pt idx="3">
                  <c:v>7.7737556561085999</c:v>
                </c:pt>
                <c:pt idx="4">
                  <c:v>9.1312217194570096</c:v>
                </c:pt>
                <c:pt idx="5">
                  <c:v>10.1945701357466</c:v>
                </c:pt>
              </c:numCache>
            </c:numRef>
          </c:val>
          <c:smooth val="0"/>
        </c:ser>
        <c:ser>
          <c:idx val="2"/>
          <c:order val="2"/>
          <c:tx>
            <c:strRef>
              <c:f>Sheet2!$D$1</c:f>
              <c:strCache>
                <c:ptCount val="1"/>
                <c:pt idx="0">
                  <c:v>T</c:v>
                </c:pt>
              </c:strCache>
            </c:strRef>
          </c:tx>
          <c:spPr>
            <a:ln w="28575" cap="rnd" cmpd="sng" algn="ctr">
              <a:solidFill>
                <a:schemeClr val="accent3"/>
              </a:solidFill>
              <a:prstDash val="solid"/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 cap="flat" cmpd="sng" algn="ctr">
                <a:solidFill>
                  <a:schemeClr val="accent3"/>
                </a:solidFill>
                <a:prstDash val="solid"/>
                <a:round/>
              </a:ln>
              <a:effectLst/>
            </c:spPr>
          </c:marker>
          <c:cat>
            <c:strRef>
              <c:f>Sheet2!$A$2:$A$7</c:f>
              <c:strCache>
                <c:ptCount val="6"/>
                <c:pt idx="0">
                  <c:v>1d</c:v>
                </c:pt>
                <c:pt idx="1">
                  <c:v>5d</c:v>
                </c:pt>
                <c:pt idx="2">
                  <c:v>7d</c:v>
                </c:pt>
                <c:pt idx="3">
                  <c:v>9d</c:v>
                </c:pt>
                <c:pt idx="4">
                  <c:v>11d</c:v>
                </c:pt>
                <c:pt idx="5">
                  <c:v>13d</c:v>
                </c:pt>
              </c:strCache>
            </c:strRef>
          </c:cat>
          <c:val>
            <c:numRef>
              <c:f>Sheet2!$D$2:$D$7</c:f>
              <c:numCache>
                <c:formatCode>0.00_ </c:formatCode>
                <c:ptCount val="6"/>
                <c:pt idx="0">
                  <c:v>3.26809748999636</c:v>
                </c:pt>
                <c:pt idx="1">
                  <c:v>4.0865769370680196</c:v>
                </c:pt>
                <c:pt idx="2">
                  <c:v>5.7053473990542001</c:v>
                </c:pt>
                <c:pt idx="3">
                  <c:v>4.8323026555110902</c:v>
                </c:pt>
                <c:pt idx="4">
                  <c:v>4.8868679519825404</c:v>
                </c:pt>
                <c:pt idx="5">
                  <c:v>4.9050563841396899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47745200"/>
        <c:axId val="352835216"/>
      </c:lineChart>
      <c:catAx>
        <c:axId val="347745200"/>
        <c:scaling>
          <c:orientation val="minMax"/>
        </c:scaling>
        <c:delete val="0"/>
        <c:axPos val="b"/>
        <c:title>
          <c:tx>
            <c:rich>
              <a:bodyPr rot="0" spcFirstLastPara="0" vertOverflow="ellipsis" vert="horz" wrap="square" anchor="ctr" anchorCtr="1"/>
              <a:lstStyle/>
              <a:p>
                <a:pPr defTabSz="914400">
                  <a:defRPr lang="zh-CN" sz="11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宋体" panose="02010600030101010101" charset="-122"/>
                    <a:ea typeface="宋体" panose="02010600030101010101" charset="-122"/>
                    <a:cs typeface="+mn-cs"/>
                  </a:defRPr>
                </a:pPr>
                <a:r>
                  <a:rPr lang="en-US" altLang="zh-CN" sz="1100" b="1">
                    <a:latin typeface="Times New Roman" panose="02020603050405020304" charset="0"/>
                    <a:ea typeface="宋体" panose="02010600030101010101" charset="-122"/>
                    <a:cs typeface="Times New Roman" panose="02020603050405020304" charset="0"/>
                  </a:rPr>
                  <a:t>Aging time</a:t>
                </a:r>
                <a:endParaRPr lang="en-US" altLang="zh-CN" sz="1100" b="1" u="heavy">
                  <a:latin typeface="Times New Roman" panose="02020603050405020304" charset="0"/>
                  <a:ea typeface="宋体" panose="02010600030101010101" charset="-122"/>
                  <a:cs typeface="Times New Roman" panose="02020603050405020304" charset="0"/>
                </a:endParaRPr>
              </a:p>
            </c:rich>
          </c:tx>
          <c:layout>
            <c:manualLayout>
              <c:xMode val="edge"/>
              <c:yMode val="edge"/>
              <c:x val="0.44349480326651802"/>
              <c:y val="0.92592592592592604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General" sourceLinked="0"/>
        <c:majorTickMark val="in"/>
        <c:minorTickMark val="none"/>
        <c:tickLblPos val="nextTo"/>
        <c:spPr>
          <a:noFill/>
          <a:ln w="9525" cap="flat" cmpd="sng" algn="ctr">
            <a:solidFill>
              <a:schemeClr val="tx1"/>
            </a:solidFill>
            <a:prstDash val="solid"/>
            <a:round/>
          </a:ln>
          <a:effectLst/>
        </c:spPr>
        <c:txPr>
          <a:bodyPr rot="-60000000" spcFirstLastPara="0" vertOverflow="ellipsis" vert="horz" wrap="square" anchor="ctr" anchorCtr="1"/>
          <a:lstStyle/>
          <a:p>
            <a:pPr>
              <a:defRPr lang="zh-CN" sz="105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charset="0"/>
                <a:ea typeface="+mn-ea"/>
                <a:cs typeface="Times New Roman" panose="02020603050405020304" charset="0"/>
              </a:defRPr>
            </a:pPr>
            <a:endParaRPr lang="en-US"/>
          </a:p>
        </c:txPr>
        <c:crossAx val="352835216"/>
        <c:crosses val="autoZero"/>
        <c:auto val="1"/>
        <c:lblAlgn val="ctr"/>
        <c:lblOffset val="100"/>
        <c:noMultiLvlLbl val="0"/>
      </c:catAx>
      <c:valAx>
        <c:axId val="352835216"/>
        <c:scaling>
          <c:orientation val="minMax"/>
        </c:scaling>
        <c:delete val="0"/>
        <c:axPos val="l"/>
        <c:title>
          <c:tx>
            <c:rich>
              <a:bodyPr rot="-5400000" spcFirstLastPara="0" vertOverflow="ellipsis" vert="horz" wrap="square" anchor="ctr" anchorCtr="1"/>
              <a:lstStyle/>
              <a:p>
                <a:pPr defTabSz="914400">
                  <a:defRPr lang="zh-CN" sz="12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宋体" panose="02010600030101010101" charset="-122"/>
                    <a:ea typeface="宋体" panose="02010600030101010101" charset="-122"/>
                    <a:cs typeface="Times New Roman" panose="02020603050405020304" charset="0"/>
                  </a:defRPr>
                </a:pPr>
                <a:r>
                  <a:rPr lang="en-US" altLang="zh-CN" sz="1200" b="1">
                    <a:latin typeface="Times New Roman" panose="02020603050405020304" charset="0"/>
                    <a:ea typeface="宋体" panose="02010600030101010101" charset="-122"/>
                  </a:rPr>
                  <a:t>Release concentration</a:t>
                </a:r>
                <a:r>
                  <a:rPr lang="zh-CN" altLang="en-US" sz="1200" b="1">
                    <a:latin typeface="Times New Roman" panose="02020603050405020304" charset="0"/>
                    <a:ea typeface="宋体" panose="02010600030101010101" charset="-122"/>
                  </a:rPr>
                  <a:t>（</a:t>
                </a:r>
                <a:r>
                  <a:rPr lang="en-US" altLang="zh-CN" sz="1200" b="1">
                    <a:latin typeface="Times New Roman" panose="02020603050405020304" charset="0"/>
                    <a:ea typeface="宋体" panose="02010600030101010101" charset="-122"/>
                  </a:rPr>
                  <a:t>mg/L</a:t>
                </a:r>
                <a:r>
                  <a:rPr lang="en-US" altLang="en-US" sz="1200" b="1">
                    <a:latin typeface="Times New Roman" panose="02020603050405020304" charset="0"/>
                    <a:ea typeface="宋体" panose="02010600030101010101" charset="-122"/>
                  </a:rPr>
                  <a:t>）</a:t>
                </a:r>
                <a:endParaRPr lang="en-US" altLang="zh-CN" sz="1200" b="1">
                  <a:latin typeface="Times New Roman" panose="02020603050405020304" charset="0"/>
                  <a:ea typeface="宋体" panose="02010600030101010101" charset="-122"/>
                </a:endParaRPr>
              </a:p>
            </c:rich>
          </c:tx>
          <c:layout/>
          <c:overlay val="0"/>
          <c:spPr>
            <a:noFill/>
            <a:ln>
              <a:noFill/>
            </a:ln>
            <a:effectLst/>
          </c:spPr>
        </c:title>
        <c:numFmt formatCode="0.0_);[Red]\(0.0\)" sourceLinked="0"/>
        <c:majorTickMark val="in"/>
        <c:minorTickMark val="none"/>
        <c:tickLblPos val="nextTo"/>
        <c:spPr>
          <a:noFill/>
          <a:ln w="6350" cap="flat" cmpd="sng" algn="ctr">
            <a:solidFill>
              <a:schemeClr val="tx1"/>
            </a:solidFill>
            <a:prstDash val="solid"/>
            <a:round/>
          </a:ln>
          <a:effectLst/>
        </c:spPr>
        <c:txPr>
          <a:bodyPr rot="-60000000" spcFirstLastPara="0" vertOverflow="ellipsis" vert="horz" wrap="square" anchor="ctr" anchorCtr="1"/>
          <a:lstStyle/>
          <a:p>
            <a:pPr>
              <a:defRPr lang="zh-CN" sz="10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charset="0"/>
                <a:ea typeface="+mn-ea"/>
                <a:cs typeface="Times New Roman" panose="02020603050405020304" charset="0"/>
              </a:defRPr>
            </a:pPr>
            <a:endParaRPr lang="en-US"/>
          </a:p>
        </c:txPr>
        <c:crossAx val="34774520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0" vertOverflow="ellipsis" vert="horz" wrap="square" anchor="ctr" anchorCtr="1"/>
          <a:lstStyle/>
          <a:p>
            <a:pPr>
              <a:defRPr lang="zh-CN" sz="14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charset="0"/>
                <a:ea typeface="+mn-ea"/>
                <a:cs typeface="Times New Roman" panose="02020603050405020304" charset="0"/>
              </a:defRPr>
            </a:pPr>
            <a:endParaRPr lang="en-US"/>
          </a:p>
        </c:txPr>
      </c:legendEntry>
      <c:legendEntry>
        <c:idx val="1"/>
        <c:txPr>
          <a:bodyPr rot="0" spcFirstLastPara="0" vertOverflow="ellipsis" vert="horz" wrap="square" anchor="ctr" anchorCtr="1"/>
          <a:lstStyle/>
          <a:p>
            <a:pPr>
              <a:defRPr lang="zh-CN" sz="14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charset="0"/>
                <a:ea typeface="+mn-ea"/>
                <a:cs typeface="Times New Roman" panose="02020603050405020304" charset="0"/>
              </a:defRPr>
            </a:pPr>
            <a:endParaRPr lang="en-US"/>
          </a:p>
        </c:txPr>
      </c:legendEntry>
      <c:legendEntry>
        <c:idx val="2"/>
        <c:txPr>
          <a:bodyPr rot="0" spcFirstLastPara="0" vertOverflow="ellipsis" vert="horz" wrap="square" anchor="ctr" anchorCtr="1"/>
          <a:lstStyle/>
          <a:p>
            <a:pPr>
              <a:defRPr lang="zh-CN" sz="14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charset="0"/>
                <a:ea typeface="+mn-ea"/>
                <a:cs typeface="Times New Roman" panose="02020603050405020304" charset="0"/>
              </a:defRPr>
            </a:pPr>
            <a:endParaRPr lang="en-US"/>
          </a:p>
        </c:txPr>
      </c:legendEntry>
      <c:layout>
        <c:manualLayout>
          <c:xMode val="edge"/>
          <c:yMode val="edge"/>
          <c:x val="0.51637899034892398"/>
          <c:y val="5.0591859899464901E-2"/>
        </c:manualLayout>
      </c:layout>
      <c:overlay val="0"/>
      <c:spPr>
        <a:noFill/>
        <a:ln>
          <a:noFill/>
        </a:ln>
        <a:effectLst/>
      </c:spPr>
      <c:txPr>
        <a:bodyPr rot="0" spcFirstLastPara="0" vertOverflow="ellipsis" vert="horz" wrap="square" anchor="ctr" anchorCtr="1"/>
        <a:lstStyle/>
        <a:p>
          <a:pPr>
            <a:defRPr lang="zh-CN" sz="14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charset="0"/>
              <a:ea typeface="+mn-ea"/>
              <a:cs typeface="Times New Roman" panose="02020603050405020304" charset="0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prstDash val="solid"/>
      <a:round/>
    </a:ln>
    <a:effectLst/>
  </c:spPr>
  <c:txPr>
    <a:bodyPr/>
    <a:lstStyle/>
    <a:p>
      <a:pPr>
        <a:defRPr lang="zh-CN"/>
      </a:pPr>
      <a:endParaRPr lang="en-US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28B48166-C72F-4A47-929C-B8A3F43A80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10</Pages>
  <Words>957</Words>
  <Characters>5028</Characters>
  <Application>Microsoft Office Word</Application>
  <DocSecurity>0</DocSecurity>
  <Lines>41</Lines>
  <Paragraphs>11</Paragraphs>
  <ScaleCrop>false</ScaleCrop>
  <Company>MTC</Company>
  <LinksUpToDate>false</LinksUpToDate>
  <CharactersWithSpaces>5974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董冬冬</dc:creator>
  <cp:lastModifiedBy>MTC</cp:lastModifiedBy>
  <cp:revision>6</cp:revision>
  <cp:lastPrinted>2022-07-31T05:52:00Z</cp:lastPrinted>
  <dcterms:created xsi:type="dcterms:W3CDTF">2022-08-15T06:10:00Z</dcterms:created>
  <dcterms:modified xsi:type="dcterms:W3CDTF">2022-09-19T05:04:00Z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2052-11.1.0.12358</vt:lpwstr>
  </property>
  <property fmtid="{D5CDD505-2E9C-101B-9397-08002B2CF9AE}" pid="3" name="ICV">
    <vt:lpwstr>8530D51AE2D04BF3B1DC5438DB6AB9E5</vt:lpwstr>
  </property>
</Properties>
</file>