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391833" w:rsidR="00391833" w:rsidP="00391833" w:rsidRDefault="00391833" w14:paraId="01EF023A" w14:textId="27437251">
      <w:pPr>
        <w:rPr>
          <w:rFonts w:cs="Times New Roman"/>
          <w:b/>
          <w:bCs/>
        </w:rPr>
      </w:pPr>
      <w:r w:rsidRPr="003B7D52">
        <w:rPr>
          <w:rFonts w:cs="Times New Roman"/>
          <w:b/>
          <w:bCs/>
        </w:rPr>
        <w:t>Supplementary Data</w:t>
      </w:r>
    </w:p>
    <w:p w:rsidRPr="00171385" w:rsidR="009A0BDD" w:rsidP="009A0BDD" w:rsidRDefault="009A0BDD" w14:paraId="568F4D43" w14:textId="13B3F109">
      <w:pPr>
        <w:rPr>
          <w:rFonts w:cs="Times New Roman"/>
          <w:sz w:val="22"/>
        </w:rPr>
      </w:pPr>
      <w:r>
        <w:rPr>
          <w:rFonts w:cs="Times New Roman"/>
          <w:b/>
          <w:bCs/>
          <w:sz w:val="22"/>
        </w:rPr>
        <w:t xml:space="preserve">Supplementary </w:t>
      </w:r>
      <w:r w:rsidRPr="00171385">
        <w:rPr>
          <w:rFonts w:cs="Times New Roman"/>
          <w:b/>
          <w:bCs/>
          <w:sz w:val="22"/>
        </w:rPr>
        <w:t xml:space="preserve">Table </w:t>
      </w:r>
      <w:r>
        <w:rPr>
          <w:rFonts w:cs="Times New Roman"/>
          <w:b/>
          <w:bCs/>
        </w:rPr>
        <w:t>1</w:t>
      </w:r>
      <w:r w:rsidRPr="00171385">
        <w:rPr>
          <w:rFonts w:cs="Times New Roman"/>
          <w:b/>
          <w:bCs/>
          <w:sz w:val="22"/>
        </w:rPr>
        <w:t>.</w:t>
      </w:r>
      <w:r w:rsidRPr="00171385">
        <w:rPr>
          <w:rFonts w:cs="Times New Roman"/>
          <w:sz w:val="22"/>
        </w:rPr>
        <w:t xml:space="preserve"> Results of </w:t>
      </w:r>
      <w:r w:rsidRPr="00171385">
        <w:rPr>
          <w:rFonts w:cs="Times New Roman"/>
          <w:i/>
          <w:iCs/>
          <w:sz w:val="22"/>
        </w:rPr>
        <w:t>in-vivo</w:t>
      </w:r>
      <w:r w:rsidRPr="00171385">
        <w:rPr>
          <w:rFonts w:cs="Times New Roman"/>
          <w:sz w:val="22"/>
        </w:rPr>
        <w:t xml:space="preserve"> </w:t>
      </w:r>
      <w:r w:rsidR="00A57CF6">
        <w:rPr>
          <w:rFonts w:cs="Times New Roman"/>
          <w:sz w:val="22"/>
        </w:rPr>
        <w:t xml:space="preserve">vaccine efficacy </w:t>
      </w:r>
      <w:r w:rsidRPr="00171385">
        <w:rPr>
          <w:rFonts w:cs="Times New Roman"/>
          <w:sz w:val="22"/>
        </w:rPr>
        <w:t>studies</w:t>
      </w:r>
      <w:r>
        <w:rPr>
          <w:rFonts w:cs="Times New Roman"/>
        </w:rPr>
        <w:t xml:space="preserve"> in the literature</w:t>
      </w:r>
      <w:r w:rsidR="003F08A0">
        <w:rPr>
          <w:rFonts w:cs="Times New Roman"/>
        </w:rPr>
        <w:t>, which could be used to inform the vaccine coverage score</w:t>
      </w:r>
      <w:r>
        <w:rPr>
          <w:rFonts w:cs="Times New Roman"/>
        </w:rPr>
        <w:t>.</w:t>
      </w:r>
    </w:p>
    <w:tbl>
      <w:tblPr>
        <w:tblStyle w:val="TableGrid"/>
        <w:tblW w:w="1091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val="04A0" w:firstRow="1" w:lastRow="0" w:firstColumn="1" w:lastColumn="0" w:noHBand="0" w:noVBand="1"/>
      </w:tblPr>
      <w:tblGrid>
        <w:gridCol w:w="2268"/>
        <w:gridCol w:w="2409"/>
        <w:gridCol w:w="1842"/>
        <w:gridCol w:w="1701"/>
        <w:gridCol w:w="1276"/>
        <w:gridCol w:w="1418"/>
      </w:tblGrid>
      <w:tr w:rsidRPr="00171385" w:rsidR="009A0BDD" w:rsidTr="00402929" w14:paraId="5D1EEF03" w14:textId="77777777">
        <w:trPr>
          <w:trHeight w:val="946"/>
        </w:trPr>
        <w:tc>
          <w:tcPr>
            <w:tcW w:w="2268" w:type="dxa"/>
            <w:tcBorders>
              <w:top w:val="single" w:color="auto" w:sz="4" w:space="0"/>
              <w:bottom w:val="single" w:color="auto" w:sz="4" w:space="0"/>
            </w:tcBorders>
            <w:vAlign w:val="center"/>
            <w:hideMark/>
          </w:tcPr>
          <w:p w:rsidRPr="00192643" w:rsidR="009A0BDD" w:rsidP="001D212C" w:rsidRDefault="009A0BDD" w14:paraId="5293F6E1" w14:textId="77777777">
            <w:pPr>
              <w:spacing w:before="40" w:after="40"/>
              <w:rPr>
                <w:rFonts w:cs="Times New Roman"/>
                <w:b/>
                <w:bCs/>
                <w:sz w:val="20"/>
                <w:szCs w:val="20"/>
              </w:rPr>
            </w:pPr>
            <w:r w:rsidRPr="00192643">
              <w:rPr>
                <w:rFonts w:cs="Times New Roman"/>
                <w:b/>
                <w:bCs/>
                <w:sz w:val="20"/>
                <w:szCs w:val="20"/>
              </w:rPr>
              <w:t xml:space="preserve">Challenge virus </w:t>
            </w:r>
          </w:p>
        </w:tc>
        <w:tc>
          <w:tcPr>
            <w:tcW w:w="2409" w:type="dxa"/>
            <w:tcBorders>
              <w:top w:val="single" w:color="auto" w:sz="4" w:space="0"/>
              <w:bottom w:val="single" w:color="auto" w:sz="4" w:space="0"/>
            </w:tcBorders>
            <w:vAlign w:val="center"/>
          </w:tcPr>
          <w:p w:rsidRPr="00192643" w:rsidR="009A0BDD" w:rsidP="001D212C" w:rsidRDefault="009A0BDD" w14:paraId="1172F307" w14:textId="27D0A359">
            <w:pPr>
              <w:spacing w:before="40" w:after="40"/>
              <w:rPr>
                <w:rFonts w:cs="Times New Roman"/>
                <w:b/>
                <w:bCs/>
                <w:sz w:val="20"/>
                <w:szCs w:val="20"/>
              </w:rPr>
            </w:pPr>
            <w:r w:rsidRPr="00192643">
              <w:rPr>
                <w:rFonts w:cs="Times New Roman"/>
                <w:b/>
                <w:bCs/>
                <w:sz w:val="20"/>
                <w:szCs w:val="20"/>
              </w:rPr>
              <w:t>Vaccine</w:t>
            </w:r>
            <w:r w:rsidR="001D212C">
              <w:rPr>
                <w:rFonts w:cs="Times New Roman"/>
                <w:b/>
                <w:bCs/>
                <w:sz w:val="20"/>
                <w:szCs w:val="20"/>
              </w:rPr>
              <w:t xml:space="preserve"> (manufacturer)</w:t>
            </w:r>
          </w:p>
        </w:tc>
        <w:tc>
          <w:tcPr>
            <w:tcW w:w="1842" w:type="dxa"/>
            <w:tcBorders>
              <w:top w:val="single" w:color="auto" w:sz="4" w:space="0"/>
              <w:bottom w:val="single" w:color="auto" w:sz="4" w:space="0"/>
            </w:tcBorders>
            <w:vAlign w:val="center"/>
            <w:hideMark/>
          </w:tcPr>
          <w:p w:rsidRPr="00192643" w:rsidR="009A0BDD" w:rsidP="001D212C" w:rsidRDefault="009A0BDD" w14:paraId="01E20C7E" w14:textId="77777777">
            <w:pPr>
              <w:spacing w:before="40" w:after="40"/>
              <w:rPr>
                <w:rFonts w:cs="Times New Roman"/>
                <w:b/>
                <w:bCs/>
                <w:sz w:val="20"/>
                <w:szCs w:val="20"/>
              </w:rPr>
            </w:pPr>
            <w:r w:rsidRPr="00192643">
              <w:rPr>
                <w:rFonts w:cs="Times New Roman"/>
                <w:b/>
                <w:bCs/>
                <w:sz w:val="20"/>
                <w:szCs w:val="20"/>
              </w:rPr>
              <w:t>Dose</w:t>
            </w:r>
          </w:p>
        </w:tc>
        <w:tc>
          <w:tcPr>
            <w:tcW w:w="1701" w:type="dxa"/>
            <w:tcBorders>
              <w:top w:val="single" w:color="auto" w:sz="4" w:space="0"/>
              <w:bottom w:val="single" w:color="auto" w:sz="4" w:space="0"/>
            </w:tcBorders>
            <w:vAlign w:val="center"/>
            <w:hideMark/>
          </w:tcPr>
          <w:p w:rsidRPr="00192643" w:rsidR="009A0BDD" w:rsidP="001D212C" w:rsidRDefault="009A0BDD" w14:paraId="5805F30C" w14:textId="77777777">
            <w:pPr>
              <w:spacing w:before="40" w:after="40"/>
              <w:jc w:val="center"/>
              <w:rPr>
                <w:rFonts w:cs="Times New Roman"/>
                <w:b/>
                <w:bCs/>
                <w:sz w:val="20"/>
                <w:szCs w:val="20"/>
              </w:rPr>
            </w:pPr>
            <w:r w:rsidRPr="00192643">
              <w:rPr>
                <w:rFonts w:cs="Times New Roman"/>
                <w:b/>
                <w:bCs/>
                <w:sz w:val="20"/>
                <w:szCs w:val="20"/>
              </w:rPr>
              <w:t>Percentage of animals protected (number/</w:t>
            </w:r>
            <w:proofErr w:type="gramStart"/>
            <w:r w:rsidRPr="00192643">
              <w:rPr>
                <w:rFonts w:cs="Times New Roman"/>
                <w:b/>
                <w:bCs/>
                <w:sz w:val="20"/>
                <w:szCs w:val="20"/>
              </w:rPr>
              <w:t>total)*</w:t>
            </w:r>
            <w:proofErr w:type="gramEnd"/>
          </w:p>
        </w:tc>
        <w:tc>
          <w:tcPr>
            <w:tcW w:w="1276" w:type="dxa"/>
            <w:tcBorders>
              <w:top w:val="single" w:color="auto" w:sz="4" w:space="0"/>
              <w:bottom w:val="single" w:color="auto" w:sz="4" w:space="0"/>
            </w:tcBorders>
            <w:vAlign w:val="center"/>
          </w:tcPr>
          <w:p w:rsidRPr="00192643" w:rsidR="009A0BDD" w:rsidP="001D212C" w:rsidRDefault="009A0BDD" w14:paraId="7749F2D1" w14:textId="77777777">
            <w:pPr>
              <w:spacing w:before="40" w:after="40"/>
              <w:jc w:val="center"/>
              <w:rPr>
                <w:rFonts w:cs="Times New Roman"/>
                <w:b/>
                <w:bCs/>
                <w:sz w:val="20"/>
                <w:szCs w:val="20"/>
              </w:rPr>
            </w:pPr>
            <w:r w:rsidRPr="00192643">
              <w:rPr>
                <w:rFonts w:cs="Times New Roman"/>
                <w:b/>
                <w:bCs/>
                <w:sz w:val="20"/>
                <w:szCs w:val="20"/>
              </w:rPr>
              <w:t>Reciprocal log</w:t>
            </w:r>
            <w:r w:rsidRPr="00192643">
              <w:rPr>
                <w:rFonts w:cs="Times New Roman"/>
                <w:b/>
                <w:bCs/>
                <w:sz w:val="20"/>
                <w:szCs w:val="20"/>
                <w:vertAlign w:val="subscript"/>
              </w:rPr>
              <w:t>10</w:t>
            </w:r>
            <w:r w:rsidRPr="00192643">
              <w:rPr>
                <w:rFonts w:cs="Times New Roman"/>
                <w:b/>
                <w:bCs/>
                <w:sz w:val="20"/>
                <w:szCs w:val="20"/>
              </w:rPr>
              <w:t xml:space="preserve"> </w:t>
            </w:r>
            <w:proofErr w:type="spellStart"/>
            <w:r w:rsidRPr="00192643">
              <w:rPr>
                <w:rFonts w:cs="Times New Roman"/>
                <w:b/>
                <w:bCs/>
                <w:sz w:val="20"/>
                <w:szCs w:val="20"/>
              </w:rPr>
              <w:t>titre</w:t>
            </w:r>
            <w:proofErr w:type="spellEnd"/>
            <w:r w:rsidRPr="00192643">
              <w:rPr>
                <w:rFonts w:cs="Times New Roman"/>
                <w:b/>
                <w:bCs/>
                <w:sz w:val="20"/>
                <w:szCs w:val="20"/>
              </w:rPr>
              <w:t xml:space="preserve"> by VNT</w:t>
            </w:r>
          </w:p>
        </w:tc>
        <w:tc>
          <w:tcPr>
            <w:tcW w:w="1418" w:type="dxa"/>
            <w:tcBorders>
              <w:top w:val="single" w:color="auto" w:sz="4" w:space="0"/>
              <w:bottom w:val="single" w:color="auto" w:sz="4" w:space="0"/>
            </w:tcBorders>
            <w:vAlign w:val="center"/>
          </w:tcPr>
          <w:p w:rsidRPr="00192643" w:rsidR="009A0BDD" w:rsidP="001D212C" w:rsidRDefault="009A0BDD" w14:paraId="6AF53C80" w14:textId="77777777">
            <w:pPr>
              <w:spacing w:before="40" w:after="40"/>
              <w:rPr>
                <w:rFonts w:cs="Times New Roman"/>
                <w:b/>
                <w:bCs/>
                <w:sz w:val="20"/>
                <w:szCs w:val="20"/>
              </w:rPr>
            </w:pPr>
            <w:r w:rsidRPr="00192643">
              <w:rPr>
                <w:rFonts w:cs="Times New Roman"/>
                <w:b/>
                <w:bCs/>
                <w:sz w:val="20"/>
                <w:szCs w:val="20"/>
              </w:rPr>
              <w:t>Reference</w:t>
            </w:r>
          </w:p>
        </w:tc>
      </w:tr>
      <w:tr w:rsidRPr="00171385" w:rsidR="009A0BDD" w:rsidTr="00402929" w14:paraId="785FAA52" w14:textId="77777777">
        <w:trPr>
          <w:trHeight w:val="290"/>
        </w:trPr>
        <w:tc>
          <w:tcPr>
            <w:tcW w:w="2268" w:type="dxa"/>
            <w:tcBorders>
              <w:top w:val="single" w:color="auto" w:sz="4" w:space="0"/>
            </w:tcBorders>
            <w:noWrap/>
            <w:hideMark/>
          </w:tcPr>
          <w:p w:rsidRPr="00192643" w:rsidR="009A0BDD" w:rsidP="003B41A0" w:rsidRDefault="009A0BDD" w14:paraId="06C43151" w14:textId="77777777">
            <w:pPr>
              <w:spacing w:before="40" w:after="40"/>
              <w:rPr>
                <w:rFonts w:cs="Times New Roman"/>
                <w:sz w:val="20"/>
                <w:szCs w:val="20"/>
              </w:rPr>
            </w:pPr>
            <w:r>
              <w:rPr>
                <w:rFonts w:cs="Times New Roman"/>
                <w:sz w:val="20"/>
                <w:szCs w:val="20"/>
              </w:rPr>
              <w:t>O/</w:t>
            </w:r>
            <w:r w:rsidRPr="00192643">
              <w:rPr>
                <w:rFonts w:cs="Times New Roman"/>
                <w:sz w:val="20"/>
                <w:szCs w:val="20"/>
              </w:rPr>
              <w:t>ME-SA/Ind-2001</w:t>
            </w:r>
          </w:p>
        </w:tc>
        <w:tc>
          <w:tcPr>
            <w:tcW w:w="2409" w:type="dxa"/>
            <w:tcBorders>
              <w:top w:val="single" w:color="auto" w:sz="4" w:space="0"/>
            </w:tcBorders>
          </w:tcPr>
          <w:p w:rsidRPr="00192643" w:rsidR="009A0BDD" w:rsidP="003B41A0" w:rsidRDefault="009A0BDD" w14:paraId="2FA4A121" w14:textId="78A88981">
            <w:pPr>
              <w:spacing w:before="40" w:after="40"/>
              <w:rPr>
                <w:rFonts w:cs="Times New Roman"/>
                <w:sz w:val="20"/>
                <w:szCs w:val="20"/>
              </w:rPr>
            </w:pPr>
            <w:r w:rsidRPr="00192643">
              <w:rPr>
                <w:rFonts w:cs="Times New Roman"/>
                <w:sz w:val="20"/>
                <w:szCs w:val="20"/>
              </w:rPr>
              <w:t xml:space="preserve">O </w:t>
            </w:r>
            <w:proofErr w:type="spellStart"/>
            <w:r w:rsidRPr="00192643">
              <w:rPr>
                <w:rFonts w:cs="Times New Roman"/>
                <w:sz w:val="20"/>
                <w:szCs w:val="20"/>
              </w:rPr>
              <w:t>Manisa</w:t>
            </w:r>
            <w:proofErr w:type="spellEnd"/>
            <w:r w:rsidRPr="00192643">
              <w:rPr>
                <w:rFonts w:cs="Times New Roman"/>
                <w:sz w:val="20"/>
                <w:szCs w:val="20"/>
              </w:rPr>
              <w:t xml:space="preserve"> </w:t>
            </w:r>
            <w:r w:rsidR="001D212C">
              <w:rPr>
                <w:rFonts w:cs="Times New Roman"/>
                <w:sz w:val="20"/>
                <w:szCs w:val="20"/>
              </w:rPr>
              <w:t>(</w:t>
            </w:r>
            <w:r w:rsidRPr="00192643">
              <w:rPr>
                <w:rFonts w:cs="Times New Roman"/>
                <w:sz w:val="20"/>
                <w:szCs w:val="20"/>
              </w:rPr>
              <w:t>BI</w:t>
            </w:r>
            <w:r w:rsidR="001D212C">
              <w:rPr>
                <w:rFonts w:cs="Times New Roman"/>
                <w:sz w:val="20"/>
                <w:szCs w:val="20"/>
              </w:rPr>
              <w:t>)</w:t>
            </w:r>
          </w:p>
        </w:tc>
        <w:tc>
          <w:tcPr>
            <w:tcW w:w="1842" w:type="dxa"/>
            <w:tcBorders>
              <w:top w:val="single" w:color="auto" w:sz="4" w:space="0"/>
            </w:tcBorders>
            <w:noWrap/>
            <w:hideMark/>
          </w:tcPr>
          <w:p w:rsidRPr="00192643" w:rsidR="009A0BDD" w:rsidP="003B41A0" w:rsidRDefault="009A0BDD" w14:paraId="59C64B60" w14:textId="77777777">
            <w:pPr>
              <w:spacing w:before="40" w:after="40"/>
              <w:rPr>
                <w:rFonts w:cs="Times New Roman"/>
                <w:sz w:val="20"/>
                <w:szCs w:val="20"/>
              </w:rPr>
            </w:pPr>
            <w:r w:rsidRPr="00192643">
              <w:rPr>
                <w:rFonts w:cs="Times New Roman"/>
                <w:sz w:val="20"/>
                <w:szCs w:val="20"/>
              </w:rPr>
              <w:t>Various</w:t>
            </w:r>
          </w:p>
        </w:tc>
        <w:tc>
          <w:tcPr>
            <w:tcW w:w="1701" w:type="dxa"/>
            <w:tcBorders>
              <w:top w:val="single" w:color="auto" w:sz="4" w:space="0"/>
            </w:tcBorders>
            <w:noWrap/>
            <w:hideMark/>
          </w:tcPr>
          <w:p w:rsidRPr="003B41A0" w:rsidR="009A0BDD" w:rsidP="003B41A0" w:rsidRDefault="009A0BDD" w14:paraId="27467A4B" w14:textId="77777777">
            <w:pPr>
              <w:spacing w:before="40" w:after="40"/>
              <w:jc w:val="center"/>
              <w:rPr>
                <w:rFonts w:cs="Times New Roman"/>
                <w:sz w:val="20"/>
                <w:szCs w:val="20"/>
              </w:rPr>
            </w:pPr>
            <w:r w:rsidRPr="003B41A0">
              <w:rPr>
                <w:rFonts w:cs="Times New Roman"/>
                <w:sz w:val="20"/>
                <w:szCs w:val="20"/>
              </w:rPr>
              <w:t>46.7 (7/15)</w:t>
            </w:r>
          </w:p>
        </w:tc>
        <w:tc>
          <w:tcPr>
            <w:tcW w:w="1276" w:type="dxa"/>
            <w:vMerge w:val="restart"/>
            <w:tcBorders>
              <w:top w:val="single" w:color="auto" w:sz="4" w:space="0"/>
            </w:tcBorders>
          </w:tcPr>
          <w:p w:rsidRPr="003B41A0" w:rsidR="009A0BDD" w:rsidP="003B41A0" w:rsidRDefault="009A0BDD" w14:paraId="55CE4F9C" w14:textId="77777777">
            <w:pPr>
              <w:spacing w:before="40" w:after="40"/>
              <w:jc w:val="center"/>
              <w:rPr>
                <w:rFonts w:cs="Times New Roman"/>
                <w:sz w:val="20"/>
                <w:szCs w:val="20"/>
              </w:rPr>
            </w:pPr>
            <w:r w:rsidRPr="003B41A0">
              <w:rPr>
                <w:rFonts w:cs="Times New Roman"/>
                <w:sz w:val="20"/>
                <w:szCs w:val="20"/>
              </w:rPr>
              <w:t>3.0 (range 2.55–3.15) (protected animals)</w:t>
            </w:r>
          </w:p>
        </w:tc>
        <w:tc>
          <w:tcPr>
            <w:tcW w:w="1418" w:type="dxa"/>
            <w:vMerge w:val="restart"/>
            <w:tcBorders>
              <w:top w:val="single" w:color="auto" w:sz="4" w:space="0"/>
            </w:tcBorders>
          </w:tcPr>
          <w:p w:rsidRPr="00192643" w:rsidR="009A0BDD" w:rsidP="003B41A0" w:rsidRDefault="00D97892" w14:paraId="66D0EEA2" w14:textId="0D7E7281">
            <w:pPr>
              <w:spacing w:before="40" w:after="40"/>
              <w:rPr>
                <w:rFonts w:cs="Times New Roman"/>
                <w:color w:val="E36C0A" w:themeColor="accent6" w:themeShade="BF"/>
                <w:sz w:val="20"/>
                <w:szCs w:val="20"/>
              </w:rPr>
            </w:pPr>
            <w:r>
              <w:rPr>
                <w:rFonts w:cs="Times New Roman"/>
                <w:sz w:val="20"/>
                <w:szCs w:val="20"/>
              </w:rPr>
              <w:fldChar w:fldCharType="begin" w:fldLock="1"/>
            </w:r>
            <w:r w:rsidR="00434530">
              <w:rPr>
                <w:rFonts w:cs="Times New Roman"/>
                <w:sz w:val="20"/>
                <w:szCs w:val="20"/>
              </w:rPr>
              <w:instrText>ADDIN CSL_CITATION {"citationItems":[{"id":"ITEM-1","itemData":{"DOI":"10.1016/j.vaccine.2017.02.047","ISSN":"18732518","PMID":"28396208","abstract":"Outbreaks of foot-and-mouth disease (FMD) in North Africa (2013) and the Gulf States (2013) of the Middle East have been caused by a FMD viral lineage (O/ME-SA/Ind-2001) that was before 2013 restricted to the Indian Sub-continent. This study was undertaken to assess the in vivo efficacy of a FMD virus emergency vaccine type O1 Manisa against heterologous challenge with a representative field virus (O/ALG/3/2014) from this emerging lineage. This widely available vaccine was selected since in vitro vaccine-matching results gave inconclusive results as to whether or not it would be protective. Three groups of five cattle were vaccinated with O1 Manisa (homologous potency ≥6PD50/dose) using study guidelines outlined in the European Pharmacopeia, and challenged at 21 days post-vaccination by tongue inoculation. All animals that were vaccinated with the lowest dose (1/16) of vaccine developed generalised FMD, defined as vesicular lesions at the feet. One animal vaccinated with a 1/4 dose of the vaccine also developed generalised disease, as did two animals vaccinated with the full dose of vaccine. These results indicate that the heterologous potency of this high potency O1 Manisa vaccine was approximately 3.5 PD50/dose. These data support the use of the O1 Manisa vaccine for FMD control in areas where FMDV is endemic e.g. North Africa, and motivate further studies to evaluate other vaccine candidates (or multivalent combinations) that might be potentially used for emergency purposes in FMD-free settings.","author":[{"dropping-particle":"","family":"Fishbourne","given":"Emma","non-dropping-particle":"","parse-names":false,"suffix":""},{"dropping-particle":"","family":"Ludi","given":"Anna B.","non-dropping-particle":"","parse-names":false,"suffix":""},{"dropping-particle":"","family":"Wilsden","given":"Ginette","non-dropping-particle":"","parse-names":false,"suffix":""},{"dropping-particle":"","family":"Hamblin","given":"Pip","non-dropping-particle":"","parse-names":false,"suffix":""},{"dropping-particle":"","family":"Statham","given":"Bob","non-dropping-particle":"","parse-names":false,"suffix":""},{"dropping-particle":"","family":"Bin-Tarif","given":"Abdelghani","non-dropping-particle":"","parse-names":false,"suffix":""},{"dropping-particle":"","family":"Brocchi","given":"Emiliana","non-dropping-particle":"","parse-names":false,"suffix":""},{"dropping-particle":"","family":"Grazioli","given":"Santina","non-dropping-particle":"","parse-names":false,"suffix":""},{"dropping-particle":"","family":"Dekker","given":"Aldo","non-dropping-particle":"","parse-names":false,"suffix":""},{"dropping-particle":"","family":"Eblé","given":"Phaedra","non-dropping-particle":"","parse-names":false,"suffix":""},{"dropping-particle":"","family":"King","given":"Donald P.","non-dropping-particle":"","parse-names":false,"suffix":""}],"container-title":"Vaccine","id":"ITEM-1","issue":"20","issued":{"date-parts":[["2017"]]},"page":"2761-2765","publisher":"Elsevier Ltd","title":"Efficacy of a high potency O1 Manisa foot-and-mouth disease vaccine in cattle against heterologous challenge with a field virus from the O/ME-SA/Ind-2001 lineage collected in North Africa","type":"article-journal","volume":"35"},"uris":["http://www.mendeley.com/documents/?uuid=5ed6ae47-2e4d-4380-a9c5-27a077506f42"]}],"mendeley":{"formattedCitation":"(1)","plainTextFormattedCitation":"(1)","previouslyFormattedCitation":"(1)"},"properties":{"noteIndex":0},"schema":"https://github.com/citation-style-language/schema/raw/master/csl-citation.json"}</w:instrText>
            </w:r>
            <w:r>
              <w:rPr>
                <w:rFonts w:cs="Times New Roman"/>
                <w:sz w:val="20"/>
                <w:szCs w:val="20"/>
              </w:rPr>
              <w:fldChar w:fldCharType="separate"/>
            </w:r>
            <w:r w:rsidRPr="00D97892">
              <w:rPr>
                <w:rFonts w:cs="Times New Roman"/>
                <w:noProof/>
                <w:sz w:val="20"/>
                <w:szCs w:val="20"/>
              </w:rPr>
              <w:t>(1)</w:t>
            </w:r>
            <w:r>
              <w:rPr>
                <w:rFonts w:cs="Times New Roman"/>
                <w:sz w:val="20"/>
                <w:szCs w:val="20"/>
              </w:rPr>
              <w:fldChar w:fldCharType="end"/>
            </w:r>
          </w:p>
        </w:tc>
      </w:tr>
      <w:tr w:rsidRPr="00171385" w:rsidR="009A0BDD" w:rsidTr="00402929" w14:paraId="3CD322DB" w14:textId="77777777">
        <w:trPr>
          <w:trHeight w:val="290"/>
        </w:trPr>
        <w:tc>
          <w:tcPr>
            <w:tcW w:w="2268" w:type="dxa"/>
            <w:noWrap/>
            <w:hideMark/>
          </w:tcPr>
          <w:p w:rsidRPr="00192643" w:rsidR="009A0BDD" w:rsidP="003B41A0" w:rsidRDefault="009A0BDD" w14:paraId="0915F418" w14:textId="77777777">
            <w:pPr>
              <w:spacing w:before="40" w:after="40"/>
              <w:rPr>
                <w:rFonts w:cs="Times New Roman"/>
                <w:sz w:val="20"/>
                <w:szCs w:val="20"/>
              </w:rPr>
            </w:pPr>
          </w:p>
        </w:tc>
        <w:tc>
          <w:tcPr>
            <w:tcW w:w="2409" w:type="dxa"/>
          </w:tcPr>
          <w:p w:rsidRPr="00192643" w:rsidR="009A0BDD" w:rsidP="003B41A0" w:rsidRDefault="009A0BDD" w14:paraId="2A41EA34" w14:textId="77777777">
            <w:pPr>
              <w:spacing w:before="40" w:after="40"/>
              <w:rPr>
                <w:rFonts w:cs="Times New Roman"/>
                <w:sz w:val="20"/>
                <w:szCs w:val="20"/>
              </w:rPr>
            </w:pPr>
          </w:p>
        </w:tc>
        <w:tc>
          <w:tcPr>
            <w:tcW w:w="1842" w:type="dxa"/>
            <w:noWrap/>
            <w:hideMark/>
          </w:tcPr>
          <w:p w:rsidRPr="00192643" w:rsidR="009A0BDD" w:rsidP="003B41A0" w:rsidRDefault="009A0BDD" w14:paraId="3DC28A2F" w14:textId="77777777">
            <w:pPr>
              <w:spacing w:before="40" w:after="40"/>
              <w:rPr>
                <w:rFonts w:cs="Times New Roman"/>
                <w:sz w:val="20"/>
                <w:szCs w:val="20"/>
              </w:rPr>
            </w:pPr>
            <w:r w:rsidRPr="00192643">
              <w:rPr>
                <w:rFonts w:cs="Times New Roman"/>
                <w:sz w:val="20"/>
                <w:szCs w:val="20"/>
              </w:rPr>
              <w:t>Full (6PD</w:t>
            </w:r>
            <w:r w:rsidRPr="00192643">
              <w:rPr>
                <w:rFonts w:cs="Times New Roman"/>
                <w:sz w:val="20"/>
                <w:szCs w:val="20"/>
                <w:vertAlign w:val="subscript"/>
              </w:rPr>
              <w:t>50</w:t>
            </w:r>
            <w:r w:rsidRPr="00192643">
              <w:rPr>
                <w:rFonts w:cs="Times New Roman"/>
                <w:sz w:val="20"/>
                <w:szCs w:val="20"/>
              </w:rPr>
              <w:t>/dose)</w:t>
            </w:r>
          </w:p>
        </w:tc>
        <w:tc>
          <w:tcPr>
            <w:tcW w:w="1701" w:type="dxa"/>
            <w:noWrap/>
            <w:hideMark/>
          </w:tcPr>
          <w:p w:rsidRPr="003B41A0" w:rsidR="009A0BDD" w:rsidP="003B41A0" w:rsidRDefault="009A0BDD" w14:paraId="6B3BF6E0" w14:textId="77777777">
            <w:pPr>
              <w:spacing w:before="40" w:after="40"/>
              <w:jc w:val="center"/>
              <w:rPr>
                <w:rFonts w:cs="Times New Roman"/>
                <w:sz w:val="20"/>
                <w:szCs w:val="20"/>
              </w:rPr>
            </w:pPr>
            <w:r w:rsidRPr="003B41A0">
              <w:rPr>
                <w:rFonts w:cs="Times New Roman"/>
                <w:sz w:val="20"/>
                <w:szCs w:val="20"/>
              </w:rPr>
              <w:t>60.0 (3/5)</w:t>
            </w:r>
          </w:p>
        </w:tc>
        <w:tc>
          <w:tcPr>
            <w:tcW w:w="1276" w:type="dxa"/>
            <w:vMerge/>
          </w:tcPr>
          <w:p w:rsidRPr="003B41A0" w:rsidR="009A0BDD" w:rsidP="003B41A0" w:rsidRDefault="009A0BDD" w14:paraId="767AEC5A" w14:textId="77777777">
            <w:pPr>
              <w:spacing w:before="40" w:after="40"/>
              <w:jc w:val="center"/>
              <w:rPr>
                <w:rFonts w:cs="Times New Roman"/>
                <w:sz w:val="20"/>
                <w:szCs w:val="20"/>
              </w:rPr>
            </w:pPr>
          </w:p>
        </w:tc>
        <w:tc>
          <w:tcPr>
            <w:tcW w:w="1418" w:type="dxa"/>
            <w:vMerge/>
          </w:tcPr>
          <w:p w:rsidRPr="00192643" w:rsidR="009A0BDD" w:rsidP="003B41A0" w:rsidRDefault="009A0BDD" w14:paraId="64CA37FF" w14:textId="77777777">
            <w:pPr>
              <w:spacing w:before="40" w:after="40"/>
              <w:rPr>
                <w:rFonts w:cs="Times New Roman"/>
                <w:color w:val="E36C0A" w:themeColor="accent6" w:themeShade="BF"/>
                <w:sz w:val="20"/>
                <w:szCs w:val="20"/>
              </w:rPr>
            </w:pPr>
          </w:p>
        </w:tc>
      </w:tr>
      <w:tr w:rsidRPr="00171385" w:rsidR="009A0BDD" w:rsidTr="00402929" w14:paraId="39E5846C" w14:textId="77777777">
        <w:trPr>
          <w:trHeight w:val="290"/>
        </w:trPr>
        <w:tc>
          <w:tcPr>
            <w:tcW w:w="2268" w:type="dxa"/>
            <w:noWrap/>
            <w:hideMark/>
          </w:tcPr>
          <w:p w:rsidRPr="00192643" w:rsidR="009A0BDD" w:rsidP="003B41A0" w:rsidRDefault="009A0BDD" w14:paraId="0AECF0A5" w14:textId="77777777">
            <w:pPr>
              <w:spacing w:before="40" w:after="40"/>
              <w:rPr>
                <w:rFonts w:cs="Times New Roman"/>
                <w:sz w:val="20"/>
                <w:szCs w:val="20"/>
              </w:rPr>
            </w:pPr>
          </w:p>
        </w:tc>
        <w:tc>
          <w:tcPr>
            <w:tcW w:w="2409" w:type="dxa"/>
          </w:tcPr>
          <w:p w:rsidRPr="00192643" w:rsidR="009A0BDD" w:rsidP="003B41A0" w:rsidRDefault="009A0BDD" w14:paraId="3ED8AF8D" w14:textId="77777777">
            <w:pPr>
              <w:spacing w:before="40" w:after="40"/>
              <w:rPr>
                <w:rFonts w:cs="Times New Roman"/>
                <w:sz w:val="20"/>
                <w:szCs w:val="20"/>
              </w:rPr>
            </w:pPr>
          </w:p>
        </w:tc>
        <w:tc>
          <w:tcPr>
            <w:tcW w:w="1842" w:type="dxa"/>
            <w:noWrap/>
            <w:hideMark/>
          </w:tcPr>
          <w:p w:rsidRPr="00192643" w:rsidR="009A0BDD" w:rsidP="003B41A0" w:rsidRDefault="009A0BDD" w14:paraId="19D38440" w14:textId="77777777">
            <w:pPr>
              <w:spacing w:before="40" w:after="40"/>
              <w:rPr>
                <w:rFonts w:cs="Times New Roman"/>
                <w:sz w:val="20"/>
                <w:szCs w:val="20"/>
              </w:rPr>
            </w:pPr>
            <w:r w:rsidRPr="00192643">
              <w:rPr>
                <w:rFonts w:cs="Times New Roman"/>
                <w:sz w:val="20"/>
                <w:szCs w:val="20"/>
              </w:rPr>
              <w:t xml:space="preserve">1/4 </w:t>
            </w:r>
          </w:p>
        </w:tc>
        <w:tc>
          <w:tcPr>
            <w:tcW w:w="1701" w:type="dxa"/>
            <w:noWrap/>
            <w:hideMark/>
          </w:tcPr>
          <w:p w:rsidRPr="003B41A0" w:rsidR="009A0BDD" w:rsidP="003B41A0" w:rsidRDefault="009A0BDD" w14:paraId="62853E6D" w14:textId="77777777">
            <w:pPr>
              <w:spacing w:before="40" w:after="40"/>
              <w:jc w:val="center"/>
              <w:rPr>
                <w:rFonts w:cs="Times New Roman"/>
                <w:sz w:val="20"/>
                <w:szCs w:val="20"/>
              </w:rPr>
            </w:pPr>
            <w:r w:rsidRPr="003B41A0">
              <w:rPr>
                <w:rFonts w:cs="Times New Roman"/>
                <w:sz w:val="20"/>
                <w:szCs w:val="20"/>
              </w:rPr>
              <w:t>80.0 (4/5)</w:t>
            </w:r>
          </w:p>
        </w:tc>
        <w:tc>
          <w:tcPr>
            <w:tcW w:w="1276" w:type="dxa"/>
            <w:vMerge/>
          </w:tcPr>
          <w:p w:rsidRPr="003B41A0" w:rsidR="009A0BDD" w:rsidP="003B41A0" w:rsidRDefault="009A0BDD" w14:paraId="2CB8B7C3" w14:textId="77777777">
            <w:pPr>
              <w:spacing w:before="40" w:after="40"/>
              <w:jc w:val="center"/>
              <w:rPr>
                <w:rFonts w:cs="Times New Roman"/>
                <w:sz w:val="20"/>
                <w:szCs w:val="20"/>
              </w:rPr>
            </w:pPr>
          </w:p>
        </w:tc>
        <w:tc>
          <w:tcPr>
            <w:tcW w:w="1418" w:type="dxa"/>
            <w:vMerge/>
          </w:tcPr>
          <w:p w:rsidRPr="00192643" w:rsidR="009A0BDD" w:rsidP="003B41A0" w:rsidRDefault="009A0BDD" w14:paraId="456E775A" w14:textId="77777777">
            <w:pPr>
              <w:spacing w:before="40" w:after="40"/>
              <w:rPr>
                <w:rFonts w:cs="Times New Roman"/>
                <w:color w:val="E36C0A" w:themeColor="accent6" w:themeShade="BF"/>
                <w:sz w:val="20"/>
                <w:szCs w:val="20"/>
              </w:rPr>
            </w:pPr>
          </w:p>
        </w:tc>
      </w:tr>
      <w:tr w:rsidRPr="00171385" w:rsidR="009A0BDD" w:rsidTr="00402929" w14:paraId="57772F1A" w14:textId="77777777">
        <w:trPr>
          <w:trHeight w:val="290"/>
        </w:trPr>
        <w:tc>
          <w:tcPr>
            <w:tcW w:w="2268" w:type="dxa"/>
            <w:noWrap/>
            <w:hideMark/>
          </w:tcPr>
          <w:p w:rsidRPr="00192643" w:rsidR="009A0BDD" w:rsidP="003B41A0" w:rsidRDefault="009A0BDD" w14:paraId="3515FD13" w14:textId="77777777">
            <w:pPr>
              <w:spacing w:before="40" w:after="40"/>
              <w:rPr>
                <w:rFonts w:cs="Times New Roman"/>
                <w:sz w:val="20"/>
                <w:szCs w:val="20"/>
              </w:rPr>
            </w:pPr>
          </w:p>
        </w:tc>
        <w:tc>
          <w:tcPr>
            <w:tcW w:w="2409" w:type="dxa"/>
          </w:tcPr>
          <w:p w:rsidRPr="00192643" w:rsidR="009A0BDD" w:rsidP="003B41A0" w:rsidRDefault="009A0BDD" w14:paraId="279A9393" w14:textId="77777777">
            <w:pPr>
              <w:spacing w:before="40" w:after="40"/>
              <w:rPr>
                <w:rFonts w:cs="Times New Roman"/>
                <w:sz w:val="20"/>
                <w:szCs w:val="20"/>
              </w:rPr>
            </w:pPr>
          </w:p>
        </w:tc>
        <w:tc>
          <w:tcPr>
            <w:tcW w:w="1842" w:type="dxa"/>
            <w:noWrap/>
            <w:hideMark/>
          </w:tcPr>
          <w:p w:rsidRPr="00192643" w:rsidR="009A0BDD" w:rsidP="003B41A0" w:rsidRDefault="009A0BDD" w14:paraId="701C47CA" w14:textId="77777777">
            <w:pPr>
              <w:spacing w:before="40" w:after="40"/>
              <w:rPr>
                <w:rFonts w:cs="Times New Roman"/>
                <w:sz w:val="20"/>
                <w:szCs w:val="20"/>
              </w:rPr>
            </w:pPr>
            <w:r w:rsidRPr="00192643">
              <w:rPr>
                <w:rFonts w:cs="Times New Roman"/>
                <w:sz w:val="20"/>
                <w:szCs w:val="20"/>
              </w:rPr>
              <w:t>1/16</w:t>
            </w:r>
          </w:p>
        </w:tc>
        <w:tc>
          <w:tcPr>
            <w:tcW w:w="1701" w:type="dxa"/>
            <w:noWrap/>
            <w:hideMark/>
          </w:tcPr>
          <w:p w:rsidRPr="003B41A0" w:rsidR="009A0BDD" w:rsidP="003B41A0" w:rsidRDefault="009A0BDD" w14:paraId="07FB04FA" w14:textId="77777777">
            <w:pPr>
              <w:spacing w:before="40" w:after="40"/>
              <w:jc w:val="center"/>
              <w:rPr>
                <w:rFonts w:cs="Times New Roman"/>
                <w:sz w:val="20"/>
                <w:szCs w:val="20"/>
              </w:rPr>
            </w:pPr>
            <w:r w:rsidRPr="003B41A0">
              <w:rPr>
                <w:rFonts w:cs="Times New Roman"/>
                <w:sz w:val="20"/>
                <w:szCs w:val="20"/>
              </w:rPr>
              <w:t>0.0 (0/5)</w:t>
            </w:r>
          </w:p>
        </w:tc>
        <w:tc>
          <w:tcPr>
            <w:tcW w:w="1276" w:type="dxa"/>
            <w:vMerge/>
          </w:tcPr>
          <w:p w:rsidRPr="003B41A0" w:rsidR="009A0BDD" w:rsidP="003B41A0" w:rsidRDefault="009A0BDD" w14:paraId="43FA9036" w14:textId="77777777">
            <w:pPr>
              <w:spacing w:before="40" w:after="40"/>
              <w:jc w:val="center"/>
              <w:rPr>
                <w:rFonts w:cs="Times New Roman"/>
                <w:sz w:val="20"/>
                <w:szCs w:val="20"/>
              </w:rPr>
            </w:pPr>
          </w:p>
        </w:tc>
        <w:tc>
          <w:tcPr>
            <w:tcW w:w="1418" w:type="dxa"/>
            <w:vMerge/>
          </w:tcPr>
          <w:p w:rsidRPr="00192643" w:rsidR="009A0BDD" w:rsidP="003B41A0" w:rsidRDefault="009A0BDD" w14:paraId="7E7B3397" w14:textId="77777777">
            <w:pPr>
              <w:spacing w:before="40" w:after="40"/>
              <w:rPr>
                <w:rFonts w:cs="Times New Roman"/>
                <w:sz w:val="20"/>
                <w:szCs w:val="20"/>
              </w:rPr>
            </w:pPr>
          </w:p>
        </w:tc>
      </w:tr>
      <w:tr w:rsidRPr="00171385" w:rsidR="009A0BDD" w:rsidTr="00402929" w14:paraId="21F62A7F" w14:textId="77777777">
        <w:trPr>
          <w:trHeight w:val="290"/>
        </w:trPr>
        <w:tc>
          <w:tcPr>
            <w:tcW w:w="2268" w:type="dxa"/>
            <w:noWrap/>
          </w:tcPr>
          <w:p w:rsidRPr="00192643" w:rsidR="009A0BDD" w:rsidP="003B41A0" w:rsidRDefault="009A0BDD" w14:paraId="1256CD0B" w14:textId="77777777">
            <w:pPr>
              <w:spacing w:before="40" w:after="40"/>
              <w:rPr>
                <w:rFonts w:cs="Times New Roman"/>
                <w:sz w:val="20"/>
                <w:szCs w:val="20"/>
              </w:rPr>
            </w:pPr>
            <w:r>
              <w:rPr>
                <w:rFonts w:cs="Times New Roman"/>
                <w:sz w:val="20"/>
                <w:szCs w:val="20"/>
              </w:rPr>
              <w:t>O/</w:t>
            </w:r>
            <w:r w:rsidRPr="00192643">
              <w:rPr>
                <w:rFonts w:cs="Times New Roman"/>
                <w:sz w:val="20"/>
                <w:szCs w:val="20"/>
              </w:rPr>
              <w:t>ME-SA/Ind-2001d (challenge at day 7)</w:t>
            </w:r>
          </w:p>
        </w:tc>
        <w:tc>
          <w:tcPr>
            <w:tcW w:w="2409" w:type="dxa"/>
          </w:tcPr>
          <w:p w:rsidRPr="00192643" w:rsidR="009A0BDD" w:rsidP="003B41A0" w:rsidRDefault="009A0BDD" w14:paraId="2704D53F" w14:textId="76DAA611">
            <w:pPr>
              <w:spacing w:before="40" w:after="40"/>
              <w:rPr>
                <w:rFonts w:cs="Times New Roman"/>
                <w:sz w:val="20"/>
                <w:szCs w:val="20"/>
              </w:rPr>
            </w:pPr>
            <w:r w:rsidRPr="00192643">
              <w:rPr>
                <w:rFonts w:cs="Times New Roman"/>
                <w:sz w:val="20"/>
                <w:szCs w:val="20"/>
              </w:rPr>
              <w:t>O-3039</w:t>
            </w:r>
            <w:r w:rsidRPr="00192643" w:rsidR="001D212C">
              <w:rPr>
                <w:rFonts w:cs="Times New Roman"/>
                <w:sz w:val="20"/>
                <w:szCs w:val="20"/>
              </w:rPr>
              <w:t xml:space="preserve"> </w:t>
            </w:r>
            <w:r w:rsidR="001D212C">
              <w:rPr>
                <w:rFonts w:cs="Times New Roman"/>
                <w:sz w:val="20"/>
                <w:szCs w:val="20"/>
              </w:rPr>
              <w:t>(</w:t>
            </w:r>
            <w:r w:rsidRPr="00192643" w:rsidR="001D212C">
              <w:rPr>
                <w:rFonts w:cs="Times New Roman"/>
                <w:sz w:val="20"/>
                <w:szCs w:val="20"/>
              </w:rPr>
              <w:t>BI</w:t>
            </w:r>
            <w:r w:rsidR="001D212C">
              <w:rPr>
                <w:rFonts w:cs="Times New Roman"/>
                <w:sz w:val="20"/>
                <w:szCs w:val="20"/>
              </w:rPr>
              <w:t>)</w:t>
            </w:r>
          </w:p>
        </w:tc>
        <w:tc>
          <w:tcPr>
            <w:tcW w:w="1842" w:type="dxa"/>
            <w:noWrap/>
          </w:tcPr>
          <w:p w:rsidRPr="00192643" w:rsidR="009A0BDD" w:rsidP="003B41A0" w:rsidRDefault="009A0BDD" w14:paraId="7F7598D7" w14:textId="77777777">
            <w:pPr>
              <w:spacing w:before="40" w:after="40"/>
              <w:rPr>
                <w:rFonts w:cs="Times New Roman"/>
                <w:sz w:val="20"/>
                <w:szCs w:val="20"/>
              </w:rPr>
            </w:pPr>
            <w:r w:rsidRPr="00192643">
              <w:rPr>
                <w:rFonts w:cs="Times New Roman"/>
                <w:sz w:val="20"/>
                <w:szCs w:val="20"/>
              </w:rPr>
              <w:t>Full (6PD</w:t>
            </w:r>
            <w:r w:rsidRPr="00192643">
              <w:rPr>
                <w:rFonts w:cs="Times New Roman"/>
                <w:sz w:val="20"/>
                <w:szCs w:val="20"/>
                <w:vertAlign w:val="subscript"/>
              </w:rPr>
              <w:t>50</w:t>
            </w:r>
            <w:r w:rsidRPr="00192643">
              <w:rPr>
                <w:rFonts w:cs="Times New Roman"/>
                <w:sz w:val="20"/>
                <w:szCs w:val="20"/>
              </w:rPr>
              <w:t>/dose)</w:t>
            </w:r>
          </w:p>
        </w:tc>
        <w:tc>
          <w:tcPr>
            <w:tcW w:w="1701" w:type="dxa"/>
            <w:noWrap/>
          </w:tcPr>
          <w:p w:rsidRPr="003B41A0" w:rsidR="009A0BDD" w:rsidP="003B41A0" w:rsidRDefault="009A0BDD" w14:paraId="5D7570D5" w14:textId="77777777">
            <w:pPr>
              <w:spacing w:before="40" w:after="40"/>
              <w:jc w:val="center"/>
              <w:rPr>
                <w:rFonts w:cs="Times New Roman"/>
                <w:sz w:val="20"/>
                <w:szCs w:val="20"/>
              </w:rPr>
            </w:pPr>
            <w:r w:rsidRPr="003B41A0">
              <w:rPr>
                <w:rFonts w:cs="Times New Roman"/>
                <w:sz w:val="20"/>
                <w:szCs w:val="20"/>
              </w:rPr>
              <w:t>60.0 (3/5)</w:t>
            </w:r>
          </w:p>
        </w:tc>
        <w:tc>
          <w:tcPr>
            <w:tcW w:w="1276" w:type="dxa"/>
          </w:tcPr>
          <w:p w:rsidRPr="003B41A0" w:rsidR="009A0BDD" w:rsidP="003B41A0" w:rsidRDefault="009A0BDD" w14:paraId="7D76779D" w14:textId="77777777">
            <w:pPr>
              <w:spacing w:before="40" w:after="40"/>
              <w:jc w:val="center"/>
              <w:rPr>
                <w:rFonts w:cs="Times New Roman"/>
                <w:sz w:val="20"/>
                <w:szCs w:val="20"/>
              </w:rPr>
            </w:pPr>
            <w:r w:rsidRPr="003B41A0">
              <w:rPr>
                <w:rFonts w:cs="Times New Roman"/>
                <w:sz w:val="20"/>
                <w:szCs w:val="20"/>
              </w:rPr>
              <w:t>&gt;1.0</w:t>
            </w:r>
          </w:p>
        </w:tc>
        <w:tc>
          <w:tcPr>
            <w:tcW w:w="1418" w:type="dxa"/>
          </w:tcPr>
          <w:p w:rsidRPr="00192643" w:rsidR="009A0BDD" w:rsidP="003B41A0" w:rsidRDefault="00434530" w14:paraId="44D7B2E1" w14:textId="6C1FA4B9">
            <w:pPr>
              <w:spacing w:before="40" w:after="40"/>
              <w:rPr>
                <w:rFonts w:cs="Times New Roman"/>
                <w:sz w:val="20"/>
                <w:szCs w:val="20"/>
              </w:rPr>
            </w:pPr>
            <w:r>
              <w:rPr>
                <w:rFonts w:cs="Times New Roman"/>
                <w:sz w:val="20"/>
                <w:szCs w:val="20"/>
              </w:rPr>
              <w:fldChar w:fldCharType="begin" w:fldLock="1"/>
            </w:r>
            <w:r w:rsidR="00D06AC1">
              <w:rPr>
                <w:rFonts w:cs="Times New Roman"/>
                <w:sz w:val="20"/>
                <w:szCs w:val="20"/>
              </w:rPr>
              <w:instrText>ADDIN CSL_CITATION {"citationItems":[{"id":"ITEM-1","itemData":{"DOI":"https:// doi.org/10.3390/vaccines9101110","author":[{"dropping-particle":"","family":"Singanallur","given":"Nagendrakumar Balasubramanian","non-dropping-particle":"","parse-names":false,"suffix":""},{"dropping-particle":"","family":"Dekker","given":"Aldo","non-dropping-particle":"","parse-names":false,"suffix":""},{"dropping-particle":"","family":"Eblé","given":"Phaedra L.","non-dropping-particle":"","parse-names":false,"suffix":""},{"dropping-particle":"","family":"Hemert-Kluitenberg","given":"Froukje","non-dropping-particle":"van","parse-names":false,"suffix":""},{"dropping-particle":"","family":"Weerdmeester","given":"Klaas","non-dropping-particle":"","parse-names":false,"suffix":""},{"dropping-particle":"","family":"Horsington","given":"Jacquelyn J","non-dropping-particle":"","parse-names":false,"suffix":""},{"dropping-particle":"","family":"Vosloo","given":"Wilna","non-dropping-particle":"","parse-names":false,"suffix":""}],"container-title":"Vaccines","id":"ITEM-1","issued":{"date-parts":[["2021"]]},"page":"1110","title":"Emergency FMD Serotype O Vaccines Protect Cattle against Heterologous Challenge with a Variant Foot-and-Mouth Disease Virus from the O/ME-SA/Ind2001 Lineage","type":"article-journal","volume":"9"},"uris":["http://www.mendeley.com/documents/?uuid=435a78ff-1a69-48ff-8a21-9bdcf820aeb8"]}],"mendeley":{"formattedCitation":"(2)","plainTextFormattedCitation":"(2)","previouslyFormattedCitation":"(2)"},"properties":{"noteIndex":0},"schema":"https://github.com/citation-style-language/schema/raw/master/csl-citation.json"}</w:instrText>
            </w:r>
            <w:r>
              <w:rPr>
                <w:rFonts w:cs="Times New Roman"/>
                <w:sz w:val="20"/>
                <w:szCs w:val="20"/>
              </w:rPr>
              <w:fldChar w:fldCharType="separate"/>
            </w:r>
            <w:r w:rsidRPr="00434530">
              <w:rPr>
                <w:rFonts w:cs="Times New Roman"/>
                <w:noProof/>
                <w:sz w:val="20"/>
                <w:szCs w:val="20"/>
              </w:rPr>
              <w:t>(2)</w:t>
            </w:r>
            <w:r>
              <w:rPr>
                <w:rFonts w:cs="Times New Roman"/>
                <w:sz w:val="20"/>
                <w:szCs w:val="20"/>
              </w:rPr>
              <w:fldChar w:fldCharType="end"/>
            </w:r>
          </w:p>
        </w:tc>
      </w:tr>
      <w:tr w:rsidRPr="00171385" w:rsidR="00434530" w:rsidTr="00402929" w14:paraId="3BC34B8B" w14:textId="77777777">
        <w:trPr>
          <w:trHeight w:val="290"/>
        </w:trPr>
        <w:tc>
          <w:tcPr>
            <w:tcW w:w="2268" w:type="dxa"/>
            <w:noWrap/>
          </w:tcPr>
          <w:p w:rsidRPr="00192643" w:rsidR="00434530" w:rsidP="00434530" w:rsidRDefault="00434530" w14:paraId="7BC90BEC" w14:textId="77777777">
            <w:pPr>
              <w:spacing w:before="40" w:after="40"/>
              <w:rPr>
                <w:rFonts w:cs="Times New Roman"/>
                <w:sz w:val="20"/>
                <w:szCs w:val="20"/>
              </w:rPr>
            </w:pPr>
            <w:r>
              <w:rPr>
                <w:rFonts w:cs="Times New Roman"/>
                <w:sz w:val="20"/>
                <w:szCs w:val="20"/>
              </w:rPr>
              <w:t>O/</w:t>
            </w:r>
            <w:r w:rsidRPr="00192643">
              <w:rPr>
                <w:rFonts w:cs="Times New Roman"/>
                <w:sz w:val="20"/>
                <w:szCs w:val="20"/>
              </w:rPr>
              <w:t>ME-SA/Ind-2001d (challenge at day 21)</w:t>
            </w:r>
          </w:p>
        </w:tc>
        <w:tc>
          <w:tcPr>
            <w:tcW w:w="2409" w:type="dxa"/>
          </w:tcPr>
          <w:p w:rsidRPr="00192643" w:rsidR="00434530" w:rsidP="00434530" w:rsidRDefault="00434530" w14:paraId="6ADB4901" w14:textId="57C9214A">
            <w:pPr>
              <w:spacing w:before="40" w:after="40"/>
              <w:rPr>
                <w:rFonts w:cs="Times New Roman"/>
                <w:sz w:val="20"/>
                <w:szCs w:val="20"/>
              </w:rPr>
            </w:pPr>
            <w:r w:rsidRPr="00192643">
              <w:rPr>
                <w:rFonts w:cs="Times New Roman"/>
                <w:sz w:val="20"/>
                <w:szCs w:val="20"/>
              </w:rPr>
              <w:t xml:space="preserve">O-3039 </w:t>
            </w:r>
            <w:r>
              <w:rPr>
                <w:rFonts w:cs="Times New Roman"/>
                <w:sz w:val="20"/>
                <w:szCs w:val="20"/>
              </w:rPr>
              <w:t>(</w:t>
            </w:r>
            <w:r w:rsidRPr="00192643">
              <w:rPr>
                <w:rFonts w:cs="Times New Roman"/>
                <w:sz w:val="20"/>
                <w:szCs w:val="20"/>
              </w:rPr>
              <w:t>BI</w:t>
            </w:r>
            <w:r>
              <w:rPr>
                <w:rFonts w:cs="Times New Roman"/>
                <w:sz w:val="20"/>
                <w:szCs w:val="20"/>
              </w:rPr>
              <w:t>)</w:t>
            </w:r>
          </w:p>
        </w:tc>
        <w:tc>
          <w:tcPr>
            <w:tcW w:w="1842" w:type="dxa"/>
            <w:noWrap/>
          </w:tcPr>
          <w:p w:rsidRPr="00192643" w:rsidR="00434530" w:rsidP="00434530" w:rsidRDefault="00434530" w14:paraId="798C9755" w14:textId="77777777">
            <w:pPr>
              <w:spacing w:before="40" w:after="40"/>
              <w:rPr>
                <w:rFonts w:cs="Times New Roman"/>
                <w:sz w:val="20"/>
                <w:szCs w:val="20"/>
              </w:rPr>
            </w:pPr>
            <w:r w:rsidRPr="00192643">
              <w:rPr>
                <w:rFonts w:cs="Times New Roman"/>
                <w:sz w:val="20"/>
                <w:szCs w:val="20"/>
              </w:rPr>
              <w:t>Full (6PD</w:t>
            </w:r>
            <w:r w:rsidRPr="00192643">
              <w:rPr>
                <w:rFonts w:cs="Times New Roman"/>
                <w:sz w:val="20"/>
                <w:szCs w:val="20"/>
                <w:vertAlign w:val="subscript"/>
              </w:rPr>
              <w:t>50</w:t>
            </w:r>
            <w:r w:rsidRPr="00192643">
              <w:rPr>
                <w:rFonts w:cs="Times New Roman"/>
                <w:sz w:val="20"/>
                <w:szCs w:val="20"/>
              </w:rPr>
              <w:t>/dose)</w:t>
            </w:r>
          </w:p>
        </w:tc>
        <w:tc>
          <w:tcPr>
            <w:tcW w:w="1701" w:type="dxa"/>
            <w:noWrap/>
          </w:tcPr>
          <w:p w:rsidRPr="003B41A0" w:rsidR="00434530" w:rsidP="00434530" w:rsidRDefault="00434530" w14:paraId="21968E58" w14:textId="77777777">
            <w:pPr>
              <w:spacing w:before="40" w:after="40"/>
              <w:jc w:val="center"/>
              <w:rPr>
                <w:rFonts w:cs="Times New Roman"/>
                <w:sz w:val="20"/>
                <w:szCs w:val="20"/>
              </w:rPr>
            </w:pPr>
            <w:r w:rsidRPr="003B41A0">
              <w:rPr>
                <w:rFonts w:cs="Times New Roman"/>
                <w:sz w:val="20"/>
                <w:szCs w:val="20"/>
              </w:rPr>
              <w:t>100.0 (5/5)</w:t>
            </w:r>
          </w:p>
        </w:tc>
        <w:tc>
          <w:tcPr>
            <w:tcW w:w="1276" w:type="dxa"/>
          </w:tcPr>
          <w:p w:rsidRPr="003B41A0" w:rsidR="00434530" w:rsidP="00434530" w:rsidRDefault="00434530" w14:paraId="27DF8031" w14:textId="77777777">
            <w:pPr>
              <w:spacing w:before="40" w:after="40"/>
              <w:jc w:val="center"/>
              <w:rPr>
                <w:rFonts w:cs="Times New Roman"/>
                <w:sz w:val="20"/>
                <w:szCs w:val="20"/>
              </w:rPr>
            </w:pPr>
            <w:r w:rsidRPr="003B41A0">
              <w:rPr>
                <w:rFonts w:cs="Times New Roman"/>
                <w:sz w:val="20"/>
                <w:szCs w:val="20"/>
              </w:rPr>
              <w:t>&gt;2.0</w:t>
            </w:r>
          </w:p>
        </w:tc>
        <w:tc>
          <w:tcPr>
            <w:tcW w:w="1418" w:type="dxa"/>
          </w:tcPr>
          <w:p w:rsidRPr="00192643" w:rsidR="00434530" w:rsidP="00434530" w:rsidRDefault="00434530" w14:paraId="44459072" w14:textId="57CF8838">
            <w:pPr>
              <w:spacing w:before="40" w:after="40"/>
              <w:rPr>
                <w:rFonts w:cs="Times New Roman"/>
                <w:sz w:val="20"/>
                <w:szCs w:val="20"/>
              </w:rPr>
            </w:pPr>
            <w:r>
              <w:rPr>
                <w:rFonts w:cs="Times New Roman"/>
                <w:sz w:val="20"/>
                <w:szCs w:val="20"/>
              </w:rPr>
              <w:fldChar w:fldCharType="begin" w:fldLock="1"/>
            </w:r>
            <w:r w:rsidR="00D06AC1">
              <w:rPr>
                <w:rFonts w:cs="Times New Roman"/>
                <w:sz w:val="20"/>
                <w:szCs w:val="20"/>
              </w:rPr>
              <w:instrText>ADDIN CSL_CITATION {"citationItems":[{"id":"ITEM-1","itemData":{"DOI":"https:// doi.org/10.3390/vaccines9101110","author":[{"dropping-particle":"","family":"Singanallur","given":"Nagendrakumar Balasubramanian","non-dropping-particle":"","parse-names":false,"suffix":""},{"dropping-particle":"","family":"Dekker","given":"Aldo","non-dropping-particle":"","parse-names":false,"suffix":""},{"dropping-particle":"","family":"Eblé","given":"Phaedra L.","non-dropping-particle":"","parse-names":false,"suffix":""},{"dropping-particle":"","family":"Hemert-Kluitenberg","given":"Froukje","non-dropping-particle":"van","parse-names":false,"suffix":""},{"dropping-particle":"","family":"Weerdmeester","given":"Klaas","non-dropping-particle":"","parse-names":false,"suffix":""},{"dropping-particle":"","family":"Horsington","given":"Jacquelyn J","non-dropping-particle":"","parse-names":false,"suffix":""},{"dropping-particle":"","family":"Vosloo","given":"Wilna","non-dropping-particle":"","parse-names":false,"suffix":""}],"container-title":"Vaccines","id":"ITEM-1","issued":{"date-parts":[["2021"]]},"page":"1110","title":"Emergency FMD Serotype O Vaccines Protect Cattle against Heterologous Challenge with a Variant Foot-and-Mouth Disease Virus from the O/ME-SA/Ind2001 Lineage","type":"article-journal","volume":"9"},"uris":["http://www.mendeley.com/documents/?uuid=435a78ff-1a69-48ff-8a21-9bdcf820aeb8"]}],"mendeley":{"formattedCitation":"(2)","plainTextFormattedCitation":"(2)","previouslyFormattedCitation":"(2)"},"properties":{"noteIndex":0},"schema":"https://github.com/citation-style-language/schema/raw/master/csl-citation.json"}</w:instrText>
            </w:r>
            <w:r>
              <w:rPr>
                <w:rFonts w:cs="Times New Roman"/>
                <w:sz w:val="20"/>
                <w:szCs w:val="20"/>
              </w:rPr>
              <w:fldChar w:fldCharType="separate"/>
            </w:r>
            <w:r w:rsidRPr="00434530">
              <w:rPr>
                <w:rFonts w:cs="Times New Roman"/>
                <w:noProof/>
                <w:sz w:val="20"/>
                <w:szCs w:val="20"/>
              </w:rPr>
              <w:t>(2)</w:t>
            </w:r>
            <w:r>
              <w:rPr>
                <w:rFonts w:cs="Times New Roman"/>
                <w:sz w:val="20"/>
                <w:szCs w:val="20"/>
              </w:rPr>
              <w:fldChar w:fldCharType="end"/>
            </w:r>
          </w:p>
        </w:tc>
      </w:tr>
      <w:tr w:rsidRPr="00171385" w:rsidR="00434530" w:rsidTr="00402929" w14:paraId="21043434" w14:textId="77777777">
        <w:trPr>
          <w:trHeight w:val="290"/>
        </w:trPr>
        <w:tc>
          <w:tcPr>
            <w:tcW w:w="2268" w:type="dxa"/>
            <w:noWrap/>
          </w:tcPr>
          <w:p w:rsidRPr="00192643" w:rsidR="00434530" w:rsidP="00434530" w:rsidRDefault="00434530" w14:paraId="4E35DD13" w14:textId="77777777">
            <w:pPr>
              <w:spacing w:before="40" w:after="40"/>
              <w:rPr>
                <w:rFonts w:cs="Times New Roman"/>
                <w:sz w:val="20"/>
                <w:szCs w:val="20"/>
              </w:rPr>
            </w:pPr>
            <w:r>
              <w:rPr>
                <w:rFonts w:cs="Times New Roman"/>
                <w:sz w:val="20"/>
                <w:szCs w:val="20"/>
              </w:rPr>
              <w:t>O/</w:t>
            </w:r>
            <w:r w:rsidRPr="00192643">
              <w:rPr>
                <w:rFonts w:cs="Times New Roman"/>
                <w:sz w:val="20"/>
                <w:szCs w:val="20"/>
              </w:rPr>
              <w:t>ME-SA/Ind-2001d (challenge at day 7)</w:t>
            </w:r>
          </w:p>
        </w:tc>
        <w:tc>
          <w:tcPr>
            <w:tcW w:w="2409" w:type="dxa"/>
          </w:tcPr>
          <w:p w:rsidRPr="00192643" w:rsidR="00434530" w:rsidP="00434530" w:rsidRDefault="00434530" w14:paraId="036F09FB" w14:textId="77777777">
            <w:pPr>
              <w:spacing w:before="40" w:after="40"/>
              <w:rPr>
                <w:rFonts w:cs="Times New Roman"/>
                <w:sz w:val="20"/>
                <w:szCs w:val="20"/>
              </w:rPr>
            </w:pPr>
            <w:r w:rsidRPr="00192643">
              <w:rPr>
                <w:rFonts w:cs="Times New Roman"/>
                <w:sz w:val="20"/>
                <w:szCs w:val="20"/>
              </w:rPr>
              <w:t xml:space="preserve">O-3039 &amp; O </w:t>
            </w:r>
            <w:proofErr w:type="spellStart"/>
            <w:r w:rsidRPr="00192643">
              <w:rPr>
                <w:rFonts w:cs="Times New Roman"/>
                <w:sz w:val="20"/>
                <w:szCs w:val="20"/>
              </w:rPr>
              <w:t>Manisa</w:t>
            </w:r>
            <w:proofErr w:type="spellEnd"/>
            <w:r w:rsidRPr="00192643">
              <w:rPr>
                <w:rFonts w:cs="Times New Roman"/>
                <w:sz w:val="20"/>
                <w:szCs w:val="20"/>
              </w:rPr>
              <w:t xml:space="preserve"> </w:t>
            </w:r>
          </w:p>
        </w:tc>
        <w:tc>
          <w:tcPr>
            <w:tcW w:w="1842" w:type="dxa"/>
            <w:noWrap/>
          </w:tcPr>
          <w:p w:rsidRPr="00192643" w:rsidR="00434530" w:rsidP="00434530" w:rsidRDefault="00434530" w14:paraId="55DEA11F" w14:textId="77777777">
            <w:pPr>
              <w:spacing w:before="40" w:after="40"/>
              <w:rPr>
                <w:rFonts w:cs="Times New Roman"/>
                <w:sz w:val="20"/>
                <w:szCs w:val="20"/>
              </w:rPr>
            </w:pPr>
            <w:r w:rsidRPr="00192643">
              <w:rPr>
                <w:rFonts w:cs="Times New Roman"/>
                <w:sz w:val="20"/>
                <w:szCs w:val="20"/>
              </w:rPr>
              <w:t>Full (6PD</w:t>
            </w:r>
            <w:r w:rsidRPr="00192643">
              <w:rPr>
                <w:rFonts w:cs="Times New Roman"/>
                <w:sz w:val="20"/>
                <w:szCs w:val="20"/>
                <w:vertAlign w:val="subscript"/>
              </w:rPr>
              <w:t>50</w:t>
            </w:r>
            <w:r w:rsidRPr="00192643">
              <w:rPr>
                <w:rFonts w:cs="Times New Roman"/>
                <w:sz w:val="20"/>
                <w:szCs w:val="20"/>
              </w:rPr>
              <w:t>/dose)</w:t>
            </w:r>
          </w:p>
        </w:tc>
        <w:tc>
          <w:tcPr>
            <w:tcW w:w="1701" w:type="dxa"/>
            <w:noWrap/>
          </w:tcPr>
          <w:p w:rsidRPr="003B41A0" w:rsidR="00434530" w:rsidP="00434530" w:rsidRDefault="00434530" w14:paraId="58D81247" w14:textId="77777777">
            <w:pPr>
              <w:spacing w:before="40" w:after="40"/>
              <w:jc w:val="center"/>
              <w:rPr>
                <w:rFonts w:cs="Times New Roman"/>
                <w:sz w:val="20"/>
                <w:szCs w:val="20"/>
              </w:rPr>
            </w:pPr>
            <w:r w:rsidRPr="003B41A0">
              <w:rPr>
                <w:rFonts w:cs="Times New Roman"/>
                <w:sz w:val="20"/>
                <w:szCs w:val="20"/>
              </w:rPr>
              <w:t>80.0 (4/5)</w:t>
            </w:r>
          </w:p>
        </w:tc>
        <w:tc>
          <w:tcPr>
            <w:tcW w:w="1276" w:type="dxa"/>
          </w:tcPr>
          <w:p w:rsidRPr="003B41A0" w:rsidR="00434530" w:rsidP="00434530" w:rsidRDefault="00434530" w14:paraId="74421CD5" w14:textId="77777777">
            <w:pPr>
              <w:spacing w:before="40" w:after="40"/>
              <w:jc w:val="center"/>
              <w:rPr>
                <w:rFonts w:cs="Times New Roman"/>
                <w:sz w:val="20"/>
                <w:szCs w:val="20"/>
              </w:rPr>
            </w:pPr>
            <w:r w:rsidRPr="003B41A0">
              <w:rPr>
                <w:rFonts w:cs="Times New Roman"/>
                <w:sz w:val="20"/>
                <w:szCs w:val="20"/>
              </w:rPr>
              <w:t>&gt;1.0</w:t>
            </w:r>
          </w:p>
        </w:tc>
        <w:tc>
          <w:tcPr>
            <w:tcW w:w="1418" w:type="dxa"/>
          </w:tcPr>
          <w:p w:rsidRPr="00192643" w:rsidR="00434530" w:rsidP="00434530" w:rsidRDefault="00434530" w14:paraId="27591EED" w14:textId="587462B9">
            <w:pPr>
              <w:spacing w:before="40" w:after="40"/>
              <w:rPr>
                <w:rFonts w:cs="Times New Roman"/>
                <w:sz w:val="20"/>
                <w:szCs w:val="20"/>
              </w:rPr>
            </w:pPr>
            <w:r>
              <w:rPr>
                <w:rFonts w:cs="Times New Roman"/>
                <w:sz w:val="20"/>
                <w:szCs w:val="20"/>
              </w:rPr>
              <w:fldChar w:fldCharType="begin" w:fldLock="1"/>
            </w:r>
            <w:r w:rsidR="00D06AC1">
              <w:rPr>
                <w:rFonts w:cs="Times New Roman"/>
                <w:sz w:val="20"/>
                <w:szCs w:val="20"/>
              </w:rPr>
              <w:instrText>ADDIN CSL_CITATION {"citationItems":[{"id":"ITEM-1","itemData":{"DOI":"https:// doi.org/10.3390/vaccines9101110","author":[{"dropping-particle":"","family":"Singanallur","given":"Nagendrakumar Balasubramanian","non-dropping-particle":"","parse-names":false,"suffix":""},{"dropping-particle":"","family":"Dekker","given":"Aldo","non-dropping-particle":"","parse-names":false,"suffix":""},{"dropping-particle":"","family":"Eblé","given":"Phaedra L.","non-dropping-particle":"","parse-names":false,"suffix":""},{"dropping-particle":"","family":"Hemert-Kluitenberg","given":"Froukje","non-dropping-particle":"van","parse-names":false,"suffix":""},{"dropping-particle":"","family":"Weerdmeester","given":"Klaas","non-dropping-particle":"","parse-names":false,"suffix":""},{"dropping-particle":"","family":"Horsington","given":"Jacquelyn J","non-dropping-particle":"","parse-names":false,"suffix":""},{"dropping-particle":"","family":"Vosloo","given":"Wilna","non-dropping-particle":"","parse-names":false,"suffix":""}],"container-title":"Vaccines","id":"ITEM-1","issued":{"date-parts":[["2021"]]},"page":"1110","title":"Emergency FMD Serotype O Vaccines Protect Cattle against Heterologous Challenge with a Variant Foot-and-Mouth Disease Virus from the O/ME-SA/Ind2001 Lineage","type":"article-journal","volume":"9"},"uris":["http://www.mendeley.com/documents/?uuid=435a78ff-1a69-48ff-8a21-9bdcf820aeb8"]}],"mendeley":{"formattedCitation":"(2)","plainTextFormattedCitation":"(2)","previouslyFormattedCitation":"(2)"},"properties":{"noteIndex":0},"schema":"https://github.com/citation-style-language/schema/raw/master/csl-citation.json"}</w:instrText>
            </w:r>
            <w:r>
              <w:rPr>
                <w:rFonts w:cs="Times New Roman"/>
                <w:sz w:val="20"/>
                <w:szCs w:val="20"/>
              </w:rPr>
              <w:fldChar w:fldCharType="separate"/>
            </w:r>
            <w:r w:rsidRPr="00434530">
              <w:rPr>
                <w:rFonts w:cs="Times New Roman"/>
                <w:noProof/>
                <w:sz w:val="20"/>
                <w:szCs w:val="20"/>
              </w:rPr>
              <w:t>(2)</w:t>
            </w:r>
            <w:r>
              <w:rPr>
                <w:rFonts w:cs="Times New Roman"/>
                <w:sz w:val="20"/>
                <w:szCs w:val="20"/>
              </w:rPr>
              <w:fldChar w:fldCharType="end"/>
            </w:r>
          </w:p>
        </w:tc>
      </w:tr>
      <w:tr w:rsidRPr="00171385" w:rsidR="00434530" w:rsidTr="00402929" w14:paraId="3564F63E" w14:textId="77777777">
        <w:trPr>
          <w:trHeight w:val="290"/>
        </w:trPr>
        <w:tc>
          <w:tcPr>
            <w:tcW w:w="2268" w:type="dxa"/>
            <w:tcBorders>
              <w:bottom w:val="single" w:color="auto" w:sz="4" w:space="0"/>
            </w:tcBorders>
            <w:noWrap/>
          </w:tcPr>
          <w:p w:rsidRPr="00192643" w:rsidR="00434530" w:rsidP="00434530" w:rsidRDefault="00434530" w14:paraId="39537B05" w14:textId="77777777">
            <w:pPr>
              <w:spacing w:before="40" w:after="40"/>
              <w:rPr>
                <w:rFonts w:cs="Times New Roman"/>
                <w:sz w:val="20"/>
                <w:szCs w:val="20"/>
              </w:rPr>
            </w:pPr>
            <w:r>
              <w:rPr>
                <w:rFonts w:cs="Times New Roman"/>
                <w:sz w:val="20"/>
                <w:szCs w:val="20"/>
              </w:rPr>
              <w:t>O/</w:t>
            </w:r>
            <w:r w:rsidRPr="00192643">
              <w:rPr>
                <w:rFonts w:cs="Times New Roman"/>
                <w:sz w:val="20"/>
                <w:szCs w:val="20"/>
              </w:rPr>
              <w:t>ME-SA/Ind-2001d (challenge at day 21)</w:t>
            </w:r>
          </w:p>
        </w:tc>
        <w:tc>
          <w:tcPr>
            <w:tcW w:w="2409" w:type="dxa"/>
            <w:tcBorders>
              <w:bottom w:val="single" w:color="auto" w:sz="4" w:space="0"/>
            </w:tcBorders>
          </w:tcPr>
          <w:p w:rsidRPr="00192643" w:rsidR="00434530" w:rsidP="00434530" w:rsidRDefault="00434530" w14:paraId="52A33745" w14:textId="77777777">
            <w:pPr>
              <w:spacing w:before="40" w:after="40"/>
              <w:rPr>
                <w:rFonts w:cs="Times New Roman"/>
                <w:sz w:val="20"/>
                <w:szCs w:val="20"/>
              </w:rPr>
            </w:pPr>
            <w:r w:rsidRPr="00192643">
              <w:rPr>
                <w:rFonts w:cs="Times New Roman"/>
                <w:sz w:val="20"/>
                <w:szCs w:val="20"/>
              </w:rPr>
              <w:t xml:space="preserve">O-3039 &amp; O </w:t>
            </w:r>
            <w:proofErr w:type="spellStart"/>
            <w:r w:rsidRPr="00192643">
              <w:rPr>
                <w:rFonts w:cs="Times New Roman"/>
                <w:sz w:val="20"/>
                <w:szCs w:val="20"/>
              </w:rPr>
              <w:t>Manisa</w:t>
            </w:r>
            <w:proofErr w:type="spellEnd"/>
            <w:r w:rsidRPr="00192643">
              <w:rPr>
                <w:rFonts w:cs="Times New Roman"/>
                <w:sz w:val="20"/>
                <w:szCs w:val="20"/>
              </w:rPr>
              <w:t xml:space="preserve"> </w:t>
            </w:r>
          </w:p>
        </w:tc>
        <w:tc>
          <w:tcPr>
            <w:tcW w:w="1842" w:type="dxa"/>
            <w:tcBorders>
              <w:bottom w:val="single" w:color="auto" w:sz="4" w:space="0"/>
            </w:tcBorders>
            <w:noWrap/>
          </w:tcPr>
          <w:p w:rsidRPr="00192643" w:rsidR="00434530" w:rsidP="00434530" w:rsidRDefault="00434530" w14:paraId="5A8C44B5" w14:textId="77777777">
            <w:pPr>
              <w:spacing w:before="40" w:after="40"/>
              <w:rPr>
                <w:rFonts w:cs="Times New Roman"/>
                <w:sz w:val="20"/>
                <w:szCs w:val="20"/>
              </w:rPr>
            </w:pPr>
            <w:r w:rsidRPr="00192643">
              <w:rPr>
                <w:rFonts w:cs="Times New Roman"/>
                <w:sz w:val="20"/>
                <w:szCs w:val="20"/>
              </w:rPr>
              <w:t>Full (6PD</w:t>
            </w:r>
            <w:r w:rsidRPr="00192643">
              <w:rPr>
                <w:rFonts w:cs="Times New Roman"/>
                <w:sz w:val="20"/>
                <w:szCs w:val="20"/>
                <w:vertAlign w:val="subscript"/>
              </w:rPr>
              <w:t>50</w:t>
            </w:r>
            <w:r w:rsidRPr="00192643">
              <w:rPr>
                <w:rFonts w:cs="Times New Roman"/>
                <w:sz w:val="20"/>
                <w:szCs w:val="20"/>
              </w:rPr>
              <w:t>/dose)</w:t>
            </w:r>
          </w:p>
        </w:tc>
        <w:tc>
          <w:tcPr>
            <w:tcW w:w="1701" w:type="dxa"/>
            <w:tcBorders>
              <w:bottom w:val="single" w:color="auto" w:sz="4" w:space="0"/>
            </w:tcBorders>
            <w:noWrap/>
          </w:tcPr>
          <w:p w:rsidRPr="003B41A0" w:rsidR="00434530" w:rsidP="00434530" w:rsidRDefault="00434530" w14:paraId="5234AA25" w14:textId="77777777">
            <w:pPr>
              <w:spacing w:before="40" w:after="40"/>
              <w:jc w:val="center"/>
              <w:rPr>
                <w:rFonts w:cs="Times New Roman"/>
                <w:sz w:val="20"/>
                <w:szCs w:val="20"/>
              </w:rPr>
            </w:pPr>
            <w:r w:rsidRPr="003B41A0">
              <w:rPr>
                <w:rFonts w:cs="Times New Roman"/>
                <w:sz w:val="20"/>
                <w:szCs w:val="20"/>
              </w:rPr>
              <w:t>100.0 (5/5)</w:t>
            </w:r>
          </w:p>
        </w:tc>
        <w:tc>
          <w:tcPr>
            <w:tcW w:w="1276" w:type="dxa"/>
            <w:tcBorders>
              <w:bottom w:val="single" w:color="auto" w:sz="4" w:space="0"/>
            </w:tcBorders>
          </w:tcPr>
          <w:p w:rsidRPr="003B41A0" w:rsidR="00434530" w:rsidP="00434530" w:rsidRDefault="00434530" w14:paraId="497037D7" w14:textId="77777777">
            <w:pPr>
              <w:spacing w:before="40" w:after="40"/>
              <w:jc w:val="center"/>
              <w:rPr>
                <w:rFonts w:cs="Times New Roman"/>
                <w:sz w:val="20"/>
                <w:szCs w:val="20"/>
              </w:rPr>
            </w:pPr>
            <w:r w:rsidRPr="003B41A0">
              <w:rPr>
                <w:rFonts w:cs="Times New Roman"/>
                <w:sz w:val="20"/>
                <w:szCs w:val="20"/>
              </w:rPr>
              <w:t>&gt;2.0</w:t>
            </w:r>
          </w:p>
        </w:tc>
        <w:tc>
          <w:tcPr>
            <w:tcW w:w="1418" w:type="dxa"/>
            <w:tcBorders>
              <w:bottom w:val="single" w:color="auto" w:sz="4" w:space="0"/>
            </w:tcBorders>
          </w:tcPr>
          <w:p w:rsidRPr="00192643" w:rsidR="00434530" w:rsidP="00434530" w:rsidRDefault="00434530" w14:paraId="711B0A3F" w14:textId="31D92E8C">
            <w:pPr>
              <w:spacing w:before="40" w:after="40"/>
              <w:rPr>
                <w:rFonts w:cs="Times New Roman"/>
                <w:sz w:val="20"/>
                <w:szCs w:val="20"/>
              </w:rPr>
            </w:pPr>
            <w:r>
              <w:rPr>
                <w:rFonts w:cs="Times New Roman"/>
                <w:sz w:val="20"/>
                <w:szCs w:val="20"/>
              </w:rPr>
              <w:fldChar w:fldCharType="begin" w:fldLock="1"/>
            </w:r>
            <w:r w:rsidR="00D06AC1">
              <w:rPr>
                <w:rFonts w:cs="Times New Roman"/>
                <w:sz w:val="20"/>
                <w:szCs w:val="20"/>
              </w:rPr>
              <w:instrText>ADDIN CSL_CITATION {"citationItems":[{"id":"ITEM-1","itemData":{"DOI":"https:// doi.org/10.3390/vaccines9101110","author":[{"dropping-particle":"","family":"Singanallur","given":"Nagendrakumar Balasubramanian","non-dropping-particle":"","parse-names":false,"suffix":""},{"dropping-particle":"","family":"Dekker","given":"Aldo","non-dropping-particle":"","parse-names":false,"suffix":""},{"dropping-particle":"","family":"Eblé","given":"Phaedra L.","non-dropping-particle":"","parse-names":false,"suffix":""},{"dropping-particle":"","family":"Hemert-Kluitenberg","given":"Froukje","non-dropping-particle":"van","parse-names":false,"suffix":""},{"dropping-particle":"","family":"Weerdmeester","given":"Klaas","non-dropping-particle":"","parse-names":false,"suffix":""},{"dropping-particle":"","family":"Horsington","given":"Jacquelyn J","non-dropping-particle":"","parse-names":false,"suffix":""},{"dropping-particle":"","family":"Vosloo","given":"Wilna","non-dropping-particle":"","parse-names":false,"suffix":""}],"container-title":"Vaccines","id":"ITEM-1","issued":{"date-parts":[["2021"]]},"page":"1110","title":"Emergency FMD Serotype O Vaccines Protect Cattle against Heterologous Challenge with a Variant Foot-and-Mouth Disease Virus from the O/ME-SA/Ind2001 Lineage","type":"article-journal","volume":"9"},"uris":["http://www.mendeley.com/documents/?uuid=435a78ff-1a69-48ff-8a21-9bdcf820aeb8"]}],"mendeley":{"formattedCitation":"(2)","plainTextFormattedCitation":"(2)","previouslyFormattedCitation":"(2)"},"properties":{"noteIndex":0},"schema":"https://github.com/citation-style-language/schema/raw/master/csl-citation.json"}</w:instrText>
            </w:r>
            <w:r>
              <w:rPr>
                <w:rFonts w:cs="Times New Roman"/>
                <w:sz w:val="20"/>
                <w:szCs w:val="20"/>
              </w:rPr>
              <w:fldChar w:fldCharType="separate"/>
            </w:r>
            <w:r w:rsidRPr="00434530">
              <w:rPr>
                <w:rFonts w:cs="Times New Roman"/>
                <w:noProof/>
                <w:sz w:val="20"/>
                <w:szCs w:val="20"/>
              </w:rPr>
              <w:t>(2)</w:t>
            </w:r>
            <w:r>
              <w:rPr>
                <w:rFonts w:cs="Times New Roman"/>
                <w:sz w:val="20"/>
                <w:szCs w:val="20"/>
              </w:rPr>
              <w:fldChar w:fldCharType="end"/>
            </w:r>
          </w:p>
        </w:tc>
      </w:tr>
      <w:tr w:rsidRPr="00171385" w:rsidR="00434530" w:rsidTr="00402929" w14:paraId="4776F6F2" w14:textId="77777777">
        <w:trPr>
          <w:trHeight w:val="290"/>
        </w:trPr>
        <w:tc>
          <w:tcPr>
            <w:tcW w:w="2268" w:type="dxa"/>
            <w:tcBorders>
              <w:top w:val="single" w:color="auto" w:sz="4" w:space="0"/>
            </w:tcBorders>
            <w:noWrap/>
          </w:tcPr>
          <w:p w:rsidRPr="00192643" w:rsidR="00434530" w:rsidP="00434530" w:rsidRDefault="00434530" w14:paraId="7D477CF7" w14:textId="77777777">
            <w:pPr>
              <w:spacing w:before="40" w:after="40"/>
              <w:rPr>
                <w:rFonts w:cs="Times New Roman"/>
                <w:sz w:val="20"/>
                <w:szCs w:val="20"/>
              </w:rPr>
            </w:pPr>
            <w:r w:rsidRPr="00192643">
              <w:rPr>
                <w:rFonts w:cs="Times New Roman"/>
                <w:sz w:val="20"/>
                <w:szCs w:val="20"/>
              </w:rPr>
              <w:t>A/Asia/G-VII</w:t>
            </w:r>
          </w:p>
        </w:tc>
        <w:tc>
          <w:tcPr>
            <w:tcW w:w="2409" w:type="dxa"/>
            <w:tcBorders>
              <w:top w:val="single" w:color="auto" w:sz="4" w:space="0"/>
            </w:tcBorders>
          </w:tcPr>
          <w:p w:rsidRPr="00192643" w:rsidR="00434530" w:rsidP="00434530" w:rsidRDefault="00582590" w14:paraId="3A9204C5" w14:textId="2F3EA201">
            <w:pPr>
              <w:spacing w:before="40" w:after="40"/>
              <w:rPr>
                <w:rFonts w:cs="Times New Roman"/>
                <w:sz w:val="20"/>
                <w:szCs w:val="20"/>
              </w:rPr>
            </w:pPr>
            <w:r w:rsidRPr="00582590">
              <w:rPr>
                <w:rFonts w:cs="Times New Roman"/>
                <w:sz w:val="20"/>
                <w:szCs w:val="20"/>
                <w:lang w:val="es-ES"/>
              </w:rPr>
              <w:t>A-IRN-05</w:t>
            </w:r>
            <w:r w:rsidRPr="00192643" w:rsidR="00434530">
              <w:rPr>
                <w:rFonts w:cs="Times New Roman"/>
                <w:sz w:val="20"/>
                <w:szCs w:val="20"/>
                <w:lang w:val="es-ES"/>
              </w:rPr>
              <w:t>/</w:t>
            </w:r>
            <w:r w:rsidRPr="004E2BC6" w:rsidR="004E2BC6">
              <w:rPr>
                <w:rFonts w:cs="Times New Roman"/>
                <w:sz w:val="20"/>
                <w:szCs w:val="20"/>
                <w:lang w:val="es-ES"/>
              </w:rPr>
              <w:t>A-SAU-95</w:t>
            </w:r>
            <w:r w:rsidRPr="00192643" w:rsidR="00434530">
              <w:rPr>
                <w:rFonts w:cs="Times New Roman"/>
                <w:sz w:val="20"/>
                <w:szCs w:val="20"/>
              </w:rPr>
              <w:t xml:space="preserve"> </w:t>
            </w:r>
            <w:r w:rsidR="00434530">
              <w:rPr>
                <w:rFonts w:cs="Times New Roman"/>
                <w:sz w:val="20"/>
                <w:szCs w:val="20"/>
              </w:rPr>
              <w:t>(</w:t>
            </w:r>
            <w:r w:rsidRPr="00192643" w:rsidR="00434530">
              <w:rPr>
                <w:rFonts w:cs="Times New Roman"/>
                <w:sz w:val="20"/>
                <w:szCs w:val="20"/>
              </w:rPr>
              <w:t>BI</w:t>
            </w:r>
            <w:r w:rsidR="00434530">
              <w:rPr>
                <w:rFonts w:cs="Times New Roman"/>
                <w:sz w:val="20"/>
                <w:szCs w:val="20"/>
              </w:rPr>
              <w:t>)</w:t>
            </w:r>
          </w:p>
        </w:tc>
        <w:tc>
          <w:tcPr>
            <w:tcW w:w="1842" w:type="dxa"/>
            <w:tcBorders>
              <w:top w:val="single" w:color="auto" w:sz="4" w:space="0"/>
            </w:tcBorders>
            <w:noWrap/>
          </w:tcPr>
          <w:p w:rsidRPr="00192643" w:rsidR="00434530" w:rsidP="00434530" w:rsidRDefault="00434530" w14:paraId="0ECDC8EB" w14:textId="77777777">
            <w:pPr>
              <w:spacing w:before="40" w:after="40"/>
              <w:rPr>
                <w:rFonts w:cs="Times New Roman"/>
                <w:sz w:val="20"/>
                <w:szCs w:val="20"/>
              </w:rPr>
            </w:pPr>
            <w:r w:rsidRPr="00192643">
              <w:rPr>
                <w:rFonts w:cs="Times New Roman"/>
                <w:sz w:val="20"/>
                <w:szCs w:val="20"/>
              </w:rPr>
              <w:t>Full</w:t>
            </w:r>
          </w:p>
        </w:tc>
        <w:tc>
          <w:tcPr>
            <w:tcW w:w="1701" w:type="dxa"/>
            <w:tcBorders>
              <w:top w:val="single" w:color="auto" w:sz="4" w:space="0"/>
            </w:tcBorders>
            <w:noWrap/>
          </w:tcPr>
          <w:p w:rsidRPr="003B41A0" w:rsidR="00434530" w:rsidP="00434530" w:rsidRDefault="00434530" w14:paraId="07A1A090" w14:textId="77777777">
            <w:pPr>
              <w:spacing w:before="40" w:after="40"/>
              <w:jc w:val="center"/>
              <w:rPr>
                <w:rFonts w:cs="Times New Roman"/>
                <w:sz w:val="20"/>
                <w:szCs w:val="20"/>
              </w:rPr>
            </w:pPr>
            <w:r w:rsidRPr="003B41A0">
              <w:rPr>
                <w:rFonts w:cs="Times New Roman"/>
                <w:sz w:val="20"/>
                <w:szCs w:val="20"/>
              </w:rPr>
              <w:t>56.3 (9/16)</w:t>
            </w:r>
          </w:p>
        </w:tc>
        <w:tc>
          <w:tcPr>
            <w:tcW w:w="1276" w:type="dxa"/>
            <w:tcBorders>
              <w:top w:val="single" w:color="auto" w:sz="4" w:space="0"/>
            </w:tcBorders>
          </w:tcPr>
          <w:p w:rsidRPr="003B41A0" w:rsidR="00434530" w:rsidP="00434530" w:rsidRDefault="00434530" w14:paraId="5E9968D6" w14:textId="77777777">
            <w:pPr>
              <w:spacing w:before="40" w:after="40"/>
              <w:jc w:val="center"/>
              <w:rPr>
                <w:rFonts w:cs="Times New Roman"/>
                <w:sz w:val="20"/>
                <w:szCs w:val="20"/>
              </w:rPr>
            </w:pPr>
            <w:r w:rsidRPr="003B41A0">
              <w:rPr>
                <w:rFonts w:cs="Times New Roman"/>
                <w:sz w:val="20"/>
                <w:szCs w:val="20"/>
              </w:rPr>
              <w:t>-</w:t>
            </w:r>
          </w:p>
        </w:tc>
        <w:tc>
          <w:tcPr>
            <w:tcW w:w="1418" w:type="dxa"/>
            <w:tcBorders>
              <w:top w:val="single" w:color="auto" w:sz="4" w:space="0"/>
            </w:tcBorders>
          </w:tcPr>
          <w:p w:rsidRPr="00192643" w:rsidR="00434530" w:rsidP="00434530" w:rsidRDefault="00D06AC1" w14:paraId="3E57C03F" w14:textId="7B41285C">
            <w:pPr>
              <w:spacing w:before="40" w:after="40"/>
              <w:rPr>
                <w:rFonts w:cs="Times New Roman"/>
                <w:sz w:val="20"/>
                <w:szCs w:val="20"/>
              </w:rPr>
            </w:pPr>
            <w:r>
              <w:rPr>
                <w:rFonts w:cs="Times New Roman"/>
                <w:sz w:val="20"/>
                <w:szCs w:val="20"/>
              </w:rPr>
              <w:fldChar w:fldCharType="begin" w:fldLock="1"/>
            </w:r>
            <w:r w:rsidR="00431841">
              <w:rPr>
                <w:rFonts w:cs="Times New Roman"/>
                <w:sz w:val="20"/>
                <w:szCs w:val="20"/>
              </w:rPr>
              <w:instrText>ADDIN CSL_CITATION {"citationItems":[{"id":"ITEM-1","itemData":{"DOI":"10.1016/j.vaccine.2018.02.016","ISSN":"18732518","PMID":"29506922","abstract":"In 2015, outbreaks of foot-and-mouth disease (FMD) in the Middle East were discovered to be caused by a viral lineage (A/ASIA/G-VII), which has recently emerged from the Indian sub-continent. In vitro vaccine matching data generated by the World Reference Laboratory (WRLFMD) indicated that A/ASIA/G-VII field viruses were poorly matched with vaccines (A-SAU-95, A22 IRQ and A-IRN-05) that are already used in the region. In order to assess the likely performance of one of these commercially available FMD vaccines, sixteen cattle were vaccinated with a polyvalent vaccine which contained two serotype A components (A-SAU-95 and A-IRN-05) with a homologous potency of at least 6PD50, and two cattle were left unvaccinated as controls. Twenty-one days later, all 18 cattle were challenged by tongue inoculation with an FMDV field isolate A/IRN/22/2015 from the A/ASIA/G-VII lineage, in line with the European Pharmacopeia PPG test conditions. The two control animals developed generalised FMD, and 7/16 vaccinated animals developed at least one foot lesion, thus only 56.3% were defined as protected. For the vaccine components, there was a significant increase in the probability of protection with increasing serological titres for A-SAU-95 (p = 0.03), but not for A-IRN-05 (p = 0.42). Analysis of FMDV in blood and nasal swabs suggested that vaccination reduced shedding and potential onward spread of FMD virus even if the animal developed foot lesions. In summary, the results from this study suggest that whilst this vaccine would not be appropriate for use in an emergency situation (in previously FMD-free countries), it may be partially effective in the field in endemic countries where repeat prophylactic vaccination is practiced. For emergency reactive vaccination, the findings from this study support the idea that a new vaccine strain should be developed that is tailored to the A/ASIA/G-VII lineage.","author":[{"dropping-particle":"","family":"Waters","given":"Ryan","non-dropping-particle":"","parse-names":false,"suffix":""},{"dropping-particle":"","family":"Ludi","given":"Anna B.","non-dropping-particle":"","parse-names":false,"suffix":""},{"dropping-particle":"","family":"Fowler","given":"Veronica L.","non-dropping-particle":"","parse-names":false,"suffix":""},{"dropping-particle":"","family":"Wilsden","given":"Ginette","non-dropping-particle":"","parse-names":false,"suffix":""},{"dropping-particle":"","family":"Browning","given":"Clare","non-dropping-particle":"","parse-names":false,"suffix":""},{"dropping-particle":"","family":"Gubbins","given":"Simon","non-dropping-particle":"","parse-names":false,"suffix":""},{"dropping-particle":"","family":"Statham","given":"Bob","non-dropping-particle":"","parse-names":false,"suffix":""},{"dropping-particle":"","family":"Bin-Tarif","given":"Abdelghani","non-dropping-particle":"","parse-names":false,"suffix":""},{"dropping-particle":"","family":"Mioulet","given":"Valerie","non-dropping-particle":"","parse-names":false,"suffix":""},{"dropping-particle":"","family":"King","given":"David J.","non-dropping-particle":"","parse-names":false,"suffix":""},{"dropping-particle":"","family":"Colenutt","given":"Claire","non-dropping-particle":"","parse-names":false,"suffix":""},{"dropping-particle":"","family":"Brown","given":"Emma","non-dropping-particle":"","parse-names":false,"suffix":""},{"dropping-particle":"","family":"Hudelet","given":"Pascal","non-dropping-particle":"","parse-names":false,"suffix":""},{"dropping-particle":"","family":"King","given":"Donald P.","non-dropping-particle":"","parse-names":false,"suffix":""}],"container-title":"Vaccine","id":"ITEM-1","issue":"14","issued":{"date-parts":[["2018"]]},"page":"1901-1907","publisher":"The Pirbright Institute","title":"Efficacy of a high-potency multivalent foot-and-mouth disease virus vaccine in cattle against heterologous challenge with a field virus from the emerging A/ASIA/G-VII lineage","type":"article-journal","volume":"36"},"uris":["http://www.mendeley.com/documents/?uuid=beaaa7d2-ab9b-4247-ba67-e8fdd7d49ee0"]}],"mendeley":{"formattedCitation":"(3)","plainTextFormattedCitation":"(3)","previouslyFormattedCitation":"(3)"},"properties":{"noteIndex":0},"schema":"https://github.com/citation-style-language/schema/raw/master/csl-citation.json"}</w:instrText>
            </w:r>
            <w:r>
              <w:rPr>
                <w:rFonts w:cs="Times New Roman"/>
                <w:sz w:val="20"/>
                <w:szCs w:val="20"/>
              </w:rPr>
              <w:fldChar w:fldCharType="separate"/>
            </w:r>
            <w:r w:rsidRPr="00D06AC1">
              <w:rPr>
                <w:rFonts w:cs="Times New Roman"/>
                <w:noProof/>
                <w:sz w:val="20"/>
                <w:szCs w:val="20"/>
              </w:rPr>
              <w:t>(3)</w:t>
            </w:r>
            <w:r>
              <w:rPr>
                <w:rFonts w:cs="Times New Roman"/>
                <w:sz w:val="20"/>
                <w:szCs w:val="20"/>
              </w:rPr>
              <w:fldChar w:fldCharType="end"/>
            </w:r>
          </w:p>
        </w:tc>
      </w:tr>
      <w:tr w:rsidRPr="00171385" w:rsidR="00434530" w:rsidTr="00402929" w14:paraId="31D920F7" w14:textId="77777777">
        <w:trPr>
          <w:trHeight w:val="290"/>
        </w:trPr>
        <w:tc>
          <w:tcPr>
            <w:tcW w:w="2268" w:type="dxa"/>
            <w:noWrap/>
          </w:tcPr>
          <w:p w:rsidRPr="00192643" w:rsidR="00434530" w:rsidP="00434530" w:rsidRDefault="00C41F5C" w14:paraId="39EC7563" w14:textId="6F096FE6">
            <w:pPr>
              <w:spacing w:before="40" w:after="40"/>
              <w:rPr>
                <w:rFonts w:cs="Times New Roman"/>
                <w:sz w:val="20"/>
                <w:szCs w:val="20"/>
              </w:rPr>
            </w:pPr>
            <w:r w:rsidRPr="00192643">
              <w:rPr>
                <w:rFonts w:cs="Times New Roman"/>
                <w:sz w:val="20"/>
                <w:szCs w:val="20"/>
              </w:rPr>
              <w:t>A/Asia/G-VII</w:t>
            </w:r>
          </w:p>
        </w:tc>
        <w:tc>
          <w:tcPr>
            <w:tcW w:w="2409" w:type="dxa"/>
          </w:tcPr>
          <w:p w:rsidRPr="00192643" w:rsidR="00434530" w:rsidP="00434530" w:rsidRDefault="00946D93" w14:paraId="3F6017C7" w14:textId="5DB034DB">
            <w:pPr>
              <w:spacing w:before="40" w:after="40"/>
              <w:rPr>
                <w:rFonts w:cs="Times New Roman"/>
                <w:sz w:val="20"/>
                <w:szCs w:val="20"/>
              </w:rPr>
            </w:pPr>
            <w:r w:rsidRPr="00946D93">
              <w:rPr>
                <w:rFonts w:cs="Times New Roman"/>
                <w:sz w:val="20"/>
                <w:szCs w:val="20"/>
              </w:rPr>
              <w:t>A22/IRQ/64</w:t>
            </w:r>
            <w:r w:rsidRPr="00946D93">
              <w:rPr>
                <w:rFonts w:cs="Times New Roman"/>
                <w:sz w:val="20"/>
                <w:szCs w:val="20"/>
              </w:rPr>
              <w:t xml:space="preserve"> </w:t>
            </w:r>
            <w:r w:rsidR="00434530">
              <w:rPr>
                <w:rFonts w:cs="Times New Roman"/>
                <w:sz w:val="20"/>
                <w:szCs w:val="20"/>
              </w:rPr>
              <w:t>(</w:t>
            </w:r>
            <w:r w:rsidRPr="00192643" w:rsidR="00434530">
              <w:rPr>
                <w:rFonts w:cs="Times New Roman"/>
                <w:sz w:val="20"/>
                <w:szCs w:val="20"/>
              </w:rPr>
              <w:t>BI</w:t>
            </w:r>
            <w:r w:rsidR="00434530">
              <w:rPr>
                <w:rFonts w:cs="Times New Roman"/>
                <w:sz w:val="20"/>
                <w:szCs w:val="20"/>
              </w:rPr>
              <w:t>)</w:t>
            </w:r>
          </w:p>
        </w:tc>
        <w:tc>
          <w:tcPr>
            <w:tcW w:w="1842" w:type="dxa"/>
            <w:noWrap/>
          </w:tcPr>
          <w:p w:rsidRPr="00192643" w:rsidR="00434530" w:rsidP="00434530" w:rsidRDefault="00434530" w14:paraId="647D0BB3" w14:textId="77777777">
            <w:pPr>
              <w:spacing w:before="40" w:after="40"/>
              <w:rPr>
                <w:rFonts w:cs="Times New Roman"/>
                <w:sz w:val="20"/>
                <w:szCs w:val="20"/>
              </w:rPr>
            </w:pPr>
            <w:r w:rsidRPr="00192643">
              <w:rPr>
                <w:rFonts w:cs="Times New Roman"/>
                <w:sz w:val="20"/>
                <w:szCs w:val="20"/>
              </w:rPr>
              <w:t>Full</w:t>
            </w:r>
          </w:p>
        </w:tc>
        <w:tc>
          <w:tcPr>
            <w:tcW w:w="1701" w:type="dxa"/>
            <w:noWrap/>
          </w:tcPr>
          <w:p w:rsidRPr="003B41A0" w:rsidR="00434530" w:rsidP="00434530" w:rsidRDefault="00434530" w14:paraId="2C36CD23" w14:textId="77777777">
            <w:pPr>
              <w:spacing w:before="40" w:after="40"/>
              <w:jc w:val="center"/>
              <w:rPr>
                <w:rFonts w:cs="Times New Roman"/>
                <w:sz w:val="20"/>
                <w:szCs w:val="20"/>
              </w:rPr>
            </w:pPr>
            <w:r w:rsidRPr="003B41A0">
              <w:rPr>
                <w:rFonts w:cs="Times New Roman"/>
                <w:sz w:val="20"/>
                <w:szCs w:val="20"/>
              </w:rPr>
              <w:t>28.6 (2/7)</w:t>
            </w:r>
          </w:p>
        </w:tc>
        <w:tc>
          <w:tcPr>
            <w:tcW w:w="1276" w:type="dxa"/>
          </w:tcPr>
          <w:p w:rsidRPr="003B41A0" w:rsidR="00434530" w:rsidP="00434530" w:rsidRDefault="00434530" w14:paraId="4D687BE6" w14:textId="77777777">
            <w:pPr>
              <w:spacing w:before="40" w:after="40"/>
              <w:jc w:val="center"/>
              <w:rPr>
                <w:rFonts w:cs="Times New Roman"/>
                <w:sz w:val="20"/>
                <w:szCs w:val="20"/>
              </w:rPr>
            </w:pPr>
            <w:r w:rsidRPr="003B41A0">
              <w:rPr>
                <w:rFonts w:cs="Times New Roman"/>
                <w:sz w:val="20"/>
                <w:szCs w:val="20"/>
              </w:rPr>
              <w:t>&lt;1.5</w:t>
            </w:r>
          </w:p>
        </w:tc>
        <w:tc>
          <w:tcPr>
            <w:tcW w:w="1418" w:type="dxa"/>
          </w:tcPr>
          <w:p w:rsidRPr="00192643" w:rsidR="00434530" w:rsidP="00434530" w:rsidRDefault="00431841" w14:paraId="3C660BA2" w14:textId="1F561A74">
            <w:pPr>
              <w:spacing w:before="40" w:after="40"/>
              <w:rPr>
                <w:rFonts w:cs="Times New Roman"/>
                <w:sz w:val="20"/>
                <w:szCs w:val="20"/>
              </w:rPr>
            </w:pPr>
            <w:r>
              <w:rPr>
                <w:rFonts w:cs="Times New Roman"/>
                <w:sz w:val="20"/>
                <w:szCs w:val="20"/>
              </w:rPr>
              <w:fldChar w:fldCharType="begin" w:fldLock="1"/>
            </w:r>
            <w:r w:rsidR="004A2D0C">
              <w:rPr>
                <w:rFonts w:cs="Times New Roman"/>
                <w:sz w:val="20"/>
                <w:szCs w:val="20"/>
              </w:rPr>
              <w:instrText>ADDIN CSL_CITATION {"citationItems":[{"id":"ITEM-1","itemData":{"DOI":"10.3390/vaccines8010024","ISSN":"2076393X","abstract":"Since 2015, outbreaks of foot-and-mouth disease (FMD) in the Middle East have been caused by a new emerging viral lineage, A/ASIA/G-VII. Invitro vaccine matching data indicated that this virus poorly matched (low r1-value) with vaccines that were being used in the region as well as most other commercially available vaccines. The aim of this study was to assess the performance of two candidate vaccines against challenge with a representative field virus from the A/ASIA/G-VII lineage. The results from an initial full dose protection study provided encouraging data for the A/MAY/97 vaccine, while the A22 /IRQ/64 vaccine only protected 2/7 vaccinated animals. In view of these promising results, this vaccine was tested in a potency test (PD50) experiment in which 5 cattle were vaccinated with a full dose, 5 cattle with a 1/3 dose and 5 cattle with a 1/9 dose of vaccine. At 21 days post vaccination these vaccinated cattle and 3 control cattle were challenged intradermolingually with a field isolate from the A/ASIA/G-VII lineage. The intra-serotype heterologous potency test resulted in an intra-serotype heterologous potency of 6.5 PD50 /dose. These data support previous studies showing that a high potency emergency vaccine can protect against clinical disease when challenged with a heterologous strain of the same serotype, indicating that not only the r1-value of the vaccine, but also the homologous potency of a vaccine should be taken into account when advising vaccines to control an outbreak.","author":[{"dropping-particle":"","family":"Dekker","given":"Aldo","non-dropping-particle":"","parse-names":false,"suffix":""},{"dropping-particle":"","family":"Sanz-Bernardo","given":"Beatriz","non-dropping-particle":"","parse-names":false,"suffix":""},{"dropping-particle":"","family":"Singanallur","given":"Nagendrakumar Balasubramanian","non-dropping-particle":"","parse-names":false,"suffix":""},{"dropping-particle":"","family":"Ludi","given":"Anna B.","non-dropping-particle":"","parse-names":false,"suffix":""},{"dropping-particle":"","family":"Horsington","given":"Jacquelyn","non-dropping-particle":"","parse-names":false,"suffix":""},{"dropping-particle":"","family":"Eblé","given":"Phaedra L.","non-dropping-particle":"","parse-names":false,"suffix":""},{"dropping-particle":"","family":"King","given":"Donald P.","non-dropping-particle":"","parse-names":false,"suffix":""},{"dropping-particle":"","family":"Vosloo","given":"Wilna","non-dropping-particle":"","parse-names":false,"suffix":""}],"container-title":"Vaccines","id":"ITEM-1","issue":"1","issued":{"date-parts":[["2020"]]},"page":"1-17","title":"Cross-protection induced by a A/MAY/97 emergency vaccine against intra-serotype heterologous challenge with a foot-and-mouth disease virus from the A/ASIA/G-VII lineage","type":"article-journal","volume":"8"},"uris":["http://www.mendeley.com/documents/?uuid=4279bade-3aab-46a2-82c1-6e516eda73ae"]}],"mendeley":{"formattedCitation":"(4)","plainTextFormattedCitation":"(4)","previouslyFormattedCitation":"(4)"},"properties":{"noteIndex":0},"schema":"https://github.com/citation-style-language/schema/raw/master/csl-citation.json"}</w:instrText>
            </w:r>
            <w:r>
              <w:rPr>
                <w:rFonts w:cs="Times New Roman"/>
                <w:sz w:val="20"/>
                <w:szCs w:val="20"/>
              </w:rPr>
              <w:fldChar w:fldCharType="separate"/>
            </w:r>
            <w:r w:rsidRPr="00431841">
              <w:rPr>
                <w:rFonts w:cs="Times New Roman"/>
                <w:noProof/>
                <w:sz w:val="20"/>
                <w:szCs w:val="20"/>
              </w:rPr>
              <w:t>(4)</w:t>
            </w:r>
            <w:r>
              <w:rPr>
                <w:rFonts w:cs="Times New Roman"/>
                <w:sz w:val="20"/>
                <w:szCs w:val="20"/>
              </w:rPr>
              <w:fldChar w:fldCharType="end"/>
            </w:r>
          </w:p>
        </w:tc>
      </w:tr>
      <w:tr w:rsidRPr="00171385" w:rsidR="00434530" w:rsidTr="00402929" w14:paraId="2C53905C" w14:textId="77777777">
        <w:trPr>
          <w:trHeight w:val="290"/>
        </w:trPr>
        <w:tc>
          <w:tcPr>
            <w:tcW w:w="2268" w:type="dxa"/>
            <w:noWrap/>
          </w:tcPr>
          <w:p w:rsidRPr="00192643" w:rsidR="00434530" w:rsidP="00434530" w:rsidRDefault="00137477" w14:paraId="71D278C5" w14:textId="1A48E4E3">
            <w:pPr>
              <w:spacing w:before="40" w:after="40"/>
              <w:rPr>
                <w:rFonts w:cs="Times New Roman"/>
                <w:sz w:val="20"/>
                <w:szCs w:val="20"/>
              </w:rPr>
            </w:pPr>
            <w:r w:rsidRPr="00192643">
              <w:rPr>
                <w:rFonts w:cs="Times New Roman"/>
                <w:sz w:val="20"/>
                <w:szCs w:val="20"/>
              </w:rPr>
              <w:t>A/Asia/G-VII</w:t>
            </w:r>
          </w:p>
        </w:tc>
        <w:tc>
          <w:tcPr>
            <w:tcW w:w="2409" w:type="dxa"/>
          </w:tcPr>
          <w:p w:rsidRPr="00192643" w:rsidR="00434530" w:rsidP="00434530" w:rsidRDefault="00E23241" w14:paraId="327023FD" w14:textId="476A28DC">
            <w:pPr>
              <w:spacing w:before="40" w:after="40"/>
              <w:rPr>
                <w:rFonts w:cs="Times New Roman"/>
                <w:sz w:val="20"/>
                <w:szCs w:val="20"/>
              </w:rPr>
            </w:pPr>
            <w:r w:rsidRPr="00E23241">
              <w:rPr>
                <w:rFonts w:cs="Times New Roman"/>
                <w:sz w:val="20"/>
                <w:szCs w:val="20"/>
              </w:rPr>
              <w:t>A22Iraq24/64</w:t>
            </w:r>
            <w:r w:rsidRPr="00192643" w:rsidR="00434530">
              <w:rPr>
                <w:rFonts w:cs="Times New Roman"/>
                <w:sz w:val="20"/>
                <w:szCs w:val="20"/>
              </w:rPr>
              <w:t xml:space="preserve"> </w:t>
            </w:r>
            <w:r w:rsidR="00434530">
              <w:rPr>
                <w:rFonts w:cs="Times New Roman"/>
                <w:sz w:val="20"/>
                <w:szCs w:val="20"/>
              </w:rPr>
              <w:t>(</w:t>
            </w:r>
            <w:r w:rsidRPr="00192643" w:rsidR="00434530">
              <w:rPr>
                <w:rFonts w:cs="Times New Roman"/>
                <w:sz w:val="20"/>
                <w:szCs w:val="20"/>
              </w:rPr>
              <w:t>BI</w:t>
            </w:r>
            <w:r w:rsidR="00434530">
              <w:rPr>
                <w:rFonts w:cs="Times New Roman"/>
                <w:sz w:val="20"/>
                <w:szCs w:val="20"/>
              </w:rPr>
              <w:t>)</w:t>
            </w:r>
          </w:p>
        </w:tc>
        <w:tc>
          <w:tcPr>
            <w:tcW w:w="1842" w:type="dxa"/>
            <w:noWrap/>
          </w:tcPr>
          <w:p w:rsidRPr="00192643" w:rsidR="00434530" w:rsidP="00434530" w:rsidRDefault="00434530" w14:paraId="132175A8" w14:textId="77777777">
            <w:pPr>
              <w:spacing w:before="40" w:after="40"/>
              <w:rPr>
                <w:rFonts w:cs="Times New Roman"/>
                <w:sz w:val="20"/>
                <w:szCs w:val="20"/>
              </w:rPr>
            </w:pPr>
          </w:p>
        </w:tc>
        <w:tc>
          <w:tcPr>
            <w:tcW w:w="1701" w:type="dxa"/>
            <w:noWrap/>
          </w:tcPr>
          <w:p w:rsidRPr="003B41A0" w:rsidR="00434530" w:rsidP="00434530" w:rsidRDefault="00434530" w14:paraId="05AB7238" w14:textId="77777777">
            <w:pPr>
              <w:spacing w:before="40" w:after="40"/>
              <w:jc w:val="center"/>
              <w:rPr>
                <w:rFonts w:cs="Times New Roman"/>
                <w:sz w:val="20"/>
                <w:szCs w:val="20"/>
              </w:rPr>
            </w:pPr>
          </w:p>
        </w:tc>
        <w:tc>
          <w:tcPr>
            <w:tcW w:w="1276" w:type="dxa"/>
          </w:tcPr>
          <w:p w:rsidRPr="003B41A0" w:rsidR="00434530" w:rsidP="00434530" w:rsidRDefault="00434530" w14:paraId="1D498D10" w14:textId="77777777">
            <w:pPr>
              <w:spacing w:before="40" w:after="40"/>
              <w:jc w:val="center"/>
              <w:rPr>
                <w:rFonts w:cs="Times New Roman"/>
                <w:sz w:val="20"/>
                <w:szCs w:val="20"/>
              </w:rPr>
            </w:pPr>
          </w:p>
        </w:tc>
        <w:tc>
          <w:tcPr>
            <w:tcW w:w="1418" w:type="dxa"/>
          </w:tcPr>
          <w:p w:rsidRPr="00192643" w:rsidR="00434530" w:rsidP="00434530" w:rsidRDefault="004A2D0C" w14:paraId="29B55390" w14:textId="3E16B07B">
            <w:pPr>
              <w:spacing w:before="40" w:after="40"/>
              <w:rPr>
                <w:rFonts w:cs="Times New Roman"/>
                <w:sz w:val="20"/>
                <w:szCs w:val="20"/>
              </w:rPr>
            </w:pPr>
            <w:r>
              <w:rPr>
                <w:rFonts w:cs="Times New Roman"/>
                <w:sz w:val="20"/>
                <w:szCs w:val="20"/>
              </w:rPr>
              <w:fldChar w:fldCharType="begin" w:fldLock="1"/>
            </w:r>
            <w:r w:rsidR="00CB742B">
              <w:rPr>
                <w:rFonts w:cs="Times New Roman"/>
                <w:sz w:val="20"/>
                <w:szCs w:val="20"/>
              </w:rPr>
              <w:instrText>ADDIN CSL_CITATION {"citationItems":[{"id":"ITEM-1","itemData":{"DOI":"10.1016/j.vaccine.2008.01.038","ISSN":"0264410X","PMID":"18313814","abstract":"In a series of three homologous and eight heterologous challenge experiments, it was shown that high potency vaccines against foot-and-mouth disease (FMD) serotype A can induce protection even against heterologous challenge infection with viruses that give low r-values with the vaccine strains. The challenge virus specific neutralizing antibody response on the day of challenge (21 days post vaccination) generally correlated with protection. © 2008 Elsevier Ltd. All rights reserved.","author":[{"dropping-particle":"","family":"Brehm","given":"K. E.","non-dropping-particle":"","parse-names":false,"suffix":""},{"dropping-particle":"","family":"Kumar","given":"N.","non-dropping-particle":"","parse-names":false,"suffix":""},{"dropping-particle":"","family":"Thulke","given":"H. H.","non-dropping-particle":"","parse-names":false,"suffix":""},{"dropping-particle":"","family":"Haas","given":"B.","non-dropping-particle":"","parse-names":false,"suffix":""}],"container-title":"Vaccine","id":"ITEM-1","issue":"13","issued":{"date-parts":[["2008"]]},"page":"1681-1687","title":"High potency vaccines induce protection against heterologous challenge with foot-and-mouth disease virus","type":"article-journal","volume":"26"},"uris":["http://www.mendeley.com/documents/?uuid=7a523a84-1e54-486e-bf33-f3222dbdb2ed"]}],"mendeley":{"formattedCitation":"(5)","plainTextFormattedCitation":"(5)","previouslyFormattedCitation":"(5)"},"properties":{"noteIndex":0},"schema":"https://github.com/citation-style-language/schema/raw/master/csl-citation.json"}</w:instrText>
            </w:r>
            <w:r>
              <w:rPr>
                <w:rFonts w:cs="Times New Roman"/>
                <w:sz w:val="20"/>
                <w:szCs w:val="20"/>
              </w:rPr>
              <w:fldChar w:fldCharType="separate"/>
            </w:r>
            <w:r w:rsidRPr="004A2D0C">
              <w:rPr>
                <w:rFonts w:cs="Times New Roman"/>
                <w:noProof/>
                <w:sz w:val="20"/>
                <w:szCs w:val="20"/>
              </w:rPr>
              <w:t>(5)</w:t>
            </w:r>
            <w:r>
              <w:rPr>
                <w:rFonts w:cs="Times New Roman"/>
                <w:sz w:val="20"/>
                <w:szCs w:val="20"/>
              </w:rPr>
              <w:fldChar w:fldCharType="end"/>
            </w:r>
          </w:p>
        </w:tc>
      </w:tr>
      <w:tr w:rsidRPr="00171385" w:rsidR="00137477" w:rsidTr="00402929" w14:paraId="526E2685" w14:textId="77777777">
        <w:trPr>
          <w:trHeight w:val="290"/>
        </w:trPr>
        <w:tc>
          <w:tcPr>
            <w:tcW w:w="2268" w:type="dxa"/>
            <w:noWrap/>
          </w:tcPr>
          <w:p w:rsidRPr="00192643" w:rsidR="00137477" w:rsidP="00137477" w:rsidRDefault="00137477" w14:paraId="4D7B2F70" w14:textId="4968E0EB">
            <w:pPr>
              <w:spacing w:before="40" w:after="40"/>
              <w:rPr>
                <w:rFonts w:cs="Times New Roman"/>
                <w:sz w:val="20"/>
                <w:szCs w:val="20"/>
              </w:rPr>
            </w:pPr>
            <w:r w:rsidRPr="00192643">
              <w:rPr>
                <w:rFonts w:cs="Times New Roman"/>
                <w:sz w:val="20"/>
                <w:szCs w:val="20"/>
              </w:rPr>
              <w:t>A/Asia/G-VII</w:t>
            </w:r>
          </w:p>
        </w:tc>
        <w:tc>
          <w:tcPr>
            <w:tcW w:w="2409" w:type="dxa"/>
          </w:tcPr>
          <w:p w:rsidRPr="00192643" w:rsidR="00137477" w:rsidP="00137477" w:rsidRDefault="00D26C4D" w14:paraId="09D7C2B8" w14:textId="6B5A02DA">
            <w:pPr>
              <w:spacing w:before="40" w:after="40"/>
              <w:rPr>
                <w:rFonts w:cs="Times New Roman"/>
                <w:sz w:val="20"/>
                <w:szCs w:val="20"/>
              </w:rPr>
            </w:pPr>
            <w:r w:rsidRPr="00D26C4D">
              <w:rPr>
                <w:rFonts w:cs="Times New Roman"/>
                <w:sz w:val="20"/>
                <w:szCs w:val="20"/>
              </w:rPr>
              <w:t>A/MAY/97</w:t>
            </w:r>
            <w:r w:rsidRPr="00192643" w:rsidR="00137477">
              <w:rPr>
                <w:rFonts w:cs="Times New Roman"/>
                <w:sz w:val="20"/>
                <w:szCs w:val="20"/>
              </w:rPr>
              <w:t xml:space="preserve"> </w:t>
            </w:r>
            <w:r w:rsidR="00137477">
              <w:rPr>
                <w:rFonts w:cs="Times New Roman"/>
                <w:sz w:val="20"/>
                <w:szCs w:val="20"/>
              </w:rPr>
              <w:t>(</w:t>
            </w:r>
            <w:r w:rsidRPr="00192643" w:rsidR="00137477">
              <w:rPr>
                <w:rFonts w:cs="Times New Roman"/>
                <w:sz w:val="20"/>
                <w:szCs w:val="20"/>
              </w:rPr>
              <w:t>BI</w:t>
            </w:r>
            <w:r w:rsidR="00137477">
              <w:rPr>
                <w:rFonts w:cs="Times New Roman"/>
                <w:sz w:val="20"/>
                <w:szCs w:val="20"/>
              </w:rPr>
              <w:t>)</w:t>
            </w:r>
          </w:p>
        </w:tc>
        <w:tc>
          <w:tcPr>
            <w:tcW w:w="1842" w:type="dxa"/>
            <w:noWrap/>
          </w:tcPr>
          <w:p w:rsidRPr="00192643" w:rsidR="00137477" w:rsidP="00137477" w:rsidRDefault="00137477" w14:paraId="3555B6F4" w14:textId="4FA92C33">
            <w:pPr>
              <w:spacing w:before="40" w:after="40"/>
              <w:rPr>
                <w:rFonts w:cs="Times New Roman"/>
                <w:sz w:val="20"/>
                <w:szCs w:val="20"/>
              </w:rPr>
            </w:pPr>
            <w:r w:rsidRPr="00192643">
              <w:rPr>
                <w:rFonts w:cs="Times New Roman"/>
                <w:sz w:val="20"/>
                <w:szCs w:val="20"/>
              </w:rPr>
              <w:t>Full</w:t>
            </w:r>
          </w:p>
        </w:tc>
        <w:tc>
          <w:tcPr>
            <w:tcW w:w="1701" w:type="dxa"/>
            <w:noWrap/>
          </w:tcPr>
          <w:p w:rsidRPr="003B41A0" w:rsidR="00137477" w:rsidP="00137477" w:rsidRDefault="00137477" w14:paraId="34588BA1" w14:textId="281191BF">
            <w:pPr>
              <w:spacing w:before="40" w:after="40"/>
              <w:jc w:val="center"/>
              <w:rPr>
                <w:rFonts w:cs="Times New Roman"/>
                <w:sz w:val="20"/>
                <w:szCs w:val="20"/>
              </w:rPr>
            </w:pPr>
            <w:r w:rsidRPr="003B41A0">
              <w:rPr>
                <w:rFonts w:cs="Times New Roman"/>
                <w:sz w:val="20"/>
                <w:szCs w:val="20"/>
              </w:rPr>
              <w:t>71.4 (5/7)</w:t>
            </w:r>
          </w:p>
        </w:tc>
        <w:tc>
          <w:tcPr>
            <w:tcW w:w="1276" w:type="dxa"/>
          </w:tcPr>
          <w:p w:rsidRPr="003B41A0" w:rsidR="00137477" w:rsidP="00137477" w:rsidRDefault="00137477" w14:paraId="43F162ED" w14:textId="45111178">
            <w:pPr>
              <w:spacing w:before="40" w:after="40"/>
              <w:jc w:val="center"/>
              <w:rPr>
                <w:rFonts w:cs="Times New Roman"/>
                <w:sz w:val="20"/>
                <w:szCs w:val="20"/>
              </w:rPr>
            </w:pPr>
            <w:r w:rsidRPr="003B41A0">
              <w:rPr>
                <w:rFonts w:cs="Times New Roman"/>
                <w:sz w:val="20"/>
                <w:szCs w:val="20"/>
              </w:rPr>
              <w:t>&gt;1.5</w:t>
            </w:r>
          </w:p>
        </w:tc>
        <w:tc>
          <w:tcPr>
            <w:tcW w:w="1418" w:type="dxa"/>
          </w:tcPr>
          <w:p w:rsidRPr="00192643" w:rsidR="00137477" w:rsidP="00137477" w:rsidRDefault="00137477" w14:paraId="1E6CE3DC" w14:textId="63834198">
            <w:pPr>
              <w:spacing w:before="40" w:after="40"/>
              <w:rPr>
                <w:rFonts w:cs="Times New Roman"/>
                <w:sz w:val="20"/>
                <w:szCs w:val="20"/>
              </w:rPr>
            </w:pPr>
            <w:r>
              <w:rPr>
                <w:rFonts w:cs="Times New Roman"/>
                <w:sz w:val="20"/>
                <w:szCs w:val="20"/>
              </w:rPr>
              <w:fldChar w:fldCharType="begin" w:fldLock="1"/>
            </w:r>
            <w:r w:rsidR="004A2D0C">
              <w:rPr>
                <w:rFonts w:cs="Times New Roman"/>
                <w:sz w:val="20"/>
                <w:szCs w:val="20"/>
              </w:rPr>
              <w:instrText>ADDIN CSL_CITATION {"citationItems":[{"id":"ITEM-1","itemData":{"DOI":"10.3390/vaccines8010024","ISSN":"2076393X","abstract":"Since 2015, outbreaks of foot-and-mouth disease (FMD) in the Middle East have been caused by a new emerging viral lineage, A/ASIA/G-VII. Invitro vaccine matching data indicated that this virus poorly matched (low r1-value) with vaccines that were being used in the region as well as most other commercially available vaccines. The aim of this study was to assess the performance of two candidate vaccines against challenge with a representative field virus from the A/ASIA/G-VII lineage. The results from an initial full dose protection study provided encouraging data for the A/MAY/97 vaccine, while the A22 /IRQ/64 vaccine only protected 2/7 vaccinated animals. In view of these promising results, this vaccine was tested in a potency test (PD50) experiment in which 5 cattle were vaccinated with a full dose, 5 cattle with a 1/3 dose and 5 cattle with a 1/9 dose of vaccine. At 21 days post vaccination these vaccinated cattle and 3 control cattle were challenged intradermolingually with a field isolate from the A/ASIA/G-VII lineage. The intra-serotype heterologous potency test resulted in an intra-serotype heterologous potency of 6.5 PD50 /dose. These data support previous studies showing that a high potency emergency vaccine can protect against clinical disease when challenged with a heterologous strain of the same serotype, indicating that not only the r1-value of the vaccine, but also the homologous potency of a vaccine should be taken into account when advising vaccines to control an outbreak.","author":[{"dropping-particle":"","family":"Dekker","given":"Aldo","non-dropping-particle":"","parse-names":false,"suffix":""},{"dropping-particle":"","family":"Sanz-Bernardo","given":"Beatriz","non-dropping-particle":"","parse-names":false,"suffix":""},{"dropping-particle":"","family":"Singanallur","given":"Nagendrakumar Balasubramanian","non-dropping-particle":"","parse-names":false,"suffix":""},{"dropping-particle":"","family":"Ludi","given":"Anna B.","non-dropping-particle":"","parse-names":false,"suffix":""},{"dropping-particle":"","family":"Horsington","given":"Jacquelyn","non-dropping-particle":"","parse-names":false,"suffix":""},{"dropping-particle":"","family":"Eblé","given":"Phaedra L.","non-dropping-particle":"","parse-names":false,"suffix":""},{"dropping-particle":"","family":"King","given":"Donald P.","non-dropping-particle":"","parse-names":false,"suffix":""},{"dropping-particle":"","family":"Vosloo","given":"Wilna","non-dropping-particle":"","parse-names":false,"suffix":""}],"container-title":"Vaccines","id":"ITEM-1","issue":"1","issued":{"date-parts":[["2020"]]},"page":"1-17","title":"Cross-protection induced by a A/MAY/97 emergency vaccine against intra-serotype heterologous challenge with a foot-and-mouth disease virus from the A/ASIA/G-VII lineage","type":"article-journal","volume":"8"},"uris":["http://www.mendeley.com/documents/?uuid=4279bade-3aab-46a2-82c1-6e516eda73ae"]}],"mendeley":{"formattedCitation":"(4)","plainTextFormattedCitation":"(4)","previouslyFormattedCitation":"(4)"},"properties":{"noteIndex":0},"schema":"https://github.com/citation-style-language/schema/raw/master/csl-citation.json"}</w:instrText>
            </w:r>
            <w:r>
              <w:rPr>
                <w:rFonts w:cs="Times New Roman"/>
                <w:sz w:val="20"/>
                <w:szCs w:val="20"/>
              </w:rPr>
              <w:fldChar w:fldCharType="separate"/>
            </w:r>
            <w:r w:rsidRPr="00431841">
              <w:rPr>
                <w:rFonts w:cs="Times New Roman"/>
                <w:noProof/>
                <w:sz w:val="20"/>
                <w:szCs w:val="20"/>
              </w:rPr>
              <w:t>(4)</w:t>
            </w:r>
            <w:r>
              <w:rPr>
                <w:rFonts w:cs="Times New Roman"/>
                <w:sz w:val="20"/>
                <w:szCs w:val="20"/>
              </w:rPr>
              <w:fldChar w:fldCharType="end"/>
            </w:r>
          </w:p>
        </w:tc>
      </w:tr>
      <w:tr w:rsidRPr="00171385" w:rsidR="00137477" w:rsidTr="00402929" w14:paraId="42AC9C37" w14:textId="77777777">
        <w:trPr>
          <w:trHeight w:val="290"/>
        </w:trPr>
        <w:tc>
          <w:tcPr>
            <w:tcW w:w="2268" w:type="dxa"/>
            <w:noWrap/>
          </w:tcPr>
          <w:p w:rsidRPr="00192643" w:rsidR="00137477" w:rsidP="00137477" w:rsidRDefault="00137477" w14:paraId="1B642C3F" w14:textId="77777777">
            <w:pPr>
              <w:spacing w:before="40" w:after="40"/>
              <w:rPr>
                <w:rFonts w:cs="Times New Roman"/>
                <w:sz w:val="20"/>
                <w:szCs w:val="20"/>
              </w:rPr>
            </w:pPr>
          </w:p>
        </w:tc>
        <w:tc>
          <w:tcPr>
            <w:tcW w:w="2409" w:type="dxa"/>
          </w:tcPr>
          <w:p w:rsidRPr="00192643" w:rsidR="00137477" w:rsidP="00137477" w:rsidRDefault="00D26C4D" w14:paraId="6D023FD4" w14:textId="5098306C">
            <w:pPr>
              <w:spacing w:before="40" w:after="40"/>
              <w:rPr>
                <w:rFonts w:cs="Times New Roman"/>
                <w:sz w:val="20"/>
                <w:szCs w:val="20"/>
              </w:rPr>
            </w:pPr>
            <w:r w:rsidRPr="00D26C4D">
              <w:rPr>
                <w:rFonts w:cs="Times New Roman"/>
                <w:sz w:val="20"/>
                <w:szCs w:val="20"/>
              </w:rPr>
              <w:t>A/MAY/97</w:t>
            </w:r>
            <w:r w:rsidRPr="00D26C4D">
              <w:rPr>
                <w:rFonts w:cs="Times New Roman"/>
                <w:sz w:val="20"/>
                <w:szCs w:val="20"/>
              </w:rPr>
              <w:t xml:space="preserve"> </w:t>
            </w:r>
            <w:r w:rsidR="00137477">
              <w:rPr>
                <w:rFonts w:cs="Times New Roman"/>
                <w:sz w:val="20"/>
                <w:szCs w:val="20"/>
              </w:rPr>
              <w:t>(</w:t>
            </w:r>
            <w:r w:rsidRPr="00192643" w:rsidR="00137477">
              <w:rPr>
                <w:rFonts w:cs="Times New Roman"/>
                <w:sz w:val="20"/>
                <w:szCs w:val="20"/>
              </w:rPr>
              <w:t>BI</w:t>
            </w:r>
            <w:r w:rsidR="00137477">
              <w:rPr>
                <w:rFonts w:cs="Times New Roman"/>
                <w:sz w:val="20"/>
                <w:szCs w:val="20"/>
              </w:rPr>
              <w:t>)</w:t>
            </w:r>
          </w:p>
        </w:tc>
        <w:tc>
          <w:tcPr>
            <w:tcW w:w="1842" w:type="dxa"/>
            <w:noWrap/>
          </w:tcPr>
          <w:p w:rsidRPr="00192643" w:rsidR="00137477" w:rsidP="00137477" w:rsidRDefault="00137477" w14:paraId="0A57AB25" w14:textId="3D9B8291">
            <w:pPr>
              <w:spacing w:before="40" w:after="40"/>
              <w:rPr>
                <w:rFonts w:cs="Times New Roman"/>
                <w:sz w:val="20"/>
                <w:szCs w:val="20"/>
              </w:rPr>
            </w:pPr>
            <w:r w:rsidRPr="00192643">
              <w:rPr>
                <w:rFonts w:cs="Times New Roman"/>
                <w:sz w:val="20"/>
                <w:szCs w:val="20"/>
              </w:rPr>
              <w:t>Various</w:t>
            </w:r>
          </w:p>
        </w:tc>
        <w:tc>
          <w:tcPr>
            <w:tcW w:w="1701" w:type="dxa"/>
            <w:noWrap/>
          </w:tcPr>
          <w:p w:rsidRPr="003B41A0" w:rsidR="00137477" w:rsidP="00137477" w:rsidRDefault="00137477" w14:paraId="604D591F" w14:textId="11ECD0D7">
            <w:pPr>
              <w:spacing w:before="40" w:after="40"/>
              <w:jc w:val="center"/>
              <w:rPr>
                <w:rFonts w:cs="Times New Roman"/>
                <w:sz w:val="20"/>
                <w:szCs w:val="20"/>
              </w:rPr>
            </w:pPr>
            <w:r w:rsidRPr="003B41A0">
              <w:rPr>
                <w:rFonts w:cs="Times New Roman"/>
                <w:sz w:val="20"/>
                <w:szCs w:val="20"/>
              </w:rPr>
              <w:t>86.7 (13/15)</w:t>
            </w:r>
          </w:p>
        </w:tc>
        <w:tc>
          <w:tcPr>
            <w:tcW w:w="1276" w:type="dxa"/>
          </w:tcPr>
          <w:p w:rsidRPr="003B41A0" w:rsidR="00137477" w:rsidP="00137477" w:rsidRDefault="00137477" w14:paraId="1260DA53" w14:textId="45148B9E">
            <w:pPr>
              <w:spacing w:before="40" w:after="40"/>
              <w:jc w:val="center"/>
              <w:rPr>
                <w:rFonts w:cs="Times New Roman"/>
                <w:sz w:val="20"/>
                <w:szCs w:val="20"/>
              </w:rPr>
            </w:pPr>
            <w:r w:rsidRPr="003B41A0">
              <w:rPr>
                <w:rFonts w:cs="Times New Roman"/>
                <w:sz w:val="20"/>
                <w:szCs w:val="20"/>
              </w:rPr>
              <w:t>&lt;1.5</w:t>
            </w:r>
          </w:p>
        </w:tc>
        <w:tc>
          <w:tcPr>
            <w:tcW w:w="1418" w:type="dxa"/>
          </w:tcPr>
          <w:p w:rsidRPr="00192643" w:rsidR="00137477" w:rsidP="00137477" w:rsidRDefault="00137477" w14:paraId="28A45063" w14:textId="47AAACE0">
            <w:pPr>
              <w:spacing w:before="40" w:after="40"/>
              <w:rPr>
                <w:rFonts w:cs="Times New Roman"/>
                <w:sz w:val="20"/>
                <w:szCs w:val="20"/>
              </w:rPr>
            </w:pPr>
            <w:r>
              <w:rPr>
                <w:rFonts w:cs="Times New Roman"/>
                <w:sz w:val="20"/>
                <w:szCs w:val="20"/>
              </w:rPr>
              <w:fldChar w:fldCharType="begin" w:fldLock="1"/>
            </w:r>
            <w:r w:rsidR="004A2D0C">
              <w:rPr>
                <w:rFonts w:cs="Times New Roman"/>
                <w:sz w:val="20"/>
                <w:szCs w:val="20"/>
              </w:rPr>
              <w:instrText>ADDIN CSL_CITATION {"citationItems":[{"id":"ITEM-1","itemData":{"DOI":"10.3390/vaccines8010024","ISSN":"2076393X","abstract":"Since 2015, outbreaks of foot-and-mouth disease (FMD) in the Middle East have been caused by a new emerging viral lineage, A/ASIA/G-VII. Invitro vaccine matching data indicated that this virus poorly matched (low r1-value) with vaccines that were being used in the region as well as most other commercially available vaccines. The aim of this study was to assess the performance of two candidate vaccines against challenge with a representative field virus from the A/ASIA/G-VII lineage. The results from an initial full dose protection study provided encouraging data for the A/MAY/97 vaccine, while the A22 /IRQ/64 vaccine only protected 2/7 vaccinated animals. In view of these promising results, this vaccine was tested in a potency test (PD50) experiment in which 5 cattle were vaccinated with a full dose, 5 cattle with a 1/3 dose and 5 cattle with a 1/9 dose of vaccine. At 21 days post vaccination these vaccinated cattle and 3 control cattle were challenged intradermolingually with a field isolate from the A/ASIA/G-VII lineage. The intra-serotype heterologous potency test resulted in an intra-serotype heterologous potency of 6.5 PD50 /dose. These data support previous studies showing that a high potency emergency vaccine can protect against clinical disease when challenged with a heterologous strain of the same serotype, indicating that not only the r1-value of the vaccine, but also the homologous potency of a vaccine should be taken into account when advising vaccines to control an outbreak.","author":[{"dropping-particle":"","family":"Dekker","given":"Aldo","non-dropping-particle":"","parse-names":false,"suffix":""},{"dropping-particle":"","family":"Sanz-Bernardo","given":"Beatriz","non-dropping-particle":"","parse-names":false,"suffix":""},{"dropping-particle":"","family":"Singanallur","given":"Nagendrakumar Balasubramanian","non-dropping-particle":"","parse-names":false,"suffix":""},{"dropping-particle":"","family":"Ludi","given":"Anna B.","non-dropping-particle":"","parse-names":false,"suffix":""},{"dropping-particle":"","family":"Horsington","given":"Jacquelyn","non-dropping-particle":"","parse-names":false,"suffix":""},{"dropping-particle":"","family":"Eblé","given":"Phaedra L.","non-dropping-particle":"","parse-names":false,"suffix":""},{"dropping-particle":"","family":"King","given":"Donald P.","non-dropping-particle":"","parse-names":false,"suffix":""},{"dropping-particle":"","family":"Vosloo","given":"Wilna","non-dropping-particle":"","parse-names":false,"suffix":""}],"container-title":"Vaccines","id":"ITEM-1","issue":"1","issued":{"date-parts":[["2020"]]},"page":"1-17","title":"Cross-protection induced by a A/MAY/97 emergency vaccine against intra-serotype heterologous challenge with a foot-and-mouth disease virus from the A/ASIA/G-VII lineage","type":"article-journal","volume":"8"},"uris":["http://www.mendeley.com/documents/?uuid=4279bade-3aab-46a2-82c1-6e516eda73ae"]}],"mendeley":{"formattedCitation":"(4)","plainTextFormattedCitation":"(4)","previouslyFormattedCitation":"(4)"},"properties":{"noteIndex":0},"schema":"https://github.com/citation-style-language/schema/raw/master/csl-citation.json"}</w:instrText>
            </w:r>
            <w:r>
              <w:rPr>
                <w:rFonts w:cs="Times New Roman"/>
                <w:sz w:val="20"/>
                <w:szCs w:val="20"/>
              </w:rPr>
              <w:fldChar w:fldCharType="separate"/>
            </w:r>
            <w:r w:rsidRPr="00431841">
              <w:rPr>
                <w:rFonts w:cs="Times New Roman"/>
                <w:noProof/>
                <w:sz w:val="20"/>
                <w:szCs w:val="20"/>
              </w:rPr>
              <w:t>(4)</w:t>
            </w:r>
            <w:r>
              <w:rPr>
                <w:rFonts w:cs="Times New Roman"/>
                <w:sz w:val="20"/>
                <w:szCs w:val="20"/>
              </w:rPr>
              <w:fldChar w:fldCharType="end"/>
            </w:r>
          </w:p>
        </w:tc>
      </w:tr>
      <w:tr w:rsidRPr="00171385" w:rsidR="00137477" w:rsidTr="00402929" w14:paraId="0C8F1927" w14:textId="77777777">
        <w:trPr>
          <w:trHeight w:val="290"/>
        </w:trPr>
        <w:tc>
          <w:tcPr>
            <w:tcW w:w="2268" w:type="dxa"/>
            <w:noWrap/>
          </w:tcPr>
          <w:p w:rsidRPr="00192643" w:rsidR="00137477" w:rsidP="00137477" w:rsidRDefault="00137477" w14:paraId="5E080816" w14:textId="77777777">
            <w:pPr>
              <w:spacing w:before="40" w:after="40"/>
              <w:rPr>
                <w:rFonts w:cs="Times New Roman"/>
                <w:sz w:val="20"/>
                <w:szCs w:val="20"/>
              </w:rPr>
            </w:pPr>
          </w:p>
        </w:tc>
        <w:tc>
          <w:tcPr>
            <w:tcW w:w="2409" w:type="dxa"/>
          </w:tcPr>
          <w:p w:rsidRPr="00192643" w:rsidR="00137477" w:rsidP="00137477" w:rsidRDefault="00D26C4D" w14:paraId="752B1A0B" w14:textId="059E8ADD">
            <w:pPr>
              <w:spacing w:before="40" w:after="40"/>
              <w:rPr>
                <w:rFonts w:cs="Times New Roman"/>
                <w:sz w:val="20"/>
                <w:szCs w:val="20"/>
              </w:rPr>
            </w:pPr>
            <w:r w:rsidRPr="00D26C4D">
              <w:rPr>
                <w:rFonts w:cs="Times New Roman"/>
                <w:sz w:val="20"/>
                <w:szCs w:val="20"/>
              </w:rPr>
              <w:t>A/MAY/97</w:t>
            </w:r>
            <w:r w:rsidRPr="00D26C4D">
              <w:rPr>
                <w:rFonts w:cs="Times New Roman"/>
                <w:sz w:val="20"/>
                <w:szCs w:val="20"/>
              </w:rPr>
              <w:t xml:space="preserve"> </w:t>
            </w:r>
            <w:r w:rsidR="00137477">
              <w:rPr>
                <w:rFonts w:cs="Times New Roman"/>
                <w:sz w:val="20"/>
                <w:szCs w:val="20"/>
              </w:rPr>
              <w:t>(</w:t>
            </w:r>
            <w:r w:rsidRPr="00192643" w:rsidR="00137477">
              <w:rPr>
                <w:rFonts w:cs="Times New Roman"/>
                <w:sz w:val="20"/>
                <w:szCs w:val="20"/>
              </w:rPr>
              <w:t>BI</w:t>
            </w:r>
            <w:r w:rsidR="00137477">
              <w:rPr>
                <w:rFonts w:cs="Times New Roman"/>
                <w:sz w:val="20"/>
                <w:szCs w:val="20"/>
              </w:rPr>
              <w:t>)</w:t>
            </w:r>
          </w:p>
        </w:tc>
        <w:tc>
          <w:tcPr>
            <w:tcW w:w="1842" w:type="dxa"/>
            <w:noWrap/>
          </w:tcPr>
          <w:p w:rsidRPr="00192643" w:rsidR="00137477" w:rsidP="00137477" w:rsidRDefault="00137477" w14:paraId="119300F9" w14:textId="49BA18E7">
            <w:pPr>
              <w:spacing w:before="40" w:after="40"/>
              <w:rPr>
                <w:rFonts w:cs="Times New Roman"/>
                <w:sz w:val="20"/>
                <w:szCs w:val="20"/>
              </w:rPr>
            </w:pPr>
            <w:r w:rsidRPr="00192643">
              <w:rPr>
                <w:rFonts w:cs="Times New Roman"/>
                <w:sz w:val="20"/>
                <w:szCs w:val="20"/>
              </w:rPr>
              <w:t>Full</w:t>
            </w:r>
          </w:p>
        </w:tc>
        <w:tc>
          <w:tcPr>
            <w:tcW w:w="1701" w:type="dxa"/>
            <w:noWrap/>
          </w:tcPr>
          <w:p w:rsidRPr="003B41A0" w:rsidR="00137477" w:rsidP="00137477" w:rsidRDefault="00137477" w14:paraId="4F99165D" w14:textId="035A2F76">
            <w:pPr>
              <w:spacing w:before="40" w:after="40"/>
              <w:jc w:val="center"/>
              <w:rPr>
                <w:rFonts w:cs="Times New Roman"/>
                <w:sz w:val="20"/>
                <w:szCs w:val="20"/>
              </w:rPr>
            </w:pPr>
            <w:r w:rsidRPr="003B41A0">
              <w:rPr>
                <w:rFonts w:cs="Times New Roman"/>
                <w:sz w:val="20"/>
                <w:szCs w:val="20"/>
              </w:rPr>
              <w:t>100.0 (5/5)</w:t>
            </w:r>
          </w:p>
        </w:tc>
        <w:tc>
          <w:tcPr>
            <w:tcW w:w="1276" w:type="dxa"/>
          </w:tcPr>
          <w:p w:rsidRPr="003B41A0" w:rsidR="00137477" w:rsidP="00137477" w:rsidRDefault="00137477" w14:paraId="3EFBD9AF" w14:textId="35DB77AB">
            <w:pPr>
              <w:spacing w:before="40" w:after="40"/>
              <w:jc w:val="center"/>
              <w:rPr>
                <w:rFonts w:cs="Times New Roman"/>
                <w:sz w:val="20"/>
                <w:szCs w:val="20"/>
              </w:rPr>
            </w:pPr>
            <w:r w:rsidRPr="003B41A0">
              <w:rPr>
                <w:rFonts w:cs="Times New Roman"/>
                <w:sz w:val="20"/>
                <w:szCs w:val="20"/>
              </w:rPr>
              <w:t>-</w:t>
            </w:r>
          </w:p>
        </w:tc>
        <w:tc>
          <w:tcPr>
            <w:tcW w:w="1418" w:type="dxa"/>
          </w:tcPr>
          <w:p w:rsidRPr="00192643" w:rsidR="00137477" w:rsidP="00137477" w:rsidRDefault="00137477" w14:paraId="5EDAD7A1" w14:textId="2B021FD9">
            <w:pPr>
              <w:spacing w:before="40" w:after="40"/>
              <w:rPr>
                <w:rFonts w:cs="Times New Roman"/>
                <w:sz w:val="20"/>
                <w:szCs w:val="20"/>
              </w:rPr>
            </w:pPr>
            <w:r>
              <w:rPr>
                <w:rFonts w:cs="Times New Roman"/>
                <w:sz w:val="20"/>
                <w:szCs w:val="20"/>
              </w:rPr>
              <w:fldChar w:fldCharType="begin" w:fldLock="1"/>
            </w:r>
            <w:r w:rsidR="004A2D0C">
              <w:rPr>
                <w:rFonts w:cs="Times New Roman"/>
                <w:sz w:val="20"/>
                <w:szCs w:val="20"/>
              </w:rPr>
              <w:instrText>ADDIN CSL_CITATION {"citationItems":[{"id":"ITEM-1","itemData":{"DOI":"10.3390/vaccines8010024","ISSN":"2076393X","abstract":"Since 2015, outbreaks of foot-and-mouth disease (FMD) in the Middle East have been caused by a new emerging viral lineage, A/ASIA/G-VII. Invitro vaccine matching data indicated that this virus poorly matched (low r1-value) with vaccines that were being used in the region as well as most other commercially available vaccines. The aim of this study was to assess the performance of two candidate vaccines against challenge with a representative field virus from the A/ASIA/G-VII lineage. The results from an initial full dose protection study provided encouraging data for the A/MAY/97 vaccine, while the A22 /IRQ/64 vaccine only protected 2/7 vaccinated animals. In view of these promising results, this vaccine was tested in a potency test (PD50) experiment in which 5 cattle were vaccinated with a full dose, 5 cattle with a 1/3 dose and 5 cattle with a 1/9 dose of vaccine. At 21 days post vaccination these vaccinated cattle and 3 control cattle were challenged intradermolingually with a field isolate from the A/ASIA/G-VII lineage. The intra-serotype heterologous potency test resulted in an intra-serotype heterologous potency of 6.5 PD50 /dose. These data support previous studies showing that a high potency emergency vaccine can protect against clinical disease when challenged with a heterologous strain of the same serotype, indicating that not only the r1-value of the vaccine, but also the homologous potency of a vaccine should be taken into account when advising vaccines to control an outbreak.","author":[{"dropping-particle":"","family":"Dekker","given":"Aldo","non-dropping-particle":"","parse-names":false,"suffix":""},{"dropping-particle":"","family":"Sanz-Bernardo","given":"Beatriz","non-dropping-particle":"","parse-names":false,"suffix":""},{"dropping-particle":"","family":"Singanallur","given":"Nagendrakumar Balasubramanian","non-dropping-particle":"","parse-names":false,"suffix":""},{"dropping-particle":"","family":"Ludi","given":"Anna B.","non-dropping-particle":"","parse-names":false,"suffix":""},{"dropping-particle":"","family":"Horsington","given":"Jacquelyn","non-dropping-particle":"","parse-names":false,"suffix":""},{"dropping-particle":"","family":"Eblé","given":"Phaedra L.","non-dropping-particle":"","parse-names":false,"suffix":""},{"dropping-particle":"","family":"King","given":"Donald P.","non-dropping-particle":"","parse-names":false,"suffix":""},{"dropping-particle":"","family":"Vosloo","given":"Wilna","non-dropping-particle":"","parse-names":false,"suffix":""}],"container-title":"Vaccines","id":"ITEM-1","issue":"1","issued":{"date-parts":[["2020"]]},"page":"1-17","title":"Cross-protection induced by a A/MAY/97 emergency vaccine against intra-serotype heterologous challenge with a foot-and-mouth disease virus from the A/ASIA/G-VII lineage","type":"article-journal","volume":"8"},"uris":["http://www.mendeley.com/documents/?uuid=4279bade-3aab-46a2-82c1-6e516eda73ae"]}],"mendeley":{"formattedCitation":"(4)","plainTextFormattedCitation":"(4)","previouslyFormattedCitation":"(4)"},"properties":{"noteIndex":0},"schema":"https://github.com/citation-style-language/schema/raw/master/csl-citation.json"}</w:instrText>
            </w:r>
            <w:r>
              <w:rPr>
                <w:rFonts w:cs="Times New Roman"/>
                <w:sz w:val="20"/>
                <w:szCs w:val="20"/>
              </w:rPr>
              <w:fldChar w:fldCharType="separate"/>
            </w:r>
            <w:r w:rsidRPr="00431841">
              <w:rPr>
                <w:rFonts w:cs="Times New Roman"/>
                <w:noProof/>
                <w:sz w:val="20"/>
                <w:szCs w:val="20"/>
              </w:rPr>
              <w:t>(4)</w:t>
            </w:r>
            <w:r>
              <w:rPr>
                <w:rFonts w:cs="Times New Roman"/>
                <w:sz w:val="20"/>
                <w:szCs w:val="20"/>
              </w:rPr>
              <w:fldChar w:fldCharType="end"/>
            </w:r>
          </w:p>
        </w:tc>
      </w:tr>
      <w:tr w:rsidRPr="00171385" w:rsidR="00137477" w:rsidTr="00402929" w14:paraId="6F5ADD86" w14:textId="77777777">
        <w:trPr>
          <w:trHeight w:val="290"/>
        </w:trPr>
        <w:tc>
          <w:tcPr>
            <w:tcW w:w="2268" w:type="dxa"/>
            <w:noWrap/>
          </w:tcPr>
          <w:p w:rsidRPr="00192643" w:rsidR="00137477" w:rsidP="00137477" w:rsidRDefault="00137477" w14:paraId="28DAE8C9" w14:textId="77777777">
            <w:pPr>
              <w:spacing w:before="40" w:after="40"/>
              <w:rPr>
                <w:rFonts w:cs="Times New Roman"/>
                <w:sz w:val="20"/>
                <w:szCs w:val="20"/>
              </w:rPr>
            </w:pPr>
          </w:p>
        </w:tc>
        <w:tc>
          <w:tcPr>
            <w:tcW w:w="2409" w:type="dxa"/>
          </w:tcPr>
          <w:p w:rsidRPr="00192643" w:rsidR="00137477" w:rsidP="00137477" w:rsidRDefault="00D26C4D" w14:paraId="71211E8A" w14:textId="4D94FDFE">
            <w:pPr>
              <w:spacing w:before="40" w:after="40"/>
              <w:rPr>
                <w:rFonts w:cs="Times New Roman"/>
                <w:sz w:val="20"/>
                <w:szCs w:val="20"/>
              </w:rPr>
            </w:pPr>
            <w:r w:rsidRPr="00D26C4D">
              <w:rPr>
                <w:rFonts w:cs="Times New Roman"/>
                <w:sz w:val="20"/>
                <w:szCs w:val="20"/>
              </w:rPr>
              <w:t>A/MAY/97</w:t>
            </w:r>
            <w:r w:rsidRPr="00D26C4D">
              <w:rPr>
                <w:rFonts w:cs="Times New Roman"/>
                <w:sz w:val="20"/>
                <w:szCs w:val="20"/>
              </w:rPr>
              <w:t xml:space="preserve"> </w:t>
            </w:r>
            <w:r w:rsidR="00137477">
              <w:rPr>
                <w:rFonts w:cs="Times New Roman"/>
                <w:sz w:val="20"/>
                <w:szCs w:val="20"/>
              </w:rPr>
              <w:t>(</w:t>
            </w:r>
            <w:r w:rsidRPr="00192643" w:rsidR="00137477">
              <w:rPr>
                <w:rFonts w:cs="Times New Roman"/>
                <w:sz w:val="20"/>
                <w:szCs w:val="20"/>
              </w:rPr>
              <w:t>BI</w:t>
            </w:r>
            <w:r w:rsidR="00137477">
              <w:rPr>
                <w:rFonts w:cs="Times New Roman"/>
                <w:sz w:val="20"/>
                <w:szCs w:val="20"/>
              </w:rPr>
              <w:t>)</w:t>
            </w:r>
          </w:p>
        </w:tc>
        <w:tc>
          <w:tcPr>
            <w:tcW w:w="1842" w:type="dxa"/>
            <w:noWrap/>
          </w:tcPr>
          <w:p w:rsidRPr="00192643" w:rsidR="00137477" w:rsidP="00137477" w:rsidRDefault="00137477" w14:paraId="1E9D84D4" w14:textId="14E8FC9C">
            <w:pPr>
              <w:spacing w:before="40" w:after="40"/>
              <w:rPr>
                <w:rFonts w:cs="Times New Roman"/>
                <w:sz w:val="20"/>
                <w:szCs w:val="20"/>
              </w:rPr>
            </w:pPr>
            <w:r w:rsidRPr="00192643">
              <w:rPr>
                <w:rFonts w:cs="Times New Roman"/>
                <w:sz w:val="20"/>
                <w:szCs w:val="20"/>
              </w:rPr>
              <w:t>1/3</w:t>
            </w:r>
          </w:p>
        </w:tc>
        <w:tc>
          <w:tcPr>
            <w:tcW w:w="1701" w:type="dxa"/>
            <w:noWrap/>
          </w:tcPr>
          <w:p w:rsidRPr="003B41A0" w:rsidR="00137477" w:rsidP="00137477" w:rsidRDefault="00137477" w14:paraId="1BFD73B0" w14:textId="492F97FB">
            <w:pPr>
              <w:spacing w:before="40" w:after="40"/>
              <w:jc w:val="center"/>
              <w:rPr>
                <w:rFonts w:cs="Times New Roman"/>
                <w:sz w:val="20"/>
                <w:szCs w:val="20"/>
              </w:rPr>
            </w:pPr>
            <w:r w:rsidRPr="003B41A0">
              <w:rPr>
                <w:rFonts w:cs="Times New Roman"/>
                <w:sz w:val="20"/>
                <w:szCs w:val="20"/>
              </w:rPr>
              <w:t>80.0 (4/5)</w:t>
            </w:r>
          </w:p>
        </w:tc>
        <w:tc>
          <w:tcPr>
            <w:tcW w:w="1276" w:type="dxa"/>
          </w:tcPr>
          <w:p w:rsidRPr="003B41A0" w:rsidR="00137477" w:rsidP="00137477" w:rsidRDefault="00137477" w14:paraId="654BE307" w14:textId="41E65193">
            <w:pPr>
              <w:spacing w:before="40" w:after="40"/>
              <w:jc w:val="center"/>
              <w:rPr>
                <w:rFonts w:cs="Times New Roman"/>
                <w:sz w:val="20"/>
                <w:szCs w:val="20"/>
              </w:rPr>
            </w:pPr>
            <w:r w:rsidRPr="003B41A0">
              <w:rPr>
                <w:rFonts w:cs="Times New Roman"/>
                <w:sz w:val="20"/>
                <w:szCs w:val="20"/>
              </w:rPr>
              <w:t>-</w:t>
            </w:r>
          </w:p>
        </w:tc>
        <w:tc>
          <w:tcPr>
            <w:tcW w:w="1418" w:type="dxa"/>
          </w:tcPr>
          <w:p w:rsidRPr="00192643" w:rsidR="00137477" w:rsidP="00137477" w:rsidRDefault="00137477" w14:paraId="2B51774F" w14:textId="204D940C">
            <w:pPr>
              <w:spacing w:before="40" w:after="40"/>
              <w:rPr>
                <w:rFonts w:cs="Times New Roman"/>
                <w:sz w:val="20"/>
                <w:szCs w:val="20"/>
              </w:rPr>
            </w:pPr>
            <w:r>
              <w:rPr>
                <w:rFonts w:cs="Times New Roman"/>
                <w:sz w:val="20"/>
                <w:szCs w:val="20"/>
              </w:rPr>
              <w:fldChar w:fldCharType="begin" w:fldLock="1"/>
            </w:r>
            <w:r w:rsidR="004A2D0C">
              <w:rPr>
                <w:rFonts w:cs="Times New Roman"/>
                <w:sz w:val="20"/>
                <w:szCs w:val="20"/>
              </w:rPr>
              <w:instrText>ADDIN CSL_CITATION {"citationItems":[{"id":"ITEM-1","itemData":{"DOI":"10.3390/vaccines8010024","ISSN":"2076393X","abstract":"Since 2015, outbreaks of foot-and-mouth disease (FMD) in the Middle East have been caused by a new emerging viral lineage, A/ASIA/G-VII. Invitro vaccine matching data indicated that this virus poorly matched (low r1-value) with vaccines that were being used in the region as well as most other commercially available vaccines. The aim of this study was to assess the performance of two candidate vaccines against challenge with a representative field virus from the A/ASIA/G-VII lineage. The results from an initial full dose protection study provided encouraging data for the A/MAY/97 vaccine, while the A22 /IRQ/64 vaccine only protected 2/7 vaccinated animals. In view of these promising results, this vaccine was tested in a potency test (PD50) experiment in which 5 cattle were vaccinated with a full dose, 5 cattle with a 1/3 dose and 5 cattle with a 1/9 dose of vaccine. At 21 days post vaccination these vaccinated cattle and 3 control cattle were challenged intradermolingually with a field isolate from the A/ASIA/G-VII lineage. The intra-serotype heterologous potency test resulted in an intra-serotype heterologous potency of 6.5 PD50 /dose. These data support previous studies showing that a high potency emergency vaccine can protect against clinical disease when challenged with a heterologous strain of the same serotype, indicating that not only the r1-value of the vaccine, but also the homologous potency of a vaccine should be taken into account when advising vaccines to control an outbreak.","author":[{"dropping-particle":"","family":"Dekker","given":"Aldo","non-dropping-particle":"","parse-names":false,"suffix":""},{"dropping-particle":"","family":"Sanz-Bernardo","given":"Beatriz","non-dropping-particle":"","parse-names":false,"suffix":""},{"dropping-particle":"","family":"Singanallur","given":"Nagendrakumar Balasubramanian","non-dropping-particle":"","parse-names":false,"suffix":""},{"dropping-particle":"","family":"Ludi","given":"Anna B.","non-dropping-particle":"","parse-names":false,"suffix":""},{"dropping-particle":"","family":"Horsington","given":"Jacquelyn","non-dropping-particle":"","parse-names":false,"suffix":""},{"dropping-particle":"","family":"Eblé","given":"Phaedra L.","non-dropping-particle":"","parse-names":false,"suffix":""},{"dropping-particle":"","family":"King","given":"Donald P.","non-dropping-particle":"","parse-names":false,"suffix":""},{"dropping-particle":"","family":"Vosloo","given":"Wilna","non-dropping-particle":"","parse-names":false,"suffix":""}],"container-title":"Vaccines","id":"ITEM-1","issue":"1","issued":{"date-parts":[["2020"]]},"page":"1-17","title":"Cross-protection induced by a A/MAY/97 emergency vaccine against intra-serotype heterologous challenge with a foot-and-mouth disease virus from the A/ASIA/G-VII lineage","type":"article-journal","volume":"8"},"uris":["http://www.mendeley.com/documents/?uuid=4279bade-3aab-46a2-82c1-6e516eda73ae"]}],"mendeley":{"formattedCitation":"(4)","plainTextFormattedCitation":"(4)","previouslyFormattedCitation":"(4)"},"properties":{"noteIndex":0},"schema":"https://github.com/citation-style-language/schema/raw/master/csl-citation.json"}</w:instrText>
            </w:r>
            <w:r>
              <w:rPr>
                <w:rFonts w:cs="Times New Roman"/>
                <w:sz w:val="20"/>
                <w:szCs w:val="20"/>
              </w:rPr>
              <w:fldChar w:fldCharType="separate"/>
            </w:r>
            <w:r w:rsidRPr="00431841">
              <w:rPr>
                <w:rFonts w:cs="Times New Roman"/>
                <w:noProof/>
                <w:sz w:val="20"/>
                <w:szCs w:val="20"/>
              </w:rPr>
              <w:t>(4)</w:t>
            </w:r>
            <w:r>
              <w:rPr>
                <w:rFonts w:cs="Times New Roman"/>
                <w:sz w:val="20"/>
                <w:szCs w:val="20"/>
              </w:rPr>
              <w:fldChar w:fldCharType="end"/>
            </w:r>
          </w:p>
        </w:tc>
      </w:tr>
      <w:tr w:rsidRPr="00171385" w:rsidR="00137477" w:rsidTr="00402929" w14:paraId="2A6C5A60" w14:textId="77777777">
        <w:trPr>
          <w:trHeight w:val="290"/>
        </w:trPr>
        <w:tc>
          <w:tcPr>
            <w:tcW w:w="2268" w:type="dxa"/>
            <w:noWrap/>
          </w:tcPr>
          <w:p w:rsidRPr="00192643" w:rsidR="00137477" w:rsidP="00137477" w:rsidRDefault="00137477" w14:paraId="7DD97D46" w14:textId="77777777">
            <w:pPr>
              <w:spacing w:before="40" w:after="40"/>
              <w:rPr>
                <w:rFonts w:cs="Times New Roman"/>
                <w:sz w:val="20"/>
                <w:szCs w:val="20"/>
              </w:rPr>
            </w:pPr>
          </w:p>
        </w:tc>
        <w:tc>
          <w:tcPr>
            <w:tcW w:w="2409" w:type="dxa"/>
          </w:tcPr>
          <w:p w:rsidRPr="00192643" w:rsidR="00137477" w:rsidP="00137477" w:rsidRDefault="00D26C4D" w14:paraId="1BA7D69A" w14:textId="3463FE62">
            <w:pPr>
              <w:spacing w:before="40" w:after="40"/>
              <w:rPr>
                <w:rFonts w:cs="Times New Roman"/>
                <w:sz w:val="20"/>
                <w:szCs w:val="20"/>
              </w:rPr>
            </w:pPr>
            <w:r w:rsidRPr="00D26C4D">
              <w:rPr>
                <w:rFonts w:cs="Times New Roman"/>
                <w:sz w:val="20"/>
                <w:szCs w:val="20"/>
              </w:rPr>
              <w:t>A/MAY/97</w:t>
            </w:r>
            <w:r w:rsidRPr="00D26C4D">
              <w:rPr>
                <w:rFonts w:cs="Times New Roman"/>
                <w:sz w:val="20"/>
                <w:szCs w:val="20"/>
              </w:rPr>
              <w:t xml:space="preserve"> </w:t>
            </w:r>
            <w:r w:rsidR="00137477">
              <w:rPr>
                <w:rFonts w:cs="Times New Roman"/>
                <w:sz w:val="20"/>
                <w:szCs w:val="20"/>
              </w:rPr>
              <w:t>(</w:t>
            </w:r>
            <w:r w:rsidRPr="00192643" w:rsidR="00137477">
              <w:rPr>
                <w:rFonts w:cs="Times New Roman"/>
                <w:sz w:val="20"/>
                <w:szCs w:val="20"/>
              </w:rPr>
              <w:t>BI</w:t>
            </w:r>
            <w:r w:rsidR="00137477">
              <w:rPr>
                <w:rFonts w:cs="Times New Roman"/>
                <w:sz w:val="20"/>
                <w:szCs w:val="20"/>
              </w:rPr>
              <w:t>)</w:t>
            </w:r>
          </w:p>
        </w:tc>
        <w:tc>
          <w:tcPr>
            <w:tcW w:w="1842" w:type="dxa"/>
            <w:noWrap/>
          </w:tcPr>
          <w:p w:rsidRPr="00192643" w:rsidR="00137477" w:rsidP="00137477" w:rsidRDefault="00137477" w14:paraId="10E08247" w14:textId="5EE9A480">
            <w:pPr>
              <w:spacing w:before="40" w:after="40"/>
              <w:rPr>
                <w:rFonts w:cs="Times New Roman"/>
                <w:sz w:val="20"/>
                <w:szCs w:val="20"/>
              </w:rPr>
            </w:pPr>
            <w:r w:rsidRPr="00192643">
              <w:rPr>
                <w:rFonts w:cs="Times New Roman"/>
                <w:sz w:val="20"/>
                <w:szCs w:val="20"/>
              </w:rPr>
              <w:t>1/9</w:t>
            </w:r>
          </w:p>
        </w:tc>
        <w:tc>
          <w:tcPr>
            <w:tcW w:w="1701" w:type="dxa"/>
            <w:noWrap/>
          </w:tcPr>
          <w:p w:rsidRPr="003B41A0" w:rsidR="00137477" w:rsidP="00137477" w:rsidRDefault="00137477" w14:paraId="0FF29757" w14:textId="4458A362">
            <w:pPr>
              <w:spacing w:before="40" w:after="40"/>
              <w:jc w:val="center"/>
              <w:rPr>
                <w:rFonts w:cs="Times New Roman"/>
                <w:sz w:val="20"/>
                <w:szCs w:val="20"/>
              </w:rPr>
            </w:pPr>
            <w:r w:rsidRPr="003B41A0">
              <w:rPr>
                <w:rFonts w:cs="Times New Roman"/>
                <w:sz w:val="20"/>
                <w:szCs w:val="20"/>
              </w:rPr>
              <w:t>40.0 (2/5)</w:t>
            </w:r>
          </w:p>
        </w:tc>
        <w:tc>
          <w:tcPr>
            <w:tcW w:w="1276" w:type="dxa"/>
          </w:tcPr>
          <w:p w:rsidRPr="003B41A0" w:rsidR="00137477" w:rsidP="00137477" w:rsidRDefault="00137477" w14:paraId="68A4AB43" w14:textId="1780BB20">
            <w:pPr>
              <w:spacing w:before="40" w:after="40"/>
              <w:jc w:val="center"/>
              <w:rPr>
                <w:rFonts w:cs="Times New Roman"/>
                <w:sz w:val="20"/>
                <w:szCs w:val="20"/>
              </w:rPr>
            </w:pPr>
            <w:r w:rsidRPr="003B41A0">
              <w:rPr>
                <w:rFonts w:cs="Times New Roman"/>
                <w:sz w:val="20"/>
                <w:szCs w:val="20"/>
              </w:rPr>
              <w:t>-</w:t>
            </w:r>
          </w:p>
        </w:tc>
        <w:tc>
          <w:tcPr>
            <w:tcW w:w="1418" w:type="dxa"/>
          </w:tcPr>
          <w:p w:rsidRPr="00192643" w:rsidR="00137477" w:rsidP="00137477" w:rsidRDefault="00137477" w14:paraId="104B0E32" w14:textId="697C64A6">
            <w:pPr>
              <w:spacing w:before="40" w:after="40"/>
              <w:rPr>
                <w:rFonts w:cs="Times New Roman"/>
                <w:sz w:val="20"/>
                <w:szCs w:val="20"/>
              </w:rPr>
            </w:pPr>
            <w:r>
              <w:rPr>
                <w:rFonts w:cs="Times New Roman"/>
                <w:sz w:val="20"/>
                <w:szCs w:val="20"/>
              </w:rPr>
              <w:fldChar w:fldCharType="begin" w:fldLock="1"/>
            </w:r>
            <w:r w:rsidR="004A2D0C">
              <w:rPr>
                <w:rFonts w:cs="Times New Roman"/>
                <w:sz w:val="20"/>
                <w:szCs w:val="20"/>
              </w:rPr>
              <w:instrText>ADDIN CSL_CITATION {"citationItems":[{"id":"ITEM-1","itemData":{"DOI":"10.3390/vaccines8010024","ISSN":"2076393X","abstract":"Since 2015, outbreaks of foot-and-mouth disease (FMD) in the Middle East have been caused by a new emerging viral lineage, A/ASIA/G-VII. Invitro vaccine matching data indicated that this virus poorly matched (low r1-value) with vaccines that were being used in the region as well as most other commercially available vaccines. The aim of this study was to assess the performance of two candidate vaccines against challenge with a representative field virus from the A/ASIA/G-VII lineage. The results from an initial full dose protection study provided encouraging data for the A/MAY/97 vaccine, while the A22 /IRQ/64 vaccine only protected 2/7 vaccinated animals. In view of these promising results, this vaccine was tested in a potency test (PD50) experiment in which 5 cattle were vaccinated with a full dose, 5 cattle with a 1/3 dose and 5 cattle with a 1/9 dose of vaccine. At 21 days post vaccination these vaccinated cattle and 3 control cattle were challenged intradermolingually with a field isolate from the A/ASIA/G-VII lineage. The intra-serotype heterologous potency test resulted in an intra-serotype heterologous potency of 6.5 PD50 /dose. These data support previous studies showing that a high potency emergency vaccine can protect against clinical disease when challenged with a heterologous strain of the same serotype, indicating that not only the r1-value of the vaccine, but also the homologous potency of a vaccine should be taken into account when advising vaccines to control an outbreak.","author":[{"dropping-particle":"","family":"Dekker","given":"Aldo","non-dropping-particle":"","parse-names":false,"suffix":""},{"dropping-particle":"","family":"Sanz-Bernardo","given":"Beatriz","non-dropping-particle":"","parse-names":false,"suffix":""},{"dropping-particle":"","family":"Singanallur","given":"Nagendrakumar Balasubramanian","non-dropping-particle":"","parse-names":false,"suffix":""},{"dropping-particle":"","family":"Ludi","given":"Anna B.","non-dropping-particle":"","parse-names":false,"suffix":""},{"dropping-particle":"","family":"Horsington","given":"Jacquelyn","non-dropping-particle":"","parse-names":false,"suffix":""},{"dropping-particle":"","family":"Eblé","given":"Phaedra L.","non-dropping-particle":"","parse-names":false,"suffix":""},{"dropping-particle":"","family":"King","given":"Donald P.","non-dropping-particle":"","parse-names":false,"suffix":""},{"dropping-particle":"","family":"Vosloo","given":"Wilna","non-dropping-particle":"","parse-names":false,"suffix":""}],"container-title":"Vaccines","id":"ITEM-1","issue":"1","issued":{"date-parts":[["2020"]]},"page":"1-17","title":"Cross-protection induced by a A/MAY/97 emergency vaccine against intra-serotype heterologous challenge with a foot-and-mouth disease virus from the A/ASIA/G-VII lineage","type":"article-journal","volume":"8"},"uris":["http://www.mendeley.com/documents/?uuid=4279bade-3aab-46a2-82c1-6e516eda73ae"]}],"mendeley":{"formattedCitation":"(4)","plainTextFormattedCitation":"(4)","previouslyFormattedCitation":"(4)"},"properties":{"noteIndex":0},"schema":"https://github.com/citation-style-language/schema/raw/master/csl-citation.json"}</w:instrText>
            </w:r>
            <w:r>
              <w:rPr>
                <w:rFonts w:cs="Times New Roman"/>
                <w:sz w:val="20"/>
                <w:szCs w:val="20"/>
              </w:rPr>
              <w:fldChar w:fldCharType="separate"/>
            </w:r>
            <w:r w:rsidRPr="00431841">
              <w:rPr>
                <w:rFonts w:cs="Times New Roman"/>
                <w:noProof/>
                <w:sz w:val="20"/>
                <w:szCs w:val="20"/>
              </w:rPr>
              <w:t>(4)</w:t>
            </w:r>
            <w:r>
              <w:rPr>
                <w:rFonts w:cs="Times New Roman"/>
                <w:sz w:val="20"/>
                <w:szCs w:val="20"/>
              </w:rPr>
              <w:fldChar w:fldCharType="end"/>
            </w:r>
          </w:p>
        </w:tc>
      </w:tr>
      <w:tr w:rsidRPr="00171385" w:rsidR="00137477" w:rsidTr="00402929" w14:paraId="44ADA191" w14:textId="77777777">
        <w:trPr>
          <w:trHeight w:val="290"/>
        </w:trPr>
        <w:tc>
          <w:tcPr>
            <w:tcW w:w="2268" w:type="dxa"/>
            <w:noWrap/>
          </w:tcPr>
          <w:p w:rsidRPr="00192643" w:rsidR="00137477" w:rsidP="00137477" w:rsidRDefault="00137477" w14:paraId="1CD5D31E" w14:textId="77777777">
            <w:pPr>
              <w:spacing w:before="40" w:after="40"/>
              <w:rPr>
                <w:rFonts w:cs="Times New Roman"/>
                <w:sz w:val="20"/>
                <w:szCs w:val="20"/>
              </w:rPr>
            </w:pPr>
            <w:r w:rsidRPr="00192643">
              <w:rPr>
                <w:rFonts w:cs="Times New Roman"/>
                <w:sz w:val="20"/>
                <w:szCs w:val="20"/>
              </w:rPr>
              <w:t>A/Asia/G-IX/SEA-97</w:t>
            </w:r>
          </w:p>
        </w:tc>
        <w:tc>
          <w:tcPr>
            <w:tcW w:w="2409" w:type="dxa"/>
          </w:tcPr>
          <w:p w:rsidRPr="00192643" w:rsidR="00137477" w:rsidP="00137477" w:rsidRDefault="00CB742B" w14:paraId="5210FA7E" w14:textId="3771238D">
            <w:pPr>
              <w:spacing w:before="40" w:after="40"/>
              <w:rPr>
                <w:rFonts w:cs="Times New Roman"/>
                <w:sz w:val="20"/>
                <w:szCs w:val="20"/>
              </w:rPr>
            </w:pPr>
            <w:r w:rsidRPr="00946D93">
              <w:rPr>
                <w:rFonts w:cs="Times New Roman"/>
                <w:sz w:val="20"/>
                <w:szCs w:val="20"/>
              </w:rPr>
              <w:t xml:space="preserve">A22/IRQ/64 </w:t>
            </w:r>
            <w:r w:rsidR="00137477">
              <w:rPr>
                <w:rFonts w:cs="Times New Roman"/>
                <w:sz w:val="20"/>
                <w:szCs w:val="20"/>
              </w:rPr>
              <w:t>(</w:t>
            </w:r>
            <w:r w:rsidRPr="00192643" w:rsidR="00137477">
              <w:rPr>
                <w:rFonts w:cs="Times New Roman"/>
                <w:sz w:val="20"/>
                <w:szCs w:val="20"/>
              </w:rPr>
              <w:t>BI</w:t>
            </w:r>
            <w:r w:rsidR="00137477">
              <w:rPr>
                <w:rFonts w:cs="Times New Roman"/>
                <w:sz w:val="20"/>
                <w:szCs w:val="20"/>
              </w:rPr>
              <w:t>)</w:t>
            </w:r>
          </w:p>
        </w:tc>
        <w:tc>
          <w:tcPr>
            <w:tcW w:w="1842" w:type="dxa"/>
            <w:noWrap/>
          </w:tcPr>
          <w:p w:rsidRPr="00192643" w:rsidR="00137477" w:rsidP="00137477" w:rsidRDefault="00137477" w14:paraId="70669062" w14:textId="77777777">
            <w:pPr>
              <w:spacing w:before="40" w:after="40"/>
              <w:rPr>
                <w:rFonts w:cs="Times New Roman"/>
                <w:sz w:val="20"/>
                <w:szCs w:val="20"/>
              </w:rPr>
            </w:pPr>
            <w:r w:rsidRPr="00192643">
              <w:rPr>
                <w:rFonts w:cs="Times New Roman"/>
                <w:sz w:val="20"/>
                <w:szCs w:val="20"/>
              </w:rPr>
              <w:t>Full (&gt;6PD</w:t>
            </w:r>
            <w:r w:rsidRPr="00192643">
              <w:rPr>
                <w:rFonts w:cs="Times New Roman"/>
                <w:sz w:val="20"/>
                <w:szCs w:val="20"/>
                <w:vertAlign w:val="subscript"/>
              </w:rPr>
              <w:t>50</w:t>
            </w:r>
            <w:r w:rsidRPr="00192643">
              <w:rPr>
                <w:rFonts w:cs="Times New Roman"/>
                <w:sz w:val="20"/>
                <w:szCs w:val="20"/>
              </w:rPr>
              <w:t>/dose)</w:t>
            </w:r>
          </w:p>
        </w:tc>
        <w:tc>
          <w:tcPr>
            <w:tcW w:w="1701" w:type="dxa"/>
            <w:noWrap/>
          </w:tcPr>
          <w:p w:rsidRPr="003B41A0" w:rsidR="00137477" w:rsidP="00137477" w:rsidRDefault="00137477" w14:paraId="29BDECEC" w14:textId="77777777">
            <w:pPr>
              <w:spacing w:before="40" w:after="40"/>
              <w:jc w:val="center"/>
              <w:rPr>
                <w:rFonts w:cs="Times New Roman"/>
                <w:sz w:val="20"/>
                <w:szCs w:val="20"/>
              </w:rPr>
            </w:pPr>
            <w:r w:rsidRPr="003B41A0">
              <w:rPr>
                <w:rFonts w:cs="Times New Roman"/>
                <w:sz w:val="20"/>
                <w:szCs w:val="20"/>
              </w:rPr>
              <w:t>100.0 (5/5)</w:t>
            </w:r>
          </w:p>
        </w:tc>
        <w:tc>
          <w:tcPr>
            <w:tcW w:w="1276" w:type="dxa"/>
          </w:tcPr>
          <w:p w:rsidRPr="003B41A0" w:rsidR="00137477" w:rsidP="00137477" w:rsidRDefault="00137477" w14:paraId="7636F42B" w14:textId="77777777">
            <w:pPr>
              <w:spacing w:before="40" w:after="40"/>
              <w:jc w:val="center"/>
              <w:rPr>
                <w:rFonts w:cs="Times New Roman"/>
                <w:sz w:val="20"/>
                <w:szCs w:val="20"/>
              </w:rPr>
            </w:pPr>
            <w:r w:rsidRPr="003B41A0">
              <w:rPr>
                <w:rFonts w:cs="Times New Roman"/>
                <w:sz w:val="20"/>
                <w:szCs w:val="20"/>
              </w:rPr>
              <w:t>2.2</w:t>
            </w:r>
          </w:p>
        </w:tc>
        <w:tc>
          <w:tcPr>
            <w:tcW w:w="1418" w:type="dxa"/>
          </w:tcPr>
          <w:p w:rsidRPr="00192643" w:rsidR="00137477" w:rsidP="00137477" w:rsidRDefault="00CB742B" w14:paraId="35421F0A" w14:textId="6B079C5F">
            <w:pPr>
              <w:spacing w:before="40" w:after="40"/>
              <w:rPr>
                <w:rFonts w:cs="Times New Roman"/>
                <w:sz w:val="20"/>
                <w:szCs w:val="20"/>
              </w:rPr>
            </w:pPr>
            <w:r>
              <w:rPr>
                <w:rFonts w:cs="Times New Roman"/>
                <w:sz w:val="20"/>
                <w:szCs w:val="20"/>
              </w:rPr>
              <w:fldChar w:fldCharType="begin" w:fldLock="1"/>
            </w:r>
            <w:r w:rsidR="00170375">
              <w:rPr>
                <w:rFonts w:cs="Times New Roman"/>
                <w:sz w:val="20"/>
                <w:szCs w:val="20"/>
              </w:rPr>
              <w:instrText>ADDIN CSL_CITATION {"citationItems":[{"id":"ITEM-1","itemData":{"DOI":"10.3390/vaccines8010080","ISSN":"2076393X","abstract":"The continuous emergence of foot-and-mouth disease virus (FMDV) serotype A variants in South East Asia is of concern for international FMDV antigen banks, especially when in vitro tests predict a low antigenic match. A vaccination-challenge study was performed by using two emergency FMDV vaccines with A22 Iraq 64 (A22 IRQ) and A Malaysia 97 (A MAY 97) strains, against challenge with a variant strain of FMDV A/Asia/G-IX/SEA-97 lineage at 7- and 21-day post-vaccination (dpv). At 7 dpv, three of five female calves vaccinated with A MAY 97 and four of five vaccinated with A22 IRQ did not show lesions on the feet and were considered protected, while at 21 dpv all five calves were protected with each vaccine, indicating equal efficacy of both vaccine strains. Calves were protected despite relatively low heterologous neutralizing antibody titers to the challenge virus at the time of challenge. All the calves developed antibodies to the non-structural proteins, most likely due to the direct intradermolingual (IDL) inoculation. Only one calf from the A MAY 97-7 group had infectious virus in the serum 1–3-day post-challenge (dpc), while no virus could be isolated from the serum of cattle challenged on 21 dpv. The virus could be isolated from the oral swabs of all calves, 1–7 dpc with viral RNA detected 1–10 dpc. Nasal swabs were positive for virus 1–6 dpc in a small number of calves. The time between vaccination and infection did not have an impact on the number of animals with persistent infection, with almost all the animals showing viral RNA in their oro-pharyngeal fluid (probang) samples up to 35 dpc. Despite the poor in vitro matching data and field reports of vaccine failures, this study suggests that these vaccine strains should be effective against this new A/Asia/G/SEA-97 variant, provided they are formulated with a high antigen dose.","author":[{"dropping-particle":"","family":"Nagendrakumar","given":"B.","non-dropping-particle":"","parse-names":false,"suffix":""},{"dropping-particle":"","family":"Dekker","given":"Aldo","non-dropping-particle":"","parse-names":false,"suffix":""},{"dropping-particle":"","family":"Eblé","given":"Phaedra L.","non-dropping-particle":"","parse-names":false,"suffix":""},{"dropping-particle":"","family":"Hemert-Kluitenberg","given":"Froukje","non-dropping-particle":"van","parse-names":false,"suffix":""},{"dropping-particle":"","family":"Weerdmeester","given":"Klaas","non-dropping-particle":"","parse-names":false,"suffix":""},{"dropping-particle":"","family":"Horsington","given":"Jacquelyn","non-dropping-particle":"","parse-names":false,"suffix":""},{"dropping-particle":"","family":"Wilna","given":"Vosloo W.","non-dropping-particle":"","parse-names":false,"suffix":""}],"container-title":"Vaccines","id":"ITEM-1","issue":"1","issued":{"date-parts":[["2020"]]},"page":"1-16","title":"Emergency foot-and-mouth disease vaccines a Malaysia 97 and A22 Iraq 64 offer good protection against heterologous challenge with a variant serotype a ASIA/G-IX/SEA-97 lineage virus","type":"article-journal","volume":"8"},"uris":["http://www.mendeley.com/documents/?uuid=8c5d7430-94f6-4155-862e-102817aa4edb"]}],"mendeley":{"formattedCitation":"(6)","plainTextFormattedCitation":"(6)","previouslyFormattedCitation":"(6)"},"properties":{"noteIndex":0},"schema":"https://github.com/citation-style-language/schema/raw/master/csl-citation.json"}</w:instrText>
            </w:r>
            <w:r>
              <w:rPr>
                <w:rFonts w:cs="Times New Roman"/>
                <w:sz w:val="20"/>
                <w:szCs w:val="20"/>
              </w:rPr>
              <w:fldChar w:fldCharType="separate"/>
            </w:r>
            <w:r w:rsidRPr="00CB742B">
              <w:rPr>
                <w:rFonts w:cs="Times New Roman"/>
                <w:noProof/>
                <w:sz w:val="20"/>
                <w:szCs w:val="20"/>
              </w:rPr>
              <w:t>(6)</w:t>
            </w:r>
            <w:r>
              <w:rPr>
                <w:rFonts w:cs="Times New Roman"/>
                <w:sz w:val="20"/>
                <w:szCs w:val="20"/>
              </w:rPr>
              <w:fldChar w:fldCharType="end"/>
            </w:r>
          </w:p>
        </w:tc>
      </w:tr>
      <w:tr w:rsidRPr="00171385" w:rsidR="00137477" w:rsidTr="00402929" w14:paraId="653A71E4" w14:textId="77777777">
        <w:trPr>
          <w:trHeight w:val="290"/>
        </w:trPr>
        <w:tc>
          <w:tcPr>
            <w:tcW w:w="2268" w:type="dxa"/>
            <w:tcBorders>
              <w:bottom w:val="single" w:color="auto" w:sz="4" w:space="0"/>
            </w:tcBorders>
            <w:noWrap/>
          </w:tcPr>
          <w:p w:rsidRPr="00192643" w:rsidR="00137477" w:rsidP="00137477" w:rsidRDefault="00137477" w14:paraId="3B878AA2" w14:textId="77777777">
            <w:pPr>
              <w:spacing w:before="40" w:after="40"/>
              <w:rPr>
                <w:rFonts w:cs="Times New Roman"/>
                <w:sz w:val="20"/>
                <w:szCs w:val="20"/>
              </w:rPr>
            </w:pPr>
            <w:r w:rsidRPr="00192643">
              <w:rPr>
                <w:rFonts w:cs="Times New Roman"/>
                <w:sz w:val="20"/>
                <w:szCs w:val="20"/>
              </w:rPr>
              <w:t>A/Asia/G-IX/SEA-97</w:t>
            </w:r>
          </w:p>
        </w:tc>
        <w:tc>
          <w:tcPr>
            <w:tcW w:w="2409" w:type="dxa"/>
            <w:tcBorders>
              <w:bottom w:val="single" w:color="auto" w:sz="4" w:space="0"/>
            </w:tcBorders>
          </w:tcPr>
          <w:p w:rsidRPr="00192643" w:rsidR="00137477" w:rsidP="00137477" w:rsidRDefault="00CB742B" w14:paraId="59DE3F78" w14:textId="53F317E2">
            <w:pPr>
              <w:spacing w:before="40" w:after="40"/>
              <w:rPr>
                <w:rFonts w:cs="Times New Roman"/>
                <w:sz w:val="20"/>
                <w:szCs w:val="20"/>
              </w:rPr>
            </w:pPr>
            <w:r w:rsidRPr="00D26C4D">
              <w:rPr>
                <w:rFonts w:cs="Times New Roman"/>
                <w:sz w:val="20"/>
                <w:szCs w:val="20"/>
              </w:rPr>
              <w:t>A/MAY/97</w:t>
            </w:r>
            <w:r w:rsidRPr="00192643">
              <w:rPr>
                <w:rFonts w:cs="Times New Roman"/>
                <w:sz w:val="20"/>
                <w:szCs w:val="20"/>
              </w:rPr>
              <w:t xml:space="preserve"> </w:t>
            </w:r>
            <w:r w:rsidR="00137477">
              <w:rPr>
                <w:rFonts w:cs="Times New Roman"/>
                <w:sz w:val="20"/>
                <w:szCs w:val="20"/>
              </w:rPr>
              <w:t>(</w:t>
            </w:r>
            <w:r w:rsidRPr="00192643" w:rsidR="00137477">
              <w:rPr>
                <w:rFonts w:cs="Times New Roman"/>
                <w:sz w:val="20"/>
                <w:szCs w:val="20"/>
              </w:rPr>
              <w:t>BI</w:t>
            </w:r>
            <w:r w:rsidR="00137477">
              <w:rPr>
                <w:rFonts w:cs="Times New Roman"/>
                <w:sz w:val="20"/>
                <w:szCs w:val="20"/>
              </w:rPr>
              <w:t>)</w:t>
            </w:r>
          </w:p>
        </w:tc>
        <w:tc>
          <w:tcPr>
            <w:tcW w:w="1842" w:type="dxa"/>
            <w:tcBorders>
              <w:bottom w:val="single" w:color="auto" w:sz="4" w:space="0"/>
            </w:tcBorders>
            <w:noWrap/>
          </w:tcPr>
          <w:p w:rsidRPr="00192643" w:rsidR="00137477" w:rsidP="00137477" w:rsidRDefault="00137477" w14:paraId="3E35B789" w14:textId="77777777">
            <w:pPr>
              <w:spacing w:before="40" w:after="40"/>
              <w:rPr>
                <w:rFonts w:cs="Times New Roman"/>
                <w:sz w:val="20"/>
                <w:szCs w:val="20"/>
              </w:rPr>
            </w:pPr>
            <w:r w:rsidRPr="00192643">
              <w:rPr>
                <w:rFonts w:cs="Times New Roman"/>
                <w:sz w:val="20"/>
                <w:szCs w:val="20"/>
              </w:rPr>
              <w:t>Full (&gt;6PD</w:t>
            </w:r>
            <w:r w:rsidRPr="00192643">
              <w:rPr>
                <w:rFonts w:cs="Times New Roman"/>
                <w:sz w:val="20"/>
                <w:szCs w:val="20"/>
                <w:vertAlign w:val="subscript"/>
              </w:rPr>
              <w:t>50</w:t>
            </w:r>
            <w:r w:rsidRPr="00192643">
              <w:rPr>
                <w:rFonts w:cs="Times New Roman"/>
                <w:sz w:val="20"/>
                <w:szCs w:val="20"/>
              </w:rPr>
              <w:t>/dose)</w:t>
            </w:r>
          </w:p>
        </w:tc>
        <w:tc>
          <w:tcPr>
            <w:tcW w:w="1701" w:type="dxa"/>
            <w:tcBorders>
              <w:bottom w:val="single" w:color="auto" w:sz="4" w:space="0"/>
            </w:tcBorders>
            <w:noWrap/>
          </w:tcPr>
          <w:p w:rsidRPr="003B41A0" w:rsidR="00137477" w:rsidP="00137477" w:rsidRDefault="00137477" w14:paraId="2DCECD8D" w14:textId="77777777">
            <w:pPr>
              <w:spacing w:before="40" w:after="40"/>
              <w:jc w:val="center"/>
              <w:rPr>
                <w:rFonts w:cs="Times New Roman"/>
                <w:sz w:val="20"/>
                <w:szCs w:val="20"/>
              </w:rPr>
            </w:pPr>
            <w:r w:rsidRPr="003B41A0">
              <w:rPr>
                <w:rFonts w:cs="Times New Roman"/>
                <w:sz w:val="20"/>
                <w:szCs w:val="20"/>
              </w:rPr>
              <w:t>100.0 (5/5)</w:t>
            </w:r>
          </w:p>
        </w:tc>
        <w:tc>
          <w:tcPr>
            <w:tcW w:w="1276" w:type="dxa"/>
            <w:tcBorders>
              <w:bottom w:val="single" w:color="auto" w:sz="4" w:space="0"/>
            </w:tcBorders>
          </w:tcPr>
          <w:p w:rsidRPr="003B41A0" w:rsidR="00137477" w:rsidP="00137477" w:rsidRDefault="00137477" w14:paraId="71B05856" w14:textId="77777777">
            <w:pPr>
              <w:spacing w:before="40" w:after="40"/>
              <w:jc w:val="center"/>
              <w:rPr>
                <w:rFonts w:cs="Times New Roman"/>
                <w:sz w:val="20"/>
                <w:szCs w:val="20"/>
              </w:rPr>
            </w:pPr>
            <w:r w:rsidRPr="003B41A0">
              <w:rPr>
                <w:rFonts w:cs="Times New Roman"/>
                <w:sz w:val="20"/>
                <w:szCs w:val="20"/>
              </w:rPr>
              <w:t>2.0</w:t>
            </w:r>
          </w:p>
        </w:tc>
        <w:tc>
          <w:tcPr>
            <w:tcW w:w="1418" w:type="dxa"/>
            <w:tcBorders>
              <w:bottom w:val="single" w:color="auto" w:sz="4" w:space="0"/>
            </w:tcBorders>
          </w:tcPr>
          <w:p w:rsidRPr="00192643" w:rsidR="00137477" w:rsidP="00137477" w:rsidRDefault="00CB742B" w14:paraId="1539CB56" w14:textId="7E8A3DC1">
            <w:pPr>
              <w:spacing w:before="40" w:after="40"/>
              <w:rPr>
                <w:rFonts w:cs="Times New Roman"/>
                <w:sz w:val="20"/>
                <w:szCs w:val="20"/>
              </w:rPr>
            </w:pPr>
            <w:r>
              <w:rPr>
                <w:rFonts w:cs="Times New Roman"/>
                <w:sz w:val="20"/>
                <w:szCs w:val="20"/>
              </w:rPr>
              <w:fldChar w:fldCharType="begin" w:fldLock="1"/>
            </w:r>
            <w:r w:rsidR="00170375">
              <w:rPr>
                <w:rFonts w:cs="Times New Roman"/>
                <w:sz w:val="20"/>
                <w:szCs w:val="20"/>
              </w:rPr>
              <w:instrText>ADDIN CSL_CITATION {"citationItems":[{"id":"ITEM-1","itemData":{"DOI":"10.3390/vaccines8010080","ISSN":"2076393X","abstract":"The continuous emergence of foot-and-mouth disease virus (FMDV) serotype A variants in South East Asia is of concern for international FMDV antigen banks, especially when in vitro tests predict a low antigenic match. A vaccination-challenge study was performed by using two emergency FMDV vaccines with A22 Iraq 64 (A22 IRQ) and A Malaysia 97 (A MAY 97) strains, against challenge with a variant strain of FMDV A/Asia/G-IX/SEA-97 lineage at 7- and 21-day post-vaccination (dpv). At 7 dpv, three of five female calves vaccinated with A MAY 97 and four of five vaccinated with A22 IRQ did not show lesions on the feet and were considered protected, while at 21 dpv all five calves were protected with each vaccine, indicating equal efficacy of both vaccine strains. Calves were protected despite relatively low heterologous neutralizing antibody titers to the challenge virus at the time of challenge. All the calves developed antibodies to the non-structural proteins, most likely due to the direct intradermolingual (IDL) inoculation. Only one calf from the A MAY 97-7 group had infectious virus in the serum 1–3-day post-challenge (dpc), while no virus could be isolated from the serum of cattle challenged on 21 dpv. The virus could be isolated from the oral swabs of all calves, 1–7 dpc with viral RNA detected 1–10 dpc. Nasal swabs were positive for virus 1–6 dpc in a small number of calves. The time between vaccination and infection did not have an impact on the number of animals with persistent infection, with almost all the animals showing viral RNA in their oro-pharyngeal fluid (probang) samples up to 35 dpc. Despite the poor in vitro matching data and field reports of vaccine failures, this study suggests that these vaccine strains should be effective against this new A/Asia/G/SEA-97 variant, provided they are formulated with a high antigen dose.","author":[{"dropping-particle":"","family":"Nagendrakumar","given":"B.","non-dropping-particle":"","parse-names":false,"suffix":""},{"dropping-particle":"","family":"Dekker","given":"Aldo","non-dropping-particle":"","parse-names":false,"suffix":""},{"dropping-particle":"","family":"Eblé","given":"Phaedra L.","non-dropping-particle":"","parse-names":false,"suffix":""},{"dropping-particle":"","family":"Hemert-Kluitenberg","given":"Froukje","non-dropping-particle":"van","parse-names":false,"suffix":""},{"dropping-particle":"","family":"Weerdmeester","given":"Klaas","non-dropping-particle":"","parse-names":false,"suffix":""},{"dropping-particle":"","family":"Horsington","given":"Jacquelyn","non-dropping-particle":"","parse-names":false,"suffix":""},{"dropping-particle":"","family":"Wilna","given":"Vosloo W.","non-dropping-particle":"","parse-names":false,"suffix":""}],"container-title":"Vaccines","id":"ITEM-1","issue":"1","issued":{"date-parts":[["2020"]]},"page":"1-16","title":"Emergency foot-and-mouth disease vaccines a Malaysia 97 and A22 Iraq 64 offer good protection against heterologous challenge with a variant serotype a ASIA/G-IX/SEA-97 lineage virus","type":"article-journal","volume":"8"},"uris":["http://www.mendeley.com/documents/?uuid=8c5d7430-94f6-4155-862e-102817aa4edb"]}],"mendeley":{"formattedCitation":"(6)","plainTextFormattedCitation":"(6)","previouslyFormattedCitation":"(6)"},"properties":{"noteIndex":0},"schema":"https://github.com/citation-style-language/schema/raw/master/csl-citation.json"}</w:instrText>
            </w:r>
            <w:r>
              <w:rPr>
                <w:rFonts w:cs="Times New Roman"/>
                <w:sz w:val="20"/>
                <w:szCs w:val="20"/>
              </w:rPr>
              <w:fldChar w:fldCharType="separate"/>
            </w:r>
            <w:r w:rsidRPr="00CB742B">
              <w:rPr>
                <w:rFonts w:cs="Times New Roman"/>
                <w:noProof/>
                <w:sz w:val="20"/>
                <w:szCs w:val="20"/>
              </w:rPr>
              <w:t>(6)</w:t>
            </w:r>
            <w:r>
              <w:rPr>
                <w:rFonts w:cs="Times New Roman"/>
                <w:sz w:val="20"/>
                <w:szCs w:val="20"/>
              </w:rPr>
              <w:fldChar w:fldCharType="end"/>
            </w:r>
          </w:p>
        </w:tc>
      </w:tr>
      <w:tr w:rsidRPr="00171385" w:rsidR="00137477" w:rsidTr="00402929" w14:paraId="3EA570E2" w14:textId="77777777">
        <w:trPr>
          <w:trHeight w:val="290"/>
        </w:trPr>
        <w:tc>
          <w:tcPr>
            <w:tcW w:w="2268" w:type="dxa"/>
            <w:tcBorders>
              <w:top w:val="single" w:color="auto" w:sz="4" w:space="0"/>
              <w:bottom w:val="single" w:color="auto" w:sz="4" w:space="0"/>
            </w:tcBorders>
            <w:noWrap/>
          </w:tcPr>
          <w:p w:rsidRPr="00192643" w:rsidR="00137477" w:rsidP="00137477" w:rsidRDefault="00137477" w14:paraId="0E3014E4" w14:textId="0D085567">
            <w:pPr>
              <w:spacing w:before="40" w:after="40"/>
              <w:rPr>
                <w:rFonts w:cs="Times New Roman"/>
                <w:sz w:val="20"/>
                <w:szCs w:val="20"/>
              </w:rPr>
            </w:pPr>
            <w:r w:rsidRPr="00192643">
              <w:rPr>
                <w:rFonts w:cs="Times New Roman"/>
                <w:sz w:val="20"/>
                <w:szCs w:val="20"/>
              </w:rPr>
              <w:t>ASIA</w:t>
            </w:r>
            <w:r w:rsidR="00402929">
              <w:rPr>
                <w:rFonts w:cs="Times New Roman"/>
                <w:sz w:val="20"/>
                <w:szCs w:val="20"/>
              </w:rPr>
              <w:t>-</w:t>
            </w:r>
            <w:r w:rsidR="000507FE">
              <w:rPr>
                <w:rFonts w:cs="Times New Roman"/>
                <w:sz w:val="20"/>
                <w:szCs w:val="20"/>
              </w:rPr>
              <w:t>1</w:t>
            </w:r>
            <w:r>
              <w:rPr>
                <w:rFonts w:cs="Times New Roman"/>
                <w:sz w:val="20"/>
                <w:szCs w:val="20"/>
              </w:rPr>
              <w:t>/</w:t>
            </w:r>
            <w:r w:rsidR="00402929">
              <w:rPr>
                <w:rFonts w:cs="Times New Roman"/>
                <w:sz w:val="20"/>
                <w:szCs w:val="20"/>
              </w:rPr>
              <w:t>ASIA/</w:t>
            </w:r>
            <w:r w:rsidRPr="00192643">
              <w:rPr>
                <w:rFonts w:cs="Times New Roman"/>
                <w:sz w:val="20"/>
                <w:szCs w:val="20"/>
              </w:rPr>
              <w:t>Sindh-08</w:t>
            </w:r>
          </w:p>
        </w:tc>
        <w:tc>
          <w:tcPr>
            <w:tcW w:w="2409" w:type="dxa"/>
            <w:tcBorders>
              <w:top w:val="single" w:color="auto" w:sz="4" w:space="0"/>
              <w:bottom w:val="single" w:color="auto" w:sz="4" w:space="0"/>
            </w:tcBorders>
          </w:tcPr>
          <w:p w:rsidRPr="00192643" w:rsidR="00137477" w:rsidP="00137477" w:rsidRDefault="00137477" w14:paraId="659E393B" w14:textId="3460CEAF">
            <w:pPr>
              <w:spacing w:before="40" w:after="40"/>
              <w:rPr>
                <w:rFonts w:cs="Times New Roman"/>
                <w:sz w:val="20"/>
                <w:szCs w:val="20"/>
              </w:rPr>
            </w:pPr>
            <w:r w:rsidRPr="00192643">
              <w:rPr>
                <w:rFonts w:cs="Times New Roman"/>
                <w:sz w:val="20"/>
                <w:szCs w:val="20"/>
              </w:rPr>
              <w:t xml:space="preserve">Asia 1 Shamir </w:t>
            </w:r>
            <w:r>
              <w:rPr>
                <w:rFonts w:cs="Times New Roman"/>
                <w:sz w:val="20"/>
                <w:szCs w:val="20"/>
              </w:rPr>
              <w:t>(</w:t>
            </w:r>
            <w:r w:rsidRPr="00192643">
              <w:rPr>
                <w:rFonts w:cs="Times New Roman"/>
                <w:sz w:val="20"/>
                <w:szCs w:val="20"/>
              </w:rPr>
              <w:t>BI</w:t>
            </w:r>
            <w:r>
              <w:rPr>
                <w:rFonts w:cs="Times New Roman"/>
                <w:sz w:val="20"/>
                <w:szCs w:val="20"/>
              </w:rPr>
              <w:t>)</w:t>
            </w:r>
          </w:p>
        </w:tc>
        <w:tc>
          <w:tcPr>
            <w:tcW w:w="1842" w:type="dxa"/>
            <w:tcBorders>
              <w:top w:val="single" w:color="auto" w:sz="4" w:space="0"/>
              <w:bottom w:val="single" w:color="auto" w:sz="4" w:space="0"/>
            </w:tcBorders>
            <w:noWrap/>
          </w:tcPr>
          <w:p w:rsidRPr="00192643" w:rsidR="00137477" w:rsidP="00137477" w:rsidRDefault="00137477" w14:paraId="02067470" w14:textId="77777777">
            <w:pPr>
              <w:spacing w:before="40" w:after="40"/>
              <w:rPr>
                <w:rFonts w:cs="Times New Roman"/>
                <w:sz w:val="20"/>
                <w:szCs w:val="20"/>
              </w:rPr>
            </w:pPr>
            <w:r w:rsidRPr="00192643">
              <w:rPr>
                <w:rFonts w:cs="Times New Roman"/>
                <w:sz w:val="20"/>
                <w:szCs w:val="20"/>
              </w:rPr>
              <w:t>Various</w:t>
            </w:r>
          </w:p>
        </w:tc>
        <w:tc>
          <w:tcPr>
            <w:tcW w:w="1701" w:type="dxa"/>
            <w:tcBorders>
              <w:top w:val="single" w:color="auto" w:sz="4" w:space="0"/>
              <w:bottom w:val="single" w:color="auto" w:sz="4" w:space="0"/>
            </w:tcBorders>
            <w:noWrap/>
          </w:tcPr>
          <w:p w:rsidRPr="003B41A0" w:rsidR="00137477" w:rsidP="00137477" w:rsidRDefault="00137477" w14:paraId="4CADA4A9" w14:textId="77777777">
            <w:pPr>
              <w:spacing w:before="40" w:after="40"/>
              <w:jc w:val="center"/>
              <w:rPr>
                <w:rFonts w:cs="Times New Roman"/>
                <w:sz w:val="20"/>
                <w:szCs w:val="20"/>
              </w:rPr>
            </w:pPr>
            <w:r w:rsidRPr="003B41A0">
              <w:rPr>
                <w:rFonts w:cs="Times New Roman"/>
                <w:sz w:val="20"/>
                <w:szCs w:val="20"/>
              </w:rPr>
              <w:t>86.7 (13/15)</w:t>
            </w:r>
          </w:p>
        </w:tc>
        <w:tc>
          <w:tcPr>
            <w:tcW w:w="1276" w:type="dxa"/>
            <w:tcBorders>
              <w:top w:val="single" w:color="auto" w:sz="4" w:space="0"/>
              <w:bottom w:val="single" w:color="auto" w:sz="4" w:space="0"/>
            </w:tcBorders>
          </w:tcPr>
          <w:p w:rsidRPr="003B41A0" w:rsidR="00137477" w:rsidP="00137477" w:rsidRDefault="00137477" w14:paraId="3C92B52C" w14:textId="77777777">
            <w:pPr>
              <w:spacing w:before="40" w:after="40"/>
              <w:jc w:val="center"/>
              <w:rPr>
                <w:rFonts w:cs="Times New Roman"/>
                <w:sz w:val="20"/>
                <w:szCs w:val="20"/>
              </w:rPr>
            </w:pPr>
            <w:r w:rsidRPr="003B41A0">
              <w:rPr>
                <w:rFonts w:cs="Times New Roman"/>
                <w:sz w:val="20"/>
                <w:szCs w:val="20"/>
              </w:rPr>
              <w:t>-</w:t>
            </w:r>
          </w:p>
        </w:tc>
        <w:tc>
          <w:tcPr>
            <w:tcW w:w="1418" w:type="dxa"/>
            <w:tcBorders>
              <w:top w:val="single" w:color="auto" w:sz="4" w:space="0"/>
              <w:bottom w:val="single" w:color="auto" w:sz="4" w:space="0"/>
            </w:tcBorders>
          </w:tcPr>
          <w:p w:rsidR="00402929" w:rsidP="00137477" w:rsidRDefault="00137477" w14:paraId="48A50B76" w14:textId="77777777">
            <w:pPr>
              <w:spacing w:before="40" w:after="40"/>
              <w:rPr>
                <w:rFonts w:cs="Times New Roman"/>
                <w:sz w:val="20"/>
                <w:szCs w:val="20"/>
              </w:rPr>
            </w:pPr>
            <w:r w:rsidRPr="00192643">
              <w:rPr>
                <w:rFonts w:cs="Times New Roman"/>
                <w:sz w:val="20"/>
                <w:szCs w:val="20"/>
              </w:rPr>
              <w:t xml:space="preserve">Li </w:t>
            </w:r>
            <w:r w:rsidRPr="00192643">
              <w:rPr>
                <w:rFonts w:cs="Times New Roman"/>
                <w:i/>
                <w:iCs/>
                <w:sz w:val="20"/>
                <w:szCs w:val="20"/>
              </w:rPr>
              <w:t>et al</w:t>
            </w:r>
            <w:r w:rsidRPr="00192643">
              <w:rPr>
                <w:rFonts w:cs="Times New Roman"/>
                <w:sz w:val="20"/>
                <w:szCs w:val="20"/>
              </w:rPr>
              <w:t xml:space="preserve">. </w:t>
            </w:r>
          </w:p>
          <w:p w:rsidRPr="00192643" w:rsidR="00137477" w:rsidP="00137477" w:rsidRDefault="00402929" w14:paraId="633D384B" w14:textId="5C126477">
            <w:pPr>
              <w:spacing w:before="40" w:after="40"/>
              <w:rPr>
                <w:rFonts w:cs="Times New Roman"/>
                <w:sz w:val="20"/>
                <w:szCs w:val="20"/>
              </w:rPr>
            </w:pPr>
            <w:r>
              <w:rPr>
                <w:rFonts w:cs="Times New Roman"/>
                <w:sz w:val="20"/>
                <w:szCs w:val="20"/>
              </w:rPr>
              <w:t>(</w:t>
            </w:r>
            <w:r w:rsidRPr="00192643" w:rsidR="00137477">
              <w:rPr>
                <w:rFonts w:cs="Times New Roman"/>
                <w:sz w:val="20"/>
                <w:szCs w:val="20"/>
              </w:rPr>
              <w:t>unpublished</w:t>
            </w:r>
            <w:r>
              <w:rPr>
                <w:rFonts w:cs="Times New Roman"/>
                <w:sz w:val="20"/>
                <w:szCs w:val="20"/>
              </w:rPr>
              <w:t>)</w:t>
            </w:r>
          </w:p>
        </w:tc>
      </w:tr>
    </w:tbl>
    <w:p w:rsidR="009A0BDD" w:rsidP="00B913DC" w:rsidRDefault="009A0BDD" w14:paraId="6BE86D8F" w14:textId="70EBE2AE">
      <w:pPr>
        <w:spacing w:after="0"/>
        <w:jc w:val="both"/>
        <w:rPr>
          <w:rFonts w:cs="Times New Roman"/>
          <w:sz w:val="20"/>
          <w:szCs w:val="20"/>
        </w:rPr>
      </w:pPr>
      <w:r w:rsidRPr="00171385">
        <w:rPr>
          <w:rFonts w:cs="Times New Roman"/>
          <w:sz w:val="20"/>
          <w:szCs w:val="20"/>
        </w:rPr>
        <w:t xml:space="preserve">*Cut-off for effective protection </w:t>
      </w:r>
      <w:r w:rsidR="00B913DC">
        <w:rPr>
          <w:rFonts w:cs="Times New Roman"/>
          <w:sz w:val="20"/>
          <w:szCs w:val="20"/>
        </w:rPr>
        <w:t xml:space="preserve">is defined as: </w:t>
      </w:r>
      <w:r w:rsidRPr="00171385">
        <w:rPr>
          <w:rFonts w:cs="Times New Roman"/>
          <w:sz w:val="20"/>
          <w:szCs w:val="20"/>
        </w:rPr>
        <w:t>3/5 of animals protected with a log</w:t>
      </w:r>
      <w:r w:rsidRPr="00B913DC">
        <w:rPr>
          <w:rFonts w:cs="Times New Roman"/>
          <w:sz w:val="20"/>
          <w:szCs w:val="20"/>
          <w:vertAlign w:val="subscript"/>
        </w:rPr>
        <w:t>10</w:t>
      </w:r>
      <w:r w:rsidRPr="00171385">
        <w:rPr>
          <w:rFonts w:cs="Times New Roman"/>
          <w:sz w:val="20"/>
          <w:szCs w:val="20"/>
        </w:rPr>
        <w:t xml:space="preserve"> reciprocal </w:t>
      </w:r>
      <w:proofErr w:type="spellStart"/>
      <w:r w:rsidRPr="00171385">
        <w:rPr>
          <w:rFonts w:cs="Times New Roman"/>
          <w:sz w:val="20"/>
          <w:szCs w:val="20"/>
        </w:rPr>
        <w:t>titre</w:t>
      </w:r>
      <w:proofErr w:type="spellEnd"/>
      <w:r w:rsidRPr="00171385">
        <w:rPr>
          <w:rFonts w:cs="Times New Roman"/>
          <w:sz w:val="20"/>
          <w:szCs w:val="20"/>
        </w:rPr>
        <w:t xml:space="preserve"> of 1.5 after a single dose vaccination with serum collected 21 days later (according to the ‘Recommendation to </w:t>
      </w:r>
      <w:proofErr w:type="spellStart"/>
      <w:r w:rsidRPr="00171385">
        <w:rPr>
          <w:rFonts w:cs="Times New Roman"/>
          <w:sz w:val="20"/>
          <w:szCs w:val="20"/>
        </w:rPr>
        <w:t>AgResults</w:t>
      </w:r>
      <w:proofErr w:type="spellEnd"/>
      <w:r w:rsidRPr="00171385">
        <w:rPr>
          <w:rFonts w:cs="Times New Roman"/>
          <w:sz w:val="20"/>
          <w:szCs w:val="20"/>
        </w:rPr>
        <w:t xml:space="preserve"> on using serological indicators (“valency testing”) of cross-protection for FMD vaccines’)</w:t>
      </w:r>
      <w:r w:rsidR="00170375">
        <w:rPr>
          <w:rFonts w:cs="Times New Roman"/>
          <w:sz w:val="20"/>
          <w:szCs w:val="20"/>
        </w:rPr>
        <w:fldChar w:fldCharType="begin" w:fldLock="1"/>
      </w:r>
      <w:r w:rsidR="00170375">
        <w:rPr>
          <w:rFonts w:cs="Times New Roman"/>
          <w:sz w:val="20"/>
          <w:szCs w:val="20"/>
        </w:rPr>
        <w:instrText>ADDIN CSL_CITATION {"citationItems":[{"id":"ITEM-1","itemData":{"URL":"https://www.wrlfmd.org/sites/world/files/quick_media/Cross-neutralisation measure AgResults Final v2.1.pdf","author":[{"dropping-particle":"","family":"WRLFMD","given":"","non-dropping-particle":"","parse-names":false,"suffix":""}],"id":"ITEM-1","issued":{"date-parts":[["0"]]},"title":"Recommendation to AgResults on using serological indicators (“valency testing”) of cross protection for FMD vaccines","type":"webpage"},"uris":["http://www.mendeley.com/documents/?uuid=025243eb-3eea-48b5-8ef5-4fe235e37b47"]}],"mendeley":{"formattedCitation":"(7)","plainTextFormattedCitation":"(7)"},"properties":{"noteIndex":0},"schema":"https://github.com/citation-style-language/schema/raw/master/csl-citation.json"}</w:instrText>
      </w:r>
      <w:r w:rsidR="00170375">
        <w:rPr>
          <w:rFonts w:cs="Times New Roman"/>
          <w:sz w:val="20"/>
          <w:szCs w:val="20"/>
        </w:rPr>
        <w:fldChar w:fldCharType="separate"/>
      </w:r>
      <w:r w:rsidRPr="00170375" w:rsidR="00170375">
        <w:rPr>
          <w:rFonts w:cs="Times New Roman"/>
          <w:noProof/>
          <w:sz w:val="20"/>
          <w:szCs w:val="20"/>
        </w:rPr>
        <w:t>(7)</w:t>
      </w:r>
      <w:r w:rsidR="00170375">
        <w:rPr>
          <w:rFonts w:cs="Times New Roman"/>
          <w:sz w:val="20"/>
          <w:szCs w:val="20"/>
        </w:rPr>
        <w:fldChar w:fldCharType="end"/>
      </w:r>
      <w:r w:rsidR="00A71634">
        <w:rPr>
          <w:rFonts w:cs="Times New Roman"/>
          <w:sz w:val="20"/>
          <w:szCs w:val="20"/>
        </w:rPr>
        <w:t>.</w:t>
      </w:r>
    </w:p>
    <w:p w:rsidR="009A0BDD" w:rsidP="00391833" w:rsidRDefault="009A0BDD" w14:paraId="1D76184F" w14:textId="0E90093F">
      <w:pPr>
        <w:rPr>
          <w:rFonts w:cs="Times New Roman"/>
          <w:sz w:val="20"/>
          <w:szCs w:val="20"/>
        </w:rPr>
      </w:pPr>
      <w:r>
        <w:rPr>
          <w:rFonts w:cs="Times New Roman"/>
          <w:sz w:val="20"/>
          <w:szCs w:val="20"/>
        </w:rPr>
        <w:t>VNT: virus neutralisation test</w:t>
      </w:r>
      <w:r w:rsidR="001D212C">
        <w:rPr>
          <w:rFonts w:cs="Times New Roman"/>
          <w:sz w:val="20"/>
          <w:szCs w:val="20"/>
        </w:rPr>
        <w:t xml:space="preserve">, BI: </w:t>
      </w:r>
      <w:r w:rsidRPr="008C0906" w:rsidR="008C0906">
        <w:rPr>
          <w:rFonts w:cs="Times New Roman"/>
          <w:sz w:val="20"/>
          <w:szCs w:val="20"/>
        </w:rPr>
        <w:t>Boehringer Ingelheim</w:t>
      </w:r>
      <w:r w:rsidR="008C0906">
        <w:rPr>
          <w:rFonts w:cs="Times New Roman"/>
          <w:sz w:val="20"/>
          <w:szCs w:val="20"/>
        </w:rPr>
        <w:t>.</w:t>
      </w:r>
    </w:p>
    <w:p w:rsidR="00A253AE" w:rsidP="00391833" w:rsidRDefault="00A253AE" w14:paraId="46BF608F" w14:textId="12698411">
      <w:pPr>
        <w:rPr>
          <w:rFonts w:cs="Times New Roman"/>
          <w:sz w:val="20"/>
          <w:szCs w:val="20"/>
        </w:rPr>
      </w:pPr>
    </w:p>
    <w:p w:rsidR="00A253AE" w:rsidP="00391833" w:rsidRDefault="00A253AE" w14:paraId="74FC3FD3" w14:textId="0C297A54">
      <w:pPr>
        <w:rPr>
          <w:rFonts w:cs="Times New Roman"/>
          <w:sz w:val="20"/>
          <w:szCs w:val="20"/>
        </w:rPr>
      </w:pPr>
    </w:p>
    <w:p w:rsidR="00A253AE" w:rsidP="00391833" w:rsidRDefault="00A253AE" w14:paraId="2E469D57" w14:textId="660EEE9E">
      <w:pPr>
        <w:rPr>
          <w:rFonts w:cs="Times New Roman"/>
          <w:sz w:val="20"/>
          <w:szCs w:val="20"/>
        </w:rPr>
      </w:pPr>
    </w:p>
    <w:p w:rsidR="00A253AE" w:rsidP="00391833" w:rsidRDefault="00A253AE" w14:paraId="65E4FF55" w14:textId="1D245B37">
      <w:pPr>
        <w:rPr>
          <w:rFonts w:cs="Times New Roman"/>
          <w:sz w:val="20"/>
          <w:szCs w:val="20"/>
        </w:rPr>
      </w:pPr>
    </w:p>
    <w:p w:rsidRPr="00A253AE" w:rsidR="00A253AE" w:rsidP="00391833" w:rsidRDefault="00A253AE" w14:paraId="16CBFFB6" w14:textId="77777777">
      <w:pPr>
        <w:rPr>
          <w:rFonts w:cs="Times New Roman"/>
          <w:sz w:val="20"/>
          <w:szCs w:val="20"/>
        </w:rPr>
      </w:pPr>
    </w:p>
    <w:p w:rsidRPr="002B6FCA" w:rsidR="00391833" w:rsidP="00391833" w:rsidRDefault="00501265" w14:paraId="493529A3" w14:textId="3FA3B562">
      <w:pPr>
        <w:rPr>
          <w:rFonts w:cs="Times New Roman"/>
          <w:sz w:val="22"/>
        </w:rPr>
      </w:pPr>
      <w:r>
        <w:rPr>
          <w:rFonts w:cs="Times New Roman"/>
          <w:b/>
          <w:bCs/>
          <w:sz w:val="22"/>
        </w:rPr>
        <w:t xml:space="preserve">Supplementary </w:t>
      </w:r>
      <w:r w:rsidRPr="002B6FCA" w:rsidR="00391833">
        <w:rPr>
          <w:rFonts w:cs="Times New Roman"/>
          <w:b/>
          <w:bCs/>
          <w:sz w:val="22"/>
        </w:rPr>
        <w:t xml:space="preserve">Table </w:t>
      </w:r>
      <w:r w:rsidR="009A0BDD">
        <w:rPr>
          <w:rFonts w:cs="Times New Roman"/>
          <w:b/>
          <w:bCs/>
          <w:sz w:val="22"/>
        </w:rPr>
        <w:t>2</w:t>
      </w:r>
      <w:r w:rsidRPr="002B6FCA" w:rsidR="00391833">
        <w:rPr>
          <w:rFonts w:cs="Times New Roman"/>
          <w:b/>
          <w:bCs/>
          <w:sz w:val="22"/>
        </w:rPr>
        <w:t xml:space="preserve">. </w:t>
      </w:r>
      <w:r w:rsidRPr="002B6FCA" w:rsidR="00391833">
        <w:rPr>
          <w:rFonts w:cs="Times New Roman"/>
          <w:sz w:val="22"/>
        </w:rPr>
        <w:t xml:space="preserve">Number of </w:t>
      </w:r>
      <w:r w:rsidR="00337D31">
        <w:rPr>
          <w:rFonts w:cs="Times New Roman"/>
          <w:sz w:val="22"/>
        </w:rPr>
        <w:t xml:space="preserve">unique </w:t>
      </w:r>
      <w:r w:rsidR="00D75177">
        <w:rPr>
          <w:rFonts w:cs="Times New Roman"/>
          <w:sz w:val="22"/>
        </w:rPr>
        <w:t>samples</w:t>
      </w:r>
      <w:r w:rsidR="00337D31">
        <w:rPr>
          <w:rFonts w:cs="Times New Roman"/>
          <w:sz w:val="22"/>
        </w:rPr>
        <w:t xml:space="preserve"> used</w:t>
      </w:r>
      <w:r w:rsidRPr="002B6FCA" w:rsidR="00391833">
        <w:rPr>
          <w:rFonts w:cs="Times New Roman"/>
          <w:sz w:val="22"/>
        </w:rPr>
        <w:t xml:space="preserve"> </w:t>
      </w:r>
      <w:r w:rsidR="00337D31">
        <w:rPr>
          <w:rFonts w:cs="Times New Roman"/>
          <w:sz w:val="22"/>
        </w:rPr>
        <w:t>for</w:t>
      </w:r>
      <w:r w:rsidRPr="002B6FCA" w:rsidR="00391833">
        <w:rPr>
          <w:rFonts w:cs="Times New Roman"/>
          <w:sz w:val="22"/>
        </w:rPr>
        <w:t xml:space="preserve"> vaccine matching</w:t>
      </w:r>
      <w:r w:rsidR="00763E80">
        <w:rPr>
          <w:rFonts w:cs="Times New Roman"/>
          <w:sz w:val="22"/>
        </w:rPr>
        <w:t xml:space="preserve"> tests</w:t>
      </w:r>
      <w:r w:rsidRPr="002B6FCA" w:rsidR="00391833">
        <w:rPr>
          <w:rFonts w:cs="Times New Roman"/>
          <w:sz w:val="22"/>
        </w:rPr>
        <w:t>, per year of sample collection</w:t>
      </w:r>
      <w:r w:rsidR="00337D31">
        <w:rPr>
          <w:rFonts w:cs="Times New Roman"/>
          <w:sz w:val="22"/>
        </w:rPr>
        <w:t>.</w:t>
      </w:r>
    </w:p>
    <w:tbl>
      <w:tblPr>
        <w:tblW w:w="10239" w:type="dxa"/>
        <w:tblLook w:val="04A0" w:firstRow="1" w:lastRow="0" w:firstColumn="1" w:lastColumn="0" w:noHBand="0" w:noVBand="1"/>
      </w:tblPr>
      <w:tblGrid>
        <w:gridCol w:w="2127"/>
        <w:gridCol w:w="616"/>
        <w:gridCol w:w="616"/>
        <w:gridCol w:w="616"/>
        <w:gridCol w:w="616"/>
        <w:gridCol w:w="616"/>
        <w:gridCol w:w="616"/>
        <w:gridCol w:w="616"/>
        <w:gridCol w:w="616"/>
        <w:gridCol w:w="616"/>
        <w:gridCol w:w="616"/>
        <w:gridCol w:w="697"/>
        <w:gridCol w:w="616"/>
        <w:gridCol w:w="639"/>
      </w:tblGrid>
      <w:tr w:rsidRPr="001B614D" w:rsidR="00391833" w:rsidTr="0074393E" w14:paraId="43E12F23" w14:textId="77777777">
        <w:trPr>
          <w:trHeight w:val="300"/>
        </w:trPr>
        <w:tc>
          <w:tcPr>
            <w:tcW w:w="2127" w:type="dxa"/>
            <w:tcBorders>
              <w:top w:val="single" w:color="auto" w:sz="4" w:space="0"/>
              <w:bottom w:val="single" w:color="auto" w:sz="4" w:space="0"/>
            </w:tcBorders>
            <w:shd w:val="clear" w:color="auto" w:fill="auto"/>
            <w:noWrap/>
            <w:vAlign w:val="center"/>
            <w:hideMark/>
          </w:tcPr>
          <w:p w:rsidRPr="00D24E5F" w:rsidR="00391833" w:rsidP="00763E80" w:rsidRDefault="00391833" w14:paraId="178B1F65" w14:textId="77777777">
            <w:pPr>
              <w:spacing w:before="20" w:after="20"/>
              <w:rPr>
                <w:rFonts w:eastAsia="Times New Roman" w:cs="Times New Roman"/>
                <w:color w:val="000000"/>
                <w:sz w:val="20"/>
                <w:szCs w:val="20"/>
                <w:lang w:eastAsia="en-GB"/>
              </w:rPr>
            </w:pPr>
            <w:r w:rsidRPr="001B614D">
              <w:rPr>
                <w:rFonts w:eastAsia="Times New Roman" w:cs="Times New Roman"/>
                <w:color w:val="000000"/>
                <w:sz w:val="20"/>
                <w:szCs w:val="20"/>
                <w:lang w:eastAsia="en-GB"/>
              </w:rPr>
              <w:t>Serotype/</w:t>
            </w:r>
            <w:r>
              <w:rPr>
                <w:rFonts w:eastAsia="Times New Roman" w:cs="Times New Roman"/>
                <w:color w:val="000000"/>
                <w:sz w:val="20"/>
                <w:szCs w:val="20"/>
                <w:lang w:eastAsia="en-GB"/>
              </w:rPr>
              <w:t>l</w:t>
            </w:r>
            <w:r w:rsidRPr="00D24E5F">
              <w:rPr>
                <w:rFonts w:eastAsia="Times New Roman" w:cs="Times New Roman"/>
                <w:color w:val="000000"/>
                <w:sz w:val="20"/>
                <w:szCs w:val="20"/>
                <w:lang w:eastAsia="en-GB"/>
              </w:rPr>
              <w:t>ineage</w:t>
            </w:r>
          </w:p>
        </w:tc>
        <w:tc>
          <w:tcPr>
            <w:tcW w:w="616" w:type="dxa"/>
            <w:tcBorders>
              <w:top w:val="single" w:color="auto" w:sz="4" w:space="0"/>
              <w:bottom w:val="single" w:color="auto" w:sz="4" w:space="0"/>
            </w:tcBorders>
            <w:shd w:val="clear" w:color="auto" w:fill="auto"/>
            <w:noWrap/>
            <w:vAlign w:val="center"/>
            <w:hideMark/>
          </w:tcPr>
          <w:p w:rsidRPr="00D24E5F" w:rsidR="00391833" w:rsidP="00763E80" w:rsidRDefault="00391833" w14:paraId="4F40339E" w14:textId="77777777">
            <w:pPr>
              <w:spacing w:before="20" w:after="20"/>
              <w:jc w:val="center"/>
              <w:rPr>
                <w:rFonts w:eastAsia="Times New Roman" w:cs="Times New Roman"/>
                <w:color w:val="000000"/>
                <w:sz w:val="20"/>
                <w:szCs w:val="20"/>
                <w:lang w:eastAsia="en-GB"/>
              </w:rPr>
            </w:pPr>
            <w:r w:rsidRPr="00D24E5F">
              <w:rPr>
                <w:rFonts w:eastAsia="Times New Roman" w:cs="Times New Roman"/>
                <w:color w:val="000000"/>
                <w:sz w:val="20"/>
                <w:szCs w:val="20"/>
                <w:lang w:eastAsia="en-GB"/>
              </w:rPr>
              <w:t>2010</w:t>
            </w:r>
          </w:p>
        </w:tc>
        <w:tc>
          <w:tcPr>
            <w:tcW w:w="616" w:type="dxa"/>
            <w:tcBorders>
              <w:top w:val="single" w:color="auto" w:sz="4" w:space="0"/>
              <w:bottom w:val="single" w:color="auto" w:sz="4" w:space="0"/>
            </w:tcBorders>
            <w:shd w:val="clear" w:color="auto" w:fill="auto"/>
            <w:noWrap/>
            <w:vAlign w:val="center"/>
            <w:hideMark/>
          </w:tcPr>
          <w:p w:rsidRPr="00D24E5F" w:rsidR="00391833" w:rsidP="00763E80" w:rsidRDefault="00391833" w14:paraId="6D090AA3" w14:textId="77777777">
            <w:pPr>
              <w:spacing w:before="20" w:after="20"/>
              <w:jc w:val="center"/>
              <w:rPr>
                <w:rFonts w:eastAsia="Times New Roman" w:cs="Times New Roman"/>
                <w:color w:val="000000"/>
                <w:sz w:val="20"/>
                <w:szCs w:val="20"/>
                <w:lang w:eastAsia="en-GB"/>
              </w:rPr>
            </w:pPr>
            <w:r w:rsidRPr="00D24E5F">
              <w:rPr>
                <w:rFonts w:eastAsia="Times New Roman" w:cs="Times New Roman"/>
                <w:color w:val="000000"/>
                <w:sz w:val="20"/>
                <w:szCs w:val="20"/>
                <w:lang w:eastAsia="en-GB"/>
              </w:rPr>
              <w:t>2011</w:t>
            </w:r>
          </w:p>
        </w:tc>
        <w:tc>
          <w:tcPr>
            <w:tcW w:w="616" w:type="dxa"/>
            <w:tcBorders>
              <w:top w:val="single" w:color="auto" w:sz="4" w:space="0"/>
              <w:bottom w:val="single" w:color="auto" w:sz="4" w:space="0"/>
            </w:tcBorders>
            <w:shd w:val="clear" w:color="auto" w:fill="auto"/>
            <w:noWrap/>
            <w:vAlign w:val="center"/>
            <w:hideMark/>
          </w:tcPr>
          <w:p w:rsidRPr="00D24E5F" w:rsidR="00391833" w:rsidP="00763E80" w:rsidRDefault="00391833" w14:paraId="0EEA120B" w14:textId="77777777">
            <w:pPr>
              <w:spacing w:before="20" w:after="20"/>
              <w:jc w:val="center"/>
              <w:rPr>
                <w:rFonts w:eastAsia="Times New Roman" w:cs="Times New Roman"/>
                <w:color w:val="000000"/>
                <w:sz w:val="20"/>
                <w:szCs w:val="20"/>
                <w:lang w:eastAsia="en-GB"/>
              </w:rPr>
            </w:pPr>
            <w:r w:rsidRPr="00D24E5F">
              <w:rPr>
                <w:rFonts w:eastAsia="Times New Roman" w:cs="Times New Roman"/>
                <w:color w:val="000000"/>
                <w:sz w:val="20"/>
                <w:szCs w:val="20"/>
                <w:lang w:eastAsia="en-GB"/>
              </w:rPr>
              <w:t>2012</w:t>
            </w:r>
          </w:p>
        </w:tc>
        <w:tc>
          <w:tcPr>
            <w:tcW w:w="616" w:type="dxa"/>
            <w:tcBorders>
              <w:top w:val="single" w:color="auto" w:sz="4" w:space="0"/>
              <w:bottom w:val="single" w:color="auto" w:sz="4" w:space="0"/>
            </w:tcBorders>
            <w:shd w:val="clear" w:color="auto" w:fill="auto"/>
            <w:noWrap/>
            <w:vAlign w:val="center"/>
            <w:hideMark/>
          </w:tcPr>
          <w:p w:rsidRPr="00D24E5F" w:rsidR="00391833" w:rsidP="00763E80" w:rsidRDefault="00391833" w14:paraId="44C2E92B" w14:textId="77777777">
            <w:pPr>
              <w:spacing w:before="20" w:after="20"/>
              <w:jc w:val="center"/>
              <w:rPr>
                <w:rFonts w:eastAsia="Times New Roman" w:cs="Times New Roman"/>
                <w:color w:val="000000"/>
                <w:sz w:val="20"/>
                <w:szCs w:val="20"/>
                <w:lang w:eastAsia="en-GB"/>
              </w:rPr>
            </w:pPr>
            <w:r w:rsidRPr="00D24E5F">
              <w:rPr>
                <w:rFonts w:eastAsia="Times New Roman" w:cs="Times New Roman"/>
                <w:color w:val="000000"/>
                <w:sz w:val="20"/>
                <w:szCs w:val="20"/>
                <w:lang w:eastAsia="en-GB"/>
              </w:rPr>
              <w:t>2013</w:t>
            </w:r>
          </w:p>
        </w:tc>
        <w:tc>
          <w:tcPr>
            <w:tcW w:w="616" w:type="dxa"/>
            <w:tcBorders>
              <w:top w:val="single" w:color="auto" w:sz="4" w:space="0"/>
              <w:bottom w:val="single" w:color="auto" w:sz="4" w:space="0"/>
            </w:tcBorders>
            <w:shd w:val="clear" w:color="auto" w:fill="auto"/>
            <w:noWrap/>
            <w:vAlign w:val="center"/>
            <w:hideMark/>
          </w:tcPr>
          <w:p w:rsidRPr="00D24E5F" w:rsidR="00391833" w:rsidP="00763E80" w:rsidRDefault="00391833" w14:paraId="0477E0CE" w14:textId="77777777">
            <w:pPr>
              <w:spacing w:before="20" w:after="20"/>
              <w:jc w:val="center"/>
              <w:rPr>
                <w:rFonts w:eastAsia="Times New Roman" w:cs="Times New Roman"/>
                <w:color w:val="000000"/>
                <w:sz w:val="20"/>
                <w:szCs w:val="20"/>
                <w:lang w:eastAsia="en-GB"/>
              </w:rPr>
            </w:pPr>
            <w:r w:rsidRPr="00D24E5F">
              <w:rPr>
                <w:rFonts w:eastAsia="Times New Roman" w:cs="Times New Roman"/>
                <w:color w:val="000000"/>
                <w:sz w:val="20"/>
                <w:szCs w:val="20"/>
                <w:lang w:eastAsia="en-GB"/>
              </w:rPr>
              <w:t>2014</w:t>
            </w:r>
          </w:p>
        </w:tc>
        <w:tc>
          <w:tcPr>
            <w:tcW w:w="616" w:type="dxa"/>
            <w:tcBorders>
              <w:top w:val="single" w:color="auto" w:sz="4" w:space="0"/>
              <w:bottom w:val="single" w:color="auto" w:sz="4" w:space="0"/>
            </w:tcBorders>
            <w:shd w:val="clear" w:color="auto" w:fill="auto"/>
            <w:noWrap/>
            <w:vAlign w:val="center"/>
            <w:hideMark/>
          </w:tcPr>
          <w:p w:rsidRPr="00D24E5F" w:rsidR="00391833" w:rsidP="00763E80" w:rsidRDefault="00391833" w14:paraId="05F7EB92" w14:textId="77777777">
            <w:pPr>
              <w:spacing w:before="20" w:after="20"/>
              <w:jc w:val="center"/>
              <w:rPr>
                <w:rFonts w:eastAsia="Times New Roman" w:cs="Times New Roman"/>
                <w:color w:val="000000"/>
                <w:sz w:val="20"/>
                <w:szCs w:val="20"/>
                <w:lang w:eastAsia="en-GB"/>
              </w:rPr>
            </w:pPr>
            <w:r w:rsidRPr="00D24E5F">
              <w:rPr>
                <w:rFonts w:eastAsia="Times New Roman" w:cs="Times New Roman"/>
                <w:color w:val="000000"/>
                <w:sz w:val="20"/>
                <w:szCs w:val="20"/>
                <w:lang w:eastAsia="en-GB"/>
              </w:rPr>
              <w:t>2015</w:t>
            </w:r>
          </w:p>
        </w:tc>
        <w:tc>
          <w:tcPr>
            <w:tcW w:w="616" w:type="dxa"/>
            <w:tcBorders>
              <w:top w:val="single" w:color="auto" w:sz="4" w:space="0"/>
              <w:bottom w:val="single" w:color="auto" w:sz="4" w:space="0"/>
            </w:tcBorders>
            <w:shd w:val="clear" w:color="auto" w:fill="auto"/>
            <w:noWrap/>
            <w:vAlign w:val="center"/>
            <w:hideMark/>
          </w:tcPr>
          <w:p w:rsidRPr="00D24E5F" w:rsidR="00391833" w:rsidP="00763E80" w:rsidRDefault="00391833" w14:paraId="13150460" w14:textId="77777777">
            <w:pPr>
              <w:spacing w:before="20" w:after="20"/>
              <w:jc w:val="center"/>
              <w:rPr>
                <w:rFonts w:eastAsia="Times New Roman" w:cs="Times New Roman"/>
                <w:color w:val="000000"/>
                <w:sz w:val="20"/>
                <w:szCs w:val="20"/>
                <w:lang w:eastAsia="en-GB"/>
              </w:rPr>
            </w:pPr>
            <w:r w:rsidRPr="00D24E5F">
              <w:rPr>
                <w:rFonts w:eastAsia="Times New Roman" w:cs="Times New Roman"/>
                <w:color w:val="000000"/>
                <w:sz w:val="20"/>
                <w:szCs w:val="20"/>
                <w:lang w:eastAsia="en-GB"/>
              </w:rPr>
              <w:t>2016</w:t>
            </w:r>
          </w:p>
        </w:tc>
        <w:tc>
          <w:tcPr>
            <w:tcW w:w="616" w:type="dxa"/>
            <w:tcBorders>
              <w:top w:val="single" w:color="auto" w:sz="4" w:space="0"/>
              <w:bottom w:val="single" w:color="auto" w:sz="4" w:space="0"/>
            </w:tcBorders>
            <w:shd w:val="clear" w:color="auto" w:fill="auto"/>
            <w:noWrap/>
            <w:vAlign w:val="center"/>
            <w:hideMark/>
          </w:tcPr>
          <w:p w:rsidRPr="00D24E5F" w:rsidR="00391833" w:rsidP="00763E80" w:rsidRDefault="00391833" w14:paraId="2855A387" w14:textId="77777777">
            <w:pPr>
              <w:spacing w:before="20" w:after="20"/>
              <w:jc w:val="center"/>
              <w:rPr>
                <w:rFonts w:eastAsia="Times New Roman" w:cs="Times New Roman"/>
                <w:color w:val="000000"/>
                <w:sz w:val="20"/>
                <w:szCs w:val="20"/>
                <w:lang w:eastAsia="en-GB"/>
              </w:rPr>
            </w:pPr>
            <w:r w:rsidRPr="00D24E5F">
              <w:rPr>
                <w:rFonts w:eastAsia="Times New Roman" w:cs="Times New Roman"/>
                <w:color w:val="000000"/>
                <w:sz w:val="20"/>
                <w:szCs w:val="20"/>
                <w:lang w:eastAsia="en-GB"/>
              </w:rPr>
              <w:t>2017</w:t>
            </w:r>
          </w:p>
        </w:tc>
        <w:tc>
          <w:tcPr>
            <w:tcW w:w="616" w:type="dxa"/>
            <w:tcBorders>
              <w:top w:val="single" w:color="auto" w:sz="4" w:space="0"/>
              <w:bottom w:val="single" w:color="auto" w:sz="4" w:space="0"/>
            </w:tcBorders>
            <w:shd w:val="clear" w:color="auto" w:fill="auto"/>
            <w:noWrap/>
            <w:vAlign w:val="center"/>
            <w:hideMark/>
          </w:tcPr>
          <w:p w:rsidRPr="00D24E5F" w:rsidR="00391833" w:rsidP="00763E80" w:rsidRDefault="00391833" w14:paraId="786F44E9" w14:textId="77777777">
            <w:pPr>
              <w:spacing w:before="20" w:after="20"/>
              <w:jc w:val="center"/>
              <w:rPr>
                <w:rFonts w:eastAsia="Times New Roman" w:cs="Times New Roman"/>
                <w:color w:val="000000"/>
                <w:sz w:val="20"/>
                <w:szCs w:val="20"/>
                <w:lang w:eastAsia="en-GB"/>
              </w:rPr>
            </w:pPr>
            <w:r w:rsidRPr="00D24E5F">
              <w:rPr>
                <w:rFonts w:eastAsia="Times New Roman" w:cs="Times New Roman"/>
                <w:color w:val="000000"/>
                <w:sz w:val="20"/>
                <w:szCs w:val="20"/>
                <w:lang w:eastAsia="en-GB"/>
              </w:rPr>
              <w:t>2018</w:t>
            </w:r>
          </w:p>
        </w:tc>
        <w:tc>
          <w:tcPr>
            <w:tcW w:w="616" w:type="dxa"/>
            <w:tcBorders>
              <w:top w:val="single" w:color="auto" w:sz="4" w:space="0"/>
              <w:bottom w:val="single" w:color="auto" w:sz="4" w:space="0"/>
            </w:tcBorders>
            <w:shd w:val="clear" w:color="auto" w:fill="auto"/>
            <w:noWrap/>
            <w:vAlign w:val="center"/>
            <w:hideMark/>
          </w:tcPr>
          <w:p w:rsidRPr="00D24E5F" w:rsidR="00391833" w:rsidP="00763E80" w:rsidRDefault="00391833" w14:paraId="5FB39ACD" w14:textId="77777777">
            <w:pPr>
              <w:spacing w:before="20" w:after="20"/>
              <w:jc w:val="center"/>
              <w:rPr>
                <w:rFonts w:eastAsia="Times New Roman" w:cs="Times New Roman"/>
                <w:color w:val="000000"/>
                <w:sz w:val="20"/>
                <w:szCs w:val="20"/>
                <w:lang w:eastAsia="en-GB"/>
              </w:rPr>
            </w:pPr>
            <w:r w:rsidRPr="00D24E5F">
              <w:rPr>
                <w:rFonts w:eastAsia="Times New Roman" w:cs="Times New Roman"/>
                <w:color w:val="000000"/>
                <w:sz w:val="20"/>
                <w:szCs w:val="20"/>
                <w:lang w:eastAsia="en-GB"/>
              </w:rPr>
              <w:t>2019</w:t>
            </w:r>
          </w:p>
        </w:tc>
        <w:tc>
          <w:tcPr>
            <w:tcW w:w="697" w:type="dxa"/>
            <w:tcBorders>
              <w:top w:val="single" w:color="auto" w:sz="4" w:space="0"/>
              <w:bottom w:val="single" w:color="auto" w:sz="4" w:space="0"/>
            </w:tcBorders>
            <w:shd w:val="clear" w:color="auto" w:fill="auto"/>
            <w:noWrap/>
            <w:vAlign w:val="center"/>
            <w:hideMark/>
          </w:tcPr>
          <w:p w:rsidRPr="00D24E5F" w:rsidR="00391833" w:rsidP="00763E80" w:rsidRDefault="00391833" w14:paraId="08468391" w14:textId="77777777">
            <w:pPr>
              <w:spacing w:before="20" w:after="20"/>
              <w:jc w:val="center"/>
              <w:rPr>
                <w:rFonts w:eastAsia="Times New Roman" w:cs="Times New Roman"/>
                <w:color w:val="000000"/>
                <w:sz w:val="20"/>
                <w:szCs w:val="20"/>
                <w:lang w:eastAsia="en-GB"/>
              </w:rPr>
            </w:pPr>
            <w:r w:rsidRPr="00D24E5F">
              <w:rPr>
                <w:rFonts w:eastAsia="Times New Roman" w:cs="Times New Roman"/>
                <w:color w:val="000000"/>
                <w:sz w:val="20"/>
                <w:szCs w:val="20"/>
                <w:lang w:eastAsia="en-GB"/>
              </w:rPr>
              <w:t>2020</w:t>
            </w:r>
          </w:p>
        </w:tc>
        <w:tc>
          <w:tcPr>
            <w:tcW w:w="616" w:type="dxa"/>
            <w:tcBorders>
              <w:top w:val="single" w:color="auto" w:sz="4" w:space="0"/>
              <w:bottom w:val="single" w:color="auto" w:sz="4" w:space="0"/>
            </w:tcBorders>
            <w:shd w:val="clear" w:color="auto" w:fill="auto"/>
            <w:noWrap/>
            <w:vAlign w:val="center"/>
            <w:hideMark/>
          </w:tcPr>
          <w:p w:rsidRPr="00D24E5F" w:rsidR="00391833" w:rsidP="00763E80" w:rsidRDefault="00391833" w14:paraId="14320408" w14:textId="77777777">
            <w:pPr>
              <w:spacing w:before="20" w:after="20"/>
              <w:jc w:val="center"/>
              <w:rPr>
                <w:rFonts w:eastAsia="Times New Roman" w:cs="Times New Roman"/>
                <w:color w:val="000000"/>
                <w:sz w:val="20"/>
                <w:szCs w:val="20"/>
                <w:lang w:eastAsia="en-GB"/>
              </w:rPr>
            </w:pPr>
            <w:r w:rsidRPr="00D24E5F">
              <w:rPr>
                <w:rFonts w:eastAsia="Times New Roman" w:cs="Times New Roman"/>
                <w:color w:val="000000"/>
                <w:sz w:val="20"/>
                <w:szCs w:val="20"/>
                <w:lang w:eastAsia="en-GB"/>
              </w:rPr>
              <w:t>2021</w:t>
            </w:r>
          </w:p>
        </w:tc>
        <w:tc>
          <w:tcPr>
            <w:tcW w:w="639" w:type="dxa"/>
            <w:tcBorders>
              <w:top w:val="single" w:color="auto" w:sz="4" w:space="0"/>
              <w:bottom w:val="single" w:color="auto" w:sz="4" w:space="0"/>
            </w:tcBorders>
            <w:vAlign w:val="center"/>
          </w:tcPr>
          <w:p w:rsidRPr="001B614D" w:rsidR="00391833" w:rsidP="00763E80" w:rsidRDefault="00391833" w14:paraId="5DD15CC7" w14:textId="77777777">
            <w:pPr>
              <w:spacing w:before="20" w:after="20"/>
              <w:jc w:val="center"/>
              <w:rPr>
                <w:rFonts w:eastAsia="Times New Roman" w:cs="Times New Roman"/>
                <w:color w:val="000000"/>
                <w:sz w:val="20"/>
                <w:szCs w:val="20"/>
                <w:lang w:eastAsia="en-GB"/>
              </w:rPr>
            </w:pPr>
            <w:r w:rsidRPr="001B614D">
              <w:rPr>
                <w:rFonts w:eastAsia="Times New Roman" w:cs="Times New Roman"/>
                <w:color w:val="000000"/>
                <w:sz w:val="20"/>
                <w:szCs w:val="20"/>
                <w:lang w:eastAsia="en-GB"/>
              </w:rPr>
              <w:t>Total</w:t>
            </w:r>
          </w:p>
        </w:tc>
      </w:tr>
      <w:tr w:rsidRPr="001B614D" w:rsidR="00093FC6" w:rsidTr="0070531A" w14:paraId="724DC20E" w14:textId="77777777">
        <w:trPr>
          <w:trHeight w:val="300"/>
        </w:trPr>
        <w:tc>
          <w:tcPr>
            <w:tcW w:w="2127" w:type="dxa"/>
            <w:tcBorders>
              <w:top w:val="single" w:color="auto" w:sz="4" w:space="0"/>
            </w:tcBorders>
            <w:shd w:val="clear" w:color="auto" w:fill="auto"/>
            <w:noWrap/>
            <w:vAlign w:val="center"/>
            <w:hideMark/>
          </w:tcPr>
          <w:p w:rsidRPr="00D24E5F" w:rsidR="00093FC6" w:rsidP="00763E80" w:rsidRDefault="00093FC6" w14:paraId="30DA1A52" w14:textId="77777777">
            <w:pPr>
              <w:spacing w:before="20" w:after="20"/>
              <w:rPr>
                <w:rFonts w:eastAsia="Times New Roman" w:cs="Times New Roman"/>
                <w:color w:val="000000"/>
                <w:sz w:val="20"/>
                <w:szCs w:val="20"/>
                <w:lang w:eastAsia="en-GB"/>
              </w:rPr>
            </w:pPr>
            <w:r w:rsidRPr="00D24E5F">
              <w:rPr>
                <w:rFonts w:eastAsia="Times New Roman" w:cs="Times New Roman"/>
                <w:color w:val="000000"/>
                <w:sz w:val="20"/>
                <w:szCs w:val="20"/>
                <w:lang w:eastAsia="en-GB"/>
              </w:rPr>
              <w:t>O/CATHAY</w:t>
            </w:r>
          </w:p>
        </w:tc>
        <w:tc>
          <w:tcPr>
            <w:tcW w:w="616" w:type="dxa"/>
            <w:tcBorders>
              <w:top w:val="single" w:color="auto" w:sz="4" w:space="0"/>
            </w:tcBorders>
            <w:shd w:val="clear" w:color="auto" w:fill="auto"/>
            <w:noWrap/>
            <w:hideMark/>
          </w:tcPr>
          <w:p w:rsidRPr="00093FC6" w:rsidR="00093FC6" w:rsidP="00763E80" w:rsidRDefault="00093FC6" w14:paraId="3A309601" w14:textId="01085C45">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tcBorders>
              <w:top w:val="single" w:color="auto" w:sz="4" w:space="0"/>
            </w:tcBorders>
            <w:shd w:val="clear" w:color="auto" w:fill="auto"/>
            <w:noWrap/>
            <w:hideMark/>
          </w:tcPr>
          <w:p w:rsidRPr="00093FC6" w:rsidR="00093FC6" w:rsidP="00763E80" w:rsidRDefault="00093FC6" w14:paraId="74F77283" w14:textId="7FE5683B">
            <w:pPr>
              <w:spacing w:before="20" w:after="20"/>
              <w:jc w:val="center"/>
              <w:rPr>
                <w:rFonts w:eastAsia="Times New Roman" w:cs="Times New Roman"/>
                <w:color w:val="000000"/>
                <w:sz w:val="20"/>
                <w:szCs w:val="20"/>
                <w:lang w:eastAsia="en-GB"/>
              </w:rPr>
            </w:pPr>
            <w:r w:rsidRPr="00093FC6">
              <w:rPr>
                <w:rFonts w:cs="Times New Roman"/>
                <w:sz w:val="20"/>
                <w:szCs w:val="20"/>
              </w:rPr>
              <w:t>4</w:t>
            </w:r>
          </w:p>
        </w:tc>
        <w:tc>
          <w:tcPr>
            <w:tcW w:w="616" w:type="dxa"/>
            <w:tcBorders>
              <w:top w:val="single" w:color="auto" w:sz="4" w:space="0"/>
            </w:tcBorders>
            <w:shd w:val="clear" w:color="auto" w:fill="auto"/>
            <w:noWrap/>
            <w:hideMark/>
          </w:tcPr>
          <w:p w:rsidRPr="00093FC6" w:rsidR="00093FC6" w:rsidP="00763E80" w:rsidRDefault="00093FC6" w14:paraId="53F0F6BD" w14:textId="11609C7B">
            <w:pPr>
              <w:spacing w:before="20" w:after="20"/>
              <w:jc w:val="center"/>
              <w:rPr>
                <w:rFonts w:eastAsia="Times New Roman" w:cs="Times New Roman"/>
                <w:color w:val="000000"/>
                <w:sz w:val="20"/>
                <w:szCs w:val="20"/>
                <w:lang w:eastAsia="en-GB"/>
              </w:rPr>
            </w:pPr>
            <w:r w:rsidRPr="00093FC6">
              <w:rPr>
                <w:rFonts w:cs="Times New Roman"/>
                <w:sz w:val="20"/>
                <w:szCs w:val="20"/>
              </w:rPr>
              <w:t>1</w:t>
            </w:r>
          </w:p>
        </w:tc>
        <w:tc>
          <w:tcPr>
            <w:tcW w:w="616" w:type="dxa"/>
            <w:tcBorders>
              <w:top w:val="single" w:color="auto" w:sz="4" w:space="0"/>
            </w:tcBorders>
            <w:shd w:val="clear" w:color="auto" w:fill="auto"/>
            <w:noWrap/>
            <w:hideMark/>
          </w:tcPr>
          <w:p w:rsidRPr="00093FC6" w:rsidR="00093FC6" w:rsidP="00763E80" w:rsidRDefault="00093FC6" w14:paraId="5E3680E8" w14:textId="6EEAFE48">
            <w:pPr>
              <w:spacing w:before="20" w:after="20"/>
              <w:jc w:val="center"/>
              <w:rPr>
                <w:rFonts w:eastAsia="Times New Roman" w:cs="Times New Roman"/>
                <w:color w:val="000000"/>
                <w:sz w:val="20"/>
                <w:szCs w:val="20"/>
                <w:lang w:eastAsia="en-GB"/>
              </w:rPr>
            </w:pPr>
            <w:r w:rsidRPr="00093FC6">
              <w:rPr>
                <w:rFonts w:cs="Times New Roman"/>
                <w:sz w:val="20"/>
                <w:szCs w:val="20"/>
              </w:rPr>
              <w:t>2</w:t>
            </w:r>
          </w:p>
        </w:tc>
        <w:tc>
          <w:tcPr>
            <w:tcW w:w="616" w:type="dxa"/>
            <w:tcBorders>
              <w:top w:val="single" w:color="auto" w:sz="4" w:space="0"/>
            </w:tcBorders>
            <w:shd w:val="clear" w:color="auto" w:fill="auto"/>
            <w:noWrap/>
            <w:hideMark/>
          </w:tcPr>
          <w:p w:rsidRPr="00093FC6" w:rsidR="00093FC6" w:rsidP="00763E80" w:rsidRDefault="00093FC6" w14:paraId="6BFC32B9" w14:textId="0F105EA0">
            <w:pPr>
              <w:spacing w:before="20" w:after="20"/>
              <w:jc w:val="center"/>
              <w:rPr>
                <w:rFonts w:eastAsia="Times New Roman" w:cs="Times New Roman"/>
                <w:color w:val="000000"/>
                <w:sz w:val="20"/>
                <w:szCs w:val="20"/>
                <w:lang w:eastAsia="en-GB"/>
              </w:rPr>
            </w:pPr>
            <w:r w:rsidRPr="00093FC6">
              <w:rPr>
                <w:rFonts w:cs="Times New Roman"/>
                <w:sz w:val="20"/>
                <w:szCs w:val="20"/>
              </w:rPr>
              <w:t>3</w:t>
            </w:r>
          </w:p>
        </w:tc>
        <w:tc>
          <w:tcPr>
            <w:tcW w:w="616" w:type="dxa"/>
            <w:tcBorders>
              <w:top w:val="single" w:color="auto" w:sz="4" w:space="0"/>
            </w:tcBorders>
            <w:shd w:val="clear" w:color="auto" w:fill="auto"/>
            <w:noWrap/>
            <w:hideMark/>
          </w:tcPr>
          <w:p w:rsidRPr="00093FC6" w:rsidR="00093FC6" w:rsidP="00763E80" w:rsidRDefault="00093FC6" w14:paraId="4532D95E" w14:textId="75981EC7">
            <w:pPr>
              <w:spacing w:before="20" w:after="20"/>
              <w:jc w:val="center"/>
              <w:rPr>
                <w:rFonts w:eastAsia="Times New Roman" w:cs="Times New Roman"/>
                <w:color w:val="000000"/>
                <w:sz w:val="20"/>
                <w:szCs w:val="20"/>
                <w:lang w:eastAsia="en-GB"/>
              </w:rPr>
            </w:pPr>
            <w:r w:rsidRPr="00093FC6">
              <w:rPr>
                <w:rFonts w:cs="Times New Roman"/>
                <w:sz w:val="20"/>
                <w:szCs w:val="20"/>
              </w:rPr>
              <w:t>4</w:t>
            </w:r>
          </w:p>
        </w:tc>
        <w:tc>
          <w:tcPr>
            <w:tcW w:w="616" w:type="dxa"/>
            <w:tcBorders>
              <w:top w:val="single" w:color="auto" w:sz="4" w:space="0"/>
            </w:tcBorders>
            <w:shd w:val="clear" w:color="auto" w:fill="auto"/>
            <w:noWrap/>
            <w:hideMark/>
          </w:tcPr>
          <w:p w:rsidRPr="00093FC6" w:rsidR="00093FC6" w:rsidP="00763E80" w:rsidRDefault="00093FC6" w14:paraId="4AC9D638" w14:textId="56874A61">
            <w:pPr>
              <w:spacing w:before="20" w:after="20"/>
              <w:jc w:val="center"/>
              <w:rPr>
                <w:rFonts w:eastAsia="Times New Roman" w:cs="Times New Roman"/>
                <w:color w:val="000000"/>
                <w:sz w:val="20"/>
                <w:szCs w:val="20"/>
                <w:lang w:eastAsia="en-GB"/>
              </w:rPr>
            </w:pPr>
            <w:r w:rsidRPr="00093FC6">
              <w:rPr>
                <w:rFonts w:cs="Times New Roman"/>
                <w:sz w:val="20"/>
                <w:szCs w:val="20"/>
              </w:rPr>
              <w:t>3</w:t>
            </w:r>
          </w:p>
        </w:tc>
        <w:tc>
          <w:tcPr>
            <w:tcW w:w="616" w:type="dxa"/>
            <w:tcBorders>
              <w:top w:val="single" w:color="auto" w:sz="4" w:space="0"/>
            </w:tcBorders>
            <w:shd w:val="clear" w:color="auto" w:fill="auto"/>
            <w:noWrap/>
            <w:hideMark/>
          </w:tcPr>
          <w:p w:rsidRPr="00093FC6" w:rsidR="00093FC6" w:rsidP="00763E80" w:rsidRDefault="00093FC6" w14:paraId="3C2C11D6" w14:textId="10E84FE4">
            <w:pPr>
              <w:spacing w:before="20" w:after="20"/>
              <w:jc w:val="center"/>
              <w:rPr>
                <w:rFonts w:eastAsia="Times New Roman" w:cs="Times New Roman"/>
                <w:color w:val="000000"/>
                <w:sz w:val="20"/>
                <w:szCs w:val="20"/>
                <w:lang w:eastAsia="en-GB"/>
              </w:rPr>
            </w:pPr>
            <w:r w:rsidRPr="00093FC6">
              <w:rPr>
                <w:rFonts w:cs="Times New Roman"/>
                <w:sz w:val="20"/>
                <w:szCs w:val="20"/>
              </w:rPr>
              <w:t>6</w:t>
            </w:r>
          </w:p>
        </w:tc>
        <w:tc>
          <w:tcPr>
            <w:tcW w:w="616" w:type="dxa"/>
            <w:tcBorders>
              <w:top w:val="single" w:color="auto" w:sz="4" w:space="0"/>
            </w:tcBorders>
            <w:shd w:val="clear" w:color="auto" w:fill="auto"/>
            <w:noWrap/>
            <w:hideMark/>
          </w:tcPr>
          <w:p w:rsidRPr="00093FC6" w:rsidR="00093FC6" w:rsidP="00763E80" w:rsidRDefault="00093FC6" w14:paraId="01B52360" w14:textId="2C307377">
            <w:pPr>
              <w:spacing w:before="20" w:after="20"/>
              <w:jc w:val="center"/>
              <w:rPr>
                <w:rFonts w:eastAsia="Times New Roman" w:cs="Times New Roman"/>
                <w:color w:val="000000"/>
                <w:sz w:val="20"/>
                <w:szCs w:val="20"/>
                <w:lang w:eastAsia="en-GB"/>
              </w:rPr>
            </w:pPr>
            <w:r w:rsidRPr="00093FC6">
              <w:rPr>
                <w:rFonts w:cs="Times New Roman"/>
                <w:sz w:val="20"/>
                <w:szCs w:val="20"/>
              </w:rPr>
              <w:t>6</w:t>
            </w:r>
          </w:p>
        </w:tc>
        <w:tc>
          <w:tcPr>
            <w:tcW w:w="616" w:type="dxa"/>
            <w:tcBorders>
              <w:top w:val="single" w:color="auto" w:sz="4" w:space="0"/>
            </w:tcBorders>
            <w:shd w:val="clear" w:color="auto" w:fill="auto"/>
            <w:noWrap/>
            <w:hideMark/>
          </w:tcPr>
          <w:p w:rsidRPr="00093FC6" w:rsidR="00093FC6" w:rsidP="00763E80" w:rsidRDefault="00093FC6" w14:paraId="1D1ACB2E" w14:textId="41FEBD50">
            <w:pPr>
              <w:spacing w:before="20" w:after="20"/>
              <w:jc w:val="center"/>
              <w:rPr>
                <w:rFonts w:eastAsia="Times New Roman" w:cs="Times New Roman"/>
                <w:color w:val="000000"/>
                <w:sz w:val="20"/>
                <w:szCs w:val="20"/>
                <w:lang w:eastAsia="en-GB"/>
              </w:rPr>
            </w:pPr>
            <w:r w:rsidRPr="00093FC6">
              <w:rPr>
                <w:rFonts w:cs="Times New Roman"/>
                <w:sz w:val="20"/>
                <w:szCs w:val="20"/>
              </w:rPr>
              <w:t>2</w:t>
            </w:r>
          </w:p>
        </w:tc>
        <w:tc>
          <w:tcPr>
            <w:tcW w:w="697" w:type="dxa"/>
            <w:tcBorders>
              <w:top w:val="single" w:color="auto" w:sz="4" w:space="0"/>
            </w:tcBorders>
            <w:shd w:val="clear" w:color="auto" w:fill="auto"/>
            <w:noWrap/>
            <w:hideMark/>
          </w:tcPr>
          <w:p w:rsidRPr="00093FC6" w:rsidR="00093FC6" w:rsidP="00763E80" w:rsidRDefault="00093FC6" w14:paraId="27F16B1F" w14:textId="08FA6D4B">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tcBorders>
              <w:top w:val="single" w:color="auto" w:sz="4" w:space="0"/>
            </w:tcBorders>
            <w:shd w:val="clear" w:color="auto" w:fill="auto"/>
            <w:noWrap/>
            <w:hideMark/>
          </w:tcPr>
          <w:p w:rsidRPr="00093FC6" w:rsidR="00093FC6" w:rsidP="00763E80" w:rsidRDefault="00093FC6" w14:paraId="73A752B5" w14:textId="402F0B6D">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39" w:type="dxa"/>
            <w:tcBorders>
              <w:top w:val="single" w:color="auto" w:sz="4" w:space="0"/>
            </w:tcBorders>
          </w:tcPr>
          <w:p w:rsidRPr="00093FC6" w:rsidR="00093FC6" w:rsidP="00763E80" w:rsidRDefault="00093FC6" w14:paraId="751CF0C6" w14:textId="1DFFB907">
            <w:pPr>
              <w:spacing w:before="20" w:after="20"/>
              <w:jc w:val="center"/>
              <w:rPr>
                <w:rFonts w:eastAsia="Times New Roman" w:cs="Times New Roman"/>
                <w:color w:val="000000"/>
                <w:sz w:val="20"/>
                <w:szCs w:val="20"/>
                <w:lang w:eastAsia="en-GB"/>
              </w:rPr>
            </w:pPr>
            <w:r w:rsidRPr="00093FC6">
              <w:rPr>
                <w:rFonts w:cs="Times New Roman"/>
                <w:sz w:val="20"/>
                <w:szCs w:val="20"/>
              </w:rPr>
              <w:t>31</w:t>
            </w:r>
          </w:p>
        </w:tc>
      </w:tr>
      <w:tr w:rsidRPr="001B614D" w:rsidR="00093FC6" w:rsidTr="0070531A" w14:paraId="53E443B6" w14:textId="77777777">
        <w:trPr>
          <w:trHeight w:val="300"/>
        </w:trPr>
        <w:tc>
          <w:tcPr>
            <w:tcW w:w="2127" w:type="dxa"/>
            <w:shd w:val="clear" w:color="auto" w:fill="auto"/>
            <w:noWrap/>
            <w:vAlign w:val="center"/>
            <w:hideMark/>
          </w:tcPr>
          <w:p w:rsidRPr="00D24E5F" w:rsidR="00093FC6" w:rsidP="00763E80" w:rsidRDefault="00093FC6" w14:paraId="2C1A831B" w14:textId="77777777">
            <w:pPr>
              <w:spacing w:before="20" w:after="20"/>
              <w:rPr>
                <w:rFonts w:eastAsia="Times New Roman" w:cs="Times New Roman"/>
                <w:color w:val="000000"/>
                <w:sz w:val="20"/>
                <w:szCs w:val="20"/>
                <w:lang w:eastAsia="en-GB"/>
              </w:rPr>
            </w:pPr>
            <w:r w:rsidRPr="00D24E5F">
              <w:rPr>
                <w:rFonts w:eastAsia="Times New Roman" w:cs="Times New Roman"/>
                <w:color w:val="000000"/>
                <w:sz w:val="20"/>
                <w:szCs w:val="20"/>
                <w:lang w:eastAsia="en-GB"/>
              </w:rPr>
              <w:t>O/EA or O/WA</w:t>
            </w:r>
          </w:p>
        </w:tc>
        <w:tc>
          <w:tcPr>
            <w:tcW w:w="616" w:type="dxa"/>
            <w:shd w:val="clear" w:color="auto" w:fill="auto"/>
            <w:noWrap/>
            <w:hideMark/>
          </w:tcPr>
          <w:p w:rsidRPr="00093FC6" w:rsidR="00093FC6" w:rsidP="00763E80" w:rsidRDefault="00093FC6" w14:paraId="10246B91" w14:textId="5AFAA633">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603F5B76" w14:textId="561E8FD5">
            <w:pPr>
              <w:spacing w:before="20" w:after="20"/>
              <w:jc w:val="center"/>
              <w:rPr>
                <w:rFonts w:eastAsia="Times New Roman" w:cs="Times New Roman"/>
                <w:color w:val="000000"/>
                <w:sz w:val="20"/>
                <w:szCs w:val="20"/>
                <w:lang w:eastAsia="en-GB"/>
              </w:rPr>
            </w:pPr>
            <w:r w:rsidRPr="00093FC6">
              <w:rPr>
                <w:rFonts w:cs="Times New Roman"/>
                <w:sz w:val="20"/>
                <w:szCs w:val="20"/>
              </w:rPr>
              <w:t>13</w:t>
            </w:r>
          </w:p>
        </w:tc>
        <w:tc>
          <w:tcPr>
            <w:tcW w:w="616" w:type="dxa"/>
            <w:shd w:val="clear" w:color="auto" w:fill="auto"/>
            <w:noWrap/>
            <w:hideMark/>
          </w:tcPr>
          <w:p w:rsidRPr="00093FC6" w:rsidR="00093FC6" w:rsidP="00763E80" w:rsidRDefault="00093FC6" w14:paraId="79A4AA23" w14:textId="7D089AF2">
            <w:pPr>
              <w:spacing w:before="20" w:after="20"/>
              <w:jc w:val="center"/>
              <w:rPr>
                <w:rFonts w:eastAsia="Times New Roman" w:cs="Times New Roman"/>
                <w:color w:val="000000"/>
                <w:sz w:val="20"/>
                <w:szCs w:val="20"/>
                <w:lang w:eastAsia="en-GB"/>
              </w:rPr>
            </w:pPr>
            <w:r w:rsidRPr="00093FC6">
              <w:rPr>
                <w:rFonts w:cs="Times New Roman"/>
                <w:sz w:val="20"/>
                <w:szCs w:val="20"/>
              </w:rPr>
              <w:t>9</w:t>
            </w:r>
          </w:p>
        </w:tc>
        <w:tc>
          <w:tcPr>
            <w:tcW w:w="616" w:type="dxa"/>
            <w:shd w:val="clear" w:color="auto" w:fill="auto"/>
            <w:noWrap/>
            <w:hideMark/>
          </w:tcPr>
          <w:p w:rsidRPr="00093FC6" w:rsidR="00093FC6" w:rsidP="00763E80" w:rsidRDefault="00093FC6" w14:paraId="3D1FEC9D" w14:textId="35FB003C">
            <w:pPr>
              <w:spacing w:before="20" w:after="20"/>
              <w:jc w:val="center"/>
              <w:rPr>
                <w:rFonts w:eastAsia="Times New Roman" w:cs="Times New Roman"/>
                <w:color w:val="000000"/>
                <w:sz w:val="20"/>
                <w:szCs w:val="20"/>
                <w:lang w:eastAsia="en-GB"/>
              </w:rPr>
            </w:pPr>
            <w:r w:rsidRPr="00093FC6">
              <w:rPr>
                <w:rFonts w:cs="Times New Roman"/>
                <w:sz w:val="20"/>
                <w:szCs w:val="20"/>
              </w:rPr>
              <w:t>3</w:t>
            </w:r>
          </w:p>
        </w:tc>
        <w:tc>
          <w:tcPr>
            <w:tcW w:w="616" w:type="dxa"/>
            <w:shd w:val="clear" w:color="auto" w:fill="auto"/>
            <w:noWrap/>
            <w:hideMark/>
          </w:tcPr>
          <w:p w:rsidRPr="00093FC6" w:rsidR="00093FC6" w:rsidP="00763E80" w:rsidRDefault="00093FC6" w14:paraId="0CC50C18" w14:textId="5FCC8880">
            <w:pPr>
              <w:spacing w:before="20" w:after="20"/>
              <w:jc w:val="center"/>
              <w:rPr>
                <w:rFonts w:eastAsia="Times New Roman" w:cs="Times New Roman"/>
                <w:color w:val="000000"/>
                <w:sz w:val="20"/>
                <w:szCs w:val="20"/>
                <w:lang w:eastAsia="en-GB"/>
              </w:rPr>
            </w:pPr>
            <w:r w:rsidRPr="00093FC6">
              <w:rPr>
                <w:rFonts w:cs="Times New Roman"/>
                <w:sz w:val="20"/>
                <w:szCs w:val="20"/>
              </w:rPr>
              <w:t>6</w:t>
            </w:r>
          </w:p>
        </w:tc>
        <w:tc>
          <w:tcPr>
            <w:tcW w:w="616" w:type="dxa"/>
            <w:shd w:val="clear" w:color="auto" w:fill="auto"/>
            <w:noWrap/>
            <w:hideMark/>
          </w:tcPr>
          <w:p w:rsidRPr="00093FC6" w:rsidR="00093FC6" w:rsidP="00763E80" w:rsidRDefault="00093FC6" w14:paraId="7E6DAC03" w14:textId="67A942BD">
            <w:pPr>
              <w:spacing w:before="20" w:after="20"/>
              <w:jc w:val="center"/>
              <w:rPr>
                <w:rFonts w:eastAsia="Times New Roman" w:cs="Times New Roman"/>
                <w:color w:val="000000"/>
                <w:sz w:val="20"/>
                <w:szCs w:val="20"/>
                <w:lang w:eastAsia="en-GB"/>
              </w:rPr>
            </w:pPr>
            <w:r w:rsidRPr="00093FC6">
              <w:rPr>
                <w:rFonts w:cs="Times New Roman"/>
                <w:sz w:val="20"/>
                <w:szCs w:val="20"/>
              </w:rPr>
              <w:t>2</w:t>
            </w:r>
          </w:p>
        </w:tc>
        <w:tc>
          <w:tcPr>
            <w:tcW w:w="616" w:type="dxa"/>
            <w:shd w:val="clear" w:color="auto" w:fill="auto"/>
            <w:noWrap/>
            <w:hideMark/>
          </w:tcPr>
          <w:p w:rsidRPr="00093FC6" w:rsidR="00093FC6" w:rsidP="00763E80" w:rsidRDefault="00093FC6" w14:paraId="506CF13D" w14:textId="326612AF">
            <w:pPr>
              <w:spacing w:before="20" w:after="20"/>
              <w:jc w:val="center"/>
              <w:rPr>
                <w:rFonts w:eastAsia="Times New Roman" w:cs="Times New Roman"/>
                <w:color w:val="000000"/>
                <w:sz w:val="20"/>
                <w:szCs w:val="20"/>
                <w:lang w:eastAsia="en-GB"/>
              </w:rPr>
            </w:pPr>
            <w:r w:rsidRPr="00093FC6">
              <w:rPr>
                <w:rFonts w:cs="Times New Roman"/>
                <w:sz w:val="20"/>
                <w:szCs w:val="20"/>
              </w:rPr>
              <w:t>11</w:t>
            </w:r>
          </w:p>
        </w:tc>
        <w:tc>
          <w:tcPr>
            <w:tcW w:w="616" w:type="dxa"/>
            <w:shd w:val="clear" w:color="auto" w:fill="auto"/>
            <w:noWrap/>
            <w:hideMark/>
          </w:tcPr>
          <w:p w:rsidRPr="00093FC6" w:rsidR="00093FC6" w:rsidP="00763E80" w:rsidRDefault="00093FC6" w14:paraId="7E6F9EA0" w14:textId="1E1C1960">
            <w:pPr>
              <w:spacing w:before="20" w:after="20"/>
              <w:jc w:val="center"/>
              <w:rPr>
                <w:rFonts w:eastAsia="Times New Roman" w:cs="Times New Roman"/>
                <w:color w:val="000000"/>
                <w:sz w:val="20"/>
                <w:szCs w:val="20"/>
                <w:lang w:eastAsia="en-GB"/>
              </w:rPr>
            </w:pPr>
            <w:r w:rsidRPr="00093FC6">
              <w:rPr>
                <w:rFonts w:cs="Times New Roman"/>
                <w:sz w:val="20"/>
                <w:szCs w:val="20"/>
              </w:rPr>
              <w:t>19</w:t>
            </w:r>
          </w:p>
        </w:tc>
        <w:tc>
          <w:tcPr>
            <w:tcW w:w="616" w:type="dxa"/>
            <w:shd w:val="clear" w:color="auto" w:fill="auto"/>
            <w:noWrap/>
            <w:hideMark/>
          </w:tcPr>
          <w:p w:rsidRPr="00093FC6" w:rsidR="00093FC6" w:rsidP="00763E80" w:rsidRDefault="00093FC6" w14:paraId="1B256ECB" w14:textId="050FD279">
            <w:pPr>
              <w:spacing w:before="20" w:after="20"/>
              <w:jc w:val="center"/>
              <w:rPr>
                <w:rFonts w:eastAsia="Times New Roman" w:cs="Times New Roman"/>
                <w:color w:val="000000"/>
                <w:sz w:val="20"/>
                <w:szCs w:val="20"/>
                <w:lang w:eastAsia="en-GB"/>
              </w:rPr>
            </w:pPr>
            <w:r w:rsidRPr="00093FC6">
              <w:rPr>
                <w:rFonts w:cs="Times New Roman"/>
                <w:sz w:val="20"/>
                <w:szCs w:val="20"/>
              </w:rPr>
              <w:t>20</w:t>
            </w:r>
          </w:p>
        </w:tc>
        <w:tc>
          <w:tcPr>
            <w:tcW w:w="616" w:type="dxa"/>
            <w:shd w:val="clear" w:color="auto" w:fill="auto"/>
            <w:noWrap/>
            <w:hideMark/>
          </w:tcPr>
          <w:p w:rsidRPr="00093FC6" w:rsidR="00093FC6" w:rsidP="00763E80" w:rsidRDefault="00093FC6" w14:paraId="06180F3B" w14:textId="5C598E88">
            <w:pPr>
              <w:spacing w:before="20" w:after="20"/>
              <w:jc w:val="center"/>
              <w:rPr>
                <w:rFonts w:eastAsia="Times New Roman" w:cs="Times New Roman"/>
                <w:color w:val="000000"/>
                <w:sz w:val="20"/>
                <w:szCs w:val="20"/>
                <w:lang w:eastAsia="en-GB"/>
              </w:rPr>
            </w:pPr>
            <w:r w:rsidRPr="00093FC6">
              <w:rPr>
                <w:rFonts w:cs="Times New Roman"/>
                <w:sz w:val="20"/>
                <w:szCs w:val="20"/>
              </w:rPr>
              <w:t>8</w:t>
            </w:r>
          </w:p>
        </w:tc>
        <w:tc>
          <w:tcPr>
            <w:tcW w:w="697" w:type="dxa"/>
            <w:shd w:val="clear" w:color="auto" w:fill="auto"/>
            <w:noWrap/>
            <w:hideMark/>
          </w:tcPr>
          <w:p w:rsidRPr="00093FC6" w:rsidR="00093FC6" w:rsidP="00763E80" w:rsidRDefault="00093FC6" w14:paraId="640D07B9" w14:textId="7A2A8BDD">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62EE345F" w14:textId="5894C19C">
            <w:pPr>
              <w:spacing w:before="20" w:after="20"/>
              <w:jc w:val="center"/>
              <w:rPr>
                <w:rFonts w:eastAsia="Times New Roman" w:cs="Times New Roman"/>
                <w:color w:val="000000"/>
                <w:sz w:val="20"/>
                <w:szCs w:val="20"/>
                <w:lang w:eastAsia="en-GB"/>
              </w:rPr>
            </w:pPr>
            <w:r w:rsidRPr="00093FC6">
              <w:rPr>
                <w:rFonts w:cs="Times New Roman"/>
                <w:sz w:val="20"/>
                <w:szCs w:val="20"/>
              </w:rPr>
              <w:t>2</w:t>
            </w:r>
          </w:p>
        </w:tc>
        <w:tc>
          <w:tcPr>
            <w:tcW w:w="639" w:type="dxa"/>
          </w:tcPr>
          <w:p w:rsidRPr="00093FC6" w:rsidR="00093FC6" w:rsidP="00763E80" w:rsidRDefault="00093FC6" w14:paraId="675C1D7D" w14:textId="37B21CCE">
            <w:pPr>
              <w:spacing w:before="20" w:after="20"/>
              <w:jc w:val="center"/>
              <w:rPr>
                <w:rFonts w:eastAsia="Times New Roman" w:cs="Times New Roman"/>
                <w:color w:val="000000"/>
                <w:sz w:val="20"/>
                <w:szCs w:val="20"/>
                <w:lang w:eastAsia="en-GB"/>
              </w:rPr>
            </w:pPr>
            <w:r w:rsidRPr="00093FC6">
              <w:rPr>
                <w:rFonts w:cs="Times New Roman"/>
                <w:sz w:val="20"/>
                <w:szCs w:val="20"/>
              </w:rPr>
              <w:t>93</w:t>
            </w:r>
          </w:p>
        </w:tc>
      </w:tr>
      <w:tr w:rsidRPr="001B614D" w:rsidR="00093FC6" w:rsidTr="0070531A" w14:paraId="3B0F84A7" w14:textId="77777777">
        <w:trPr>
          <w:trHeight w:val="300"/>
        </w:trPr>
        <w:tc>
          <w:tcPr>
            <w:tcW w:w="2127" w:type="dxa"/>
            <w:shd w:val="clear" w:color="auto" w:fill="auto"/>
            <w:noWrap/>
            <w:vAlign w:val="center"/>
            <w:hideMark/>
          </w:tcPr>
          <w:p w:rsidRPr="00D24E5F" w:rsidR="00093FC6" w:rsidP="00763E80" w:rsidRDefault="00093FC6" w14:paraId="77068E42" w14:textId="77777777">
            <w:pPr>
              <w:spacing w:before="20" w:after="20"/>
              <w:rPr>
                <w:rFonts w:eastAsia="Times New Roman" w:cs="Times New Roman"/>
                <w:color w:val="000000"/>
                <w:sz w:val="20"/>
                <w:szCs w:val="20"/>
                <w:lang w:eastAsia="en-GB"/>
              </w:rPr>
            </w:pPr>
            <w:r w:rsidRPr="00D24E5F">
              <w:rPr>
                <w:rFonts w:eastAsia="Times New Roman" w:cs="Times New Roman"/>
                <w:color w:val="000000"/>
                <w:sz w:val="20"/>
                <w:szCs w:val="20"/>
                <w:lang w:eastAsia="en-GB"/>
              </w:rPr>
              <w:t>O/EURO-SA</w:t>
            </w:r>
          </w:p>
        </w:tc>
        <w:tc>
          <w:tcPr>
            <w:tcW w:w="616" w:type="dxa"/>
            <w:shd w:val="clear" w:color="auto" w:fill="auto"/>
            <w:noWrap/>
            <w:hideMark/>
          </w:tcPr>
          <w:p w:rsidRPr="00093FC6" w:rsidR="00093FC6" w:rsidP="00763E80" w:rsidRDefault="00093FC6" w14:paraId="518C5E74" w14:textId="11E89489">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11107850" w14:textId="172C75A7">
            <w:pPr>
              <w:spacing w:before="20" w:after="20"/>
              <w:jc w:val="center"/>
              <w:rPr>
                <w:rFonts w:eastAsia="Times New Roman" w:cs="Times New Roman"/>
                <w:color w:val="000000"/>
                <w:sz w:val="20"/>
                <w:szCs w:val="20"/>
                <w:lang w:eastAsia="en-GB"/>
              </w:rPr>
            </w:pPr>
            <w:r w:rsidRPr="00093FC6">
              <w:rPr>
                <w:rFonts w:cs="Times New Roman"/>
                <w:sz w:val="20"/>
                <w:szCs w:val="20"/>
              </w:rPr>
              <w:t>1</w:t>
            </w:r>
          </w:p>
        </w:tc>
        <w:tc>
          <w:tcPr>
            <w:tcW w:w="616" w:type="dxa"/>
            <w:shd w:val="clear" w:color="auto" w:fill="auto"/>
            <w:noWrap/>
            <w:hideMark/>
          </w:tcPr>
          <w:p w:rsidRPr="00093FC6" w:rsidR="00093FC6" w:rsidP="00763E80" w:rsidRDefault="00093FC6" w14:paraId="3FE44551" w14:textId="6520F8C5">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33440D5E" w14:textId="0B8CABD3">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54C199ED" w14:textId="101FA41E">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223AFD94" w14:textId="61F69CE9">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4C1EE07F" w14:textId="768E467A">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579737C9" w14:textId="731B29CD">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5F43F714" w14:textId="7A8977D5">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4D6AAB08" w14:textId="1FDE025D">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97" w:type="dxa"/>
            <w:shd w:val="clear" w:color="auto" w:fill="auto"/>
            <w:noWrap/>
            <w:hideMark/>
          </w:tcPr>
          <w:p w:rsidRPr="00093FC6" w:rsidR="00093FC6" w:rsidP="00763E80" w:rsidRDefault="00093FC6" w14:paraId="103039E9" w14:textId="53E7B7B1">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252A579E" w14:textId="4C39AACB">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39" w:type="dxa"/>
          </w:tcPr>
          <w:p w:rsidRPr="00093FC6" w:rsidR="00093FC6" w:rsidP="00763E80" w:rsidRDefault="00093FC6" w14:paraId="6470162C" w14:textId="28EA4B45">
            <w:pPr>
              <w:spacing w:before="20" w:after="20"/>
              <w:jc w:val="center"/>
              <w:rPr>
                <w:rFonts w:eastAsia="Times New Roman" w:cs="Times New Roman"/>
                <w:color w:val="000000"/>
                <w:sz w:val="20"/>
                <w:szCs w:val="20"/>
                <w:lang w:eastAsia="en-GB"/>
              </w:rPr>
            </w:pPr>
            <w:r w:rsidRPr="00093FC6">
              <w:rPr>
                <w:rFonts w:cs="Times New Roman"/>
                <w:sz w:val="20"/>
                <w:szCs w:val="20"/>
              </w:rPr>
              <w:t>1</w:t>
            </w:r>
          </w:p>
        </w:tc>
      </w:tr>
      <w:tr w:rsidRPr="001B614D" w:rsidR="00093FC6" w:rsidTr="0070531A" w14:paraId="6E9E840D" w14:textId="77777777">
        <w:trPr>
          <w:trHeight w:val="300"/>
        </w:trPr>
        <w:tc>
          <w:tcPr>
            <w:tcW w:w="2127" w:type="dxa"/>
            <w:shd w:val="clear" w:color="auto" w:fill="auto"/>
            <w:noWrap/>
            <w:vAlign w:val="center"/>
            <w:hideMark/>
          </w:tcPr>
          <w:p w:rsidRPr="00D24E5F" w:rsidR="00093FC6" w:rsidP="00763E80" w:rsidRDefault="00093FC6" w14:paraId="5D60DF5F" w14:textId="77777777">
            <w:pPr>
              <w:spacing w:before="20" w:after="20"/>
              <w:rPr>
                <w:rFonts w:eastAsia="Times New Roman" w:cs="Times New Roman"/>
                <w:color w:val="000000"/>
                <w:sz w:val="20"/>
                <w:szCs w:val="20"/>
                <w:lang w:eastAsia="en-GB"/>
              </w:rPr>
            </w:pPr>
            <w:r w:rsidRPr="00D24E5F">
              <w:rPr>
                <w:rFonts w:eastAsia="Times New Roman" w:cs="Times New Roman"/>
                <w:color w:val="000000"/>
                <w:sz w:val="20"/>
                <w:szCs w:val="20"/>
                <w:lang w:eastAsia="en-GB"/>
              </w:rPr>
              <w:t>O/ME-SA/Ind-2001</w:t>
            </w:r>
          </w:p>
        </w:tc>
        <w:tc>
          <w:tcPr>
            <w:tcW w:w="616" w:type="dxa"/>
            <w:shd w:val="clear" w:color="auto" w:fill="auto"/>
            <w:noWrap/>
            <w:hideMark/>
          </w:tcPr>
          <w:p w:rsidRPr="00093FC6" w:rsidR="00093FC6" w:rsidP="00763E80" w:rsidRDefault="00093FC6" w14:paraId="68661E25" w14:textId="6CEB642F">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309F5B17" w14:textId="4FFB2E57">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6C765F8A" w14:textId="5992A587">
            <w:pPr>
              <w:spacing w:before="20" w:after="20"/>
              <w:jc w:val="center"/>
              <w:rPr>
                <w:rFonts w:eastAsia="Times New Roman" w:cs="Times New Roman"/>
                <w:color w:val="000000"/>
                <w:sz w:val="20"/>
                <w:szCs w:val="20"/>
                <w:lang w:eastAsia="en-GB"/>
              </w:rPr>
            </w:pPr>
            <w:r w:rsidRPr="00093FC6">
              <w:rPr>
                <w:rFonts w:cs="Times New Roman"/>
                <w:sz w:val="20"/>
                <w:szCs w:val="20"/>
              </w:rPr>
              <w:t>4</w:t>
            </w:r>
          </w:p>
        </w:tc>
        <w:tc>
          <w:tcPr>
            <w:tcW w:w="616" w:type="dxa"/>
            <w:shd w:val="clear" w:color="auto" w:fill="auto"/>
            <w:noWrap/>
            <w:hideMark/>
          </w:tcPr>
          <w:p w:rsidRPr="00093FC6" w:rsidR="00093FC6" w:rsidP="00763E80" w:rsidRDefault="00093FC6" w14:paraId="143C1757" w14:textId="11284BE6">
            <w:pPr>
              <w:spacing w:before="20" w:after="20"/>
              <w:jc w:val="center"/>
              <w:rPr>
                <w:rFonts w:eastAsia="Times New Roman" w:cs="Times New Roman"/>
                <w:color w:val="000000"/>
                <w:sz w:val="20"/>
                <w:szCs w:val="20"/>
                <w:lang w:eastAsia="en-GB"/>
              </w:rPr>
            </w:pPr>
            <w:r w:rsidRPr="00093FC6">
              <w:rPr>
                <w:rFonts w:cs="Times New Roman"/>
                <w:sz w:val="20"/>
                <w:szCs w:val="20"/>
              </w:rPr>
              <w:t>12</w:t>
            </w:r>
          </w:p>
        </w:tc>
        <w:tc>
          <w:tcPr>
            <w:tcW w:w="616" w:type="dxa"/>
            <w:shd w:val="clear" w:color="auto" w:fill="auto"/>
            <w:noWrap/>
            <w:hideMark/>
          </w:tcPr>
          <w:p w:rsidRPr="00093FC6" w:rsidR="00093FC6" w:rsidP="00763E80" w:rsidRDefault="00093FC6" w14:paraId="60580ECA" w14:textId="29E1F794">
            <w:pPr>
              <w:spacing w:before="20" w:after="20"/>
              <w:jc w:val="center"/>
              <w:rPr>
                <w:rFonts w:eastAsia="Times New Roman" w:cs="Times New Roman"/>
                <w:color w:val="000000"/>
                <w:sz w:val="20"/>
                <w:szCs w:val="20"/>
                <w:lang w:eastAsia="en-GB"/>
              </w:rPr>
            </w:pPr>
            <w:r w:rsidRPr="00093FC6">
              <w:rPr>
                <w:rFonts w:cs="Times New Roman"/>
                <w:sz w:val="20"/>
                <w:szCs w:val="20"/>
              </w:rPr>
              <w:t>10</w:t>
            </w:r>
          </w:p>
        </w:tc>
        <w:tc>
          <w:tcPr>
            <w:tcW w:w="616" w:type="dxa"/>
            <w:shd w:val="clear" w:color="auto" w:fill="auto"/>
            <w:noWrap/>
            <w:hideMark/>
          </w:tcPr>
          <w:p w:rsidRPr="00093FC6" w:rsidR="00093FC6" w:rsidP="00763E80" w:rsidRDefault="00093FC6" w14:paraId="2D3C3F57" w14:textId="25F5E547">
            <w:pPr>
              <w:spacing w:before="20" w:after="20"/>
              <w:jc w:val="center"/>
              <w:rPr>
                <w:rFonts w:eastAsia="Times New Roman" w:cs="Times New Roman"/>
                <w:color w:val="000000"/>
                <w:sz w:val="20"/>
                <w:szCs w:val="20"/>
                <w:lang w:eastAsia="en-GB"/>
              </w:rPr>
            </w:pPr>
            <w:r w:rsidRPr="00093FC6">
              <w:rPr>
                <w:rFonts w:cs="Times New Roman"/>
                <w:sz w:val="20"/>
                <w:szCs w:val="20"/>
              </w:rPr>
              <w:t>8</w:t>
            </w:r>
          </w:p>
        </w:tc>
        <w:tc>
          <w:tcPr>
            <w:tcW w:w="616" w:type="dxa"/>
            <w:shd w:val="clear" w:color="auto" w:fill="auto"/>
            <w:noWrap/>
            <w:hideMark/>
          </w:tcPr>
          <w:p w:rsidRPr="00093FC6" w:rsidR="00093FC6" w:rsidP="00763E80" w:rsidRDefault="00093FC6" w14:paraId="7B56ABEB" w14:textId="22464F8F">
            <w:pPr>
              <w:spacing w:before="20" w:after="20"/>
              <w:jc w:val="center"/>
              <w:rPr>
                <w:rFonts w:eastAsia="Times New Roman" w:cs="Times New Roman"/>
                <w:color w:val="000000"/>
                <w:sz w:val="20"/>
                <w:szCs w:val="20"/>
                <w:lang w:eastAsia="en-GB"/>
              </w:rPr>
            </w:pPr>
            <w:r w:rsidRPr="00093FC6">
              <w:rPr>
                <w:rFonts w:cs="Times New Roman"/>
                <w:sz w:val="20"/>
                <w:szCs w:val="20"/>
              </w:rPr>
              <w:t>11</w:t>
            </w:r>
          </w:p>
        </w:tc>
        <w:tc>
          <w:tcPr>
            <w:tcW w:w="616" w:type="dxa"/>
            <w:shd w:val="clear" w:color="auto" w:fill="auto"/>
            <w:noWrap/>
            <w:hideMark/>
          </w:tcPr>
          <w:p w:rsidRPr="00093FC6" w:rsidR="00093FC6" w:rsidP="00763E80" w:rsidRDefault="00093FC6" w14:paraId="470E42DE" w14:textId="4ECFB324">
            <w:pPr>
              <w:spacing w:before="20" w:after="20"/>
              <w:jc w:val="center"/>
              <w:rPr>
                <w:rFonts w:eastAsia="Times New Roman" w:cs="Times New Roman"/>
                <w:color w:val="000000"/>
                <w:sz w:val="20"/>
                <w:szCs w:val="20"/>
                <w:lang w:eastAsia="en-GB"/>
              </w:rPr>
            </w:pPr>
            <w:r w:rsidRPr="00093FC6">
              <w:rPr>
                <w:rFonts w:cs="Times New Roman"/>
                <w:sz w:val="20"/>
                <w:szCs w:val="20"/>
              </w:rPr>
              <w:t>17</w:t>
            </w:r>
          </w:p>
        </w:tc>
        <w:tc>
          <w:tcPr>
            <w:tcW w:w="616" w:type="dxa"/>
            <w:shd w:val="clear" w:color="auto" w:fill="auto"/>
            <w:noWrap/>
            <w:hideMark/>
          </w:tcPr>
          <w:p w:rsidRPr="00093FC6" w:rsidR="00093FC6" w:rsidP="00763E80" w:rsidRDefault="00093FC6" w14:paraId="09281917" w14:textId="6D5B81BA">
            <w:pPr>
              <w:spacing w:before="20" w:after="20"/>
              <w:jc w:val="center"/>
              <w:rPr>
                <w:rFonts w:eastAsia="Times New Roman" w:cs="Times New Roman"/>
                <w:color w:val="000000"/>
                <w:sz w:val="20"/>
                <w:szCs w:val="20"/>
                <w:lang w:eastAsia="en-GB"/>
              </w:rPr>
            </w:pPr>
            <w:r w:rsidRPr="00093FC6">
              <w:rPr>
                <w:rFonts w:cs="Times New Roman"/>
                <w:sz w:val="20"/>
                <w:szCs w:val="20"/>
              </w:rPr>
              <w:t>12</w:t>
            </w:r>
          </w:p>
        </w:tc>
        <w:tc>
          <w:tcPr>
            <w:tcW w:w="616" w:type="dxa"/>
            <w:shd w:val="clear" w:color="auto" w:fill="auto"/>
            <w:noWrap/>
            <w:hideMark/>
          </w:tcPr>
          <w:p w:rsidRPr="00093FC6" w:rsidR="00093FC6" w:rsidP="00763E80" w:rsidRDefault="00093FC6" w14:paraId="6257440C" w14:textId="33021763">
            <w:pPr>
              <w:spacing w:before="20" w:after="20"/>
              <w:jc w:val="center"/>
              <w:rPr>
                <w:rFonts w:eastAsia="Times New Roman" w:cs="Times New Roman"/>
                <w:color w:val="000000"/>
                <w:sz w:val="20"/>
                <w:szCs w:val="20"/>
                <w:lang w:eastAsia="en-GB"/>
              </w:rPr>
            </w:pPr>
            <w:r w:rsidRPr="00093FC6">
              <w:rPr>
                <w:rFonts w:cs="Times New Roman"/>
                <w:sz w:val="20"/>
                <w:szCs w:val="20"/>
              </w:rPr>
              <w:t>9</w:t>
            </w:r>
          </w:p>
        </w:tc>
        <w:tc>
          <w:tcPr>
            <w:tcW w:w="697" w:type="dxa"/>
            <w:shd w:val="clear" w:color="auto" w:fill="auto"/>
            <w:noWrap/>
            <w:hideMark/>
          </w:tcPr>
          <w:p w:rsidRPr="00093FC6" w:rsidR="00093FC6" w:rsidP="00763E80" w:rsidRDefault="00093FC6" w14:paraId="48DA5F25" w14:textId="4E46CFDD">
            <w:pPr>
              <w:spacing w:before="20" w:after="20"/>
              <w:jc w:val="center"/>
              <w:rPr>
                <w:rFonts w:eastAsia="Times New Roman" w:cs="Times New Roman"/>
                <w:color w:val="000000"/>
                <w:sz w:val="20"/>
                <w:szCs w:val="20"/>
                <w:lang w:eastAsia="en-GB"/>
              </w:rPr>
            </w:pPr>
            <w:r w:rsidRPr="00093FC6">
              <w:rPr>
                <w:rFonts w:cs="Times New Roman"/>
                <w:sz w:val="20"/>
                <w:szCs w:val="20"/>
              </w:rPr>
              <w:t>5</w:t>
            </w:r>
          </w:p>
        </w:tc>
        <w:tc>
          <w:tcPr>
            <w:tcW w:w="616" w:type="dxa"/>
            <w:shd w:val="clear" w:color="auto" w:fill="auto"/>
            <w:noWrap/>
            <w:hideMark/>
          </w:tcPr>
          <w:p w:rsidRPr="00093FC6" w:rsidR="00093FC6" w:rsidP="00763E80" w:rsidRDefault="00093FC6" w14:paraId="7C80DFA9" w14:textId="7D282376">
            <w:pPr>
              <w:spacing w:before="20" w:after="20"/>
              <w:jc w:val="center"/>
              <w:rPr>
                <w:rFonts w:eastAsia="Times New Roman" w:cs="Times New Roman"/>
                <w:color w:val="000000"/>
                <w:sz w:val="20"/>
                <w:szCs w:val="20"/>
                <w:lang w:eastAsia="en-GB"/>
              </w:rPr>
            </w:pPr>
            <w:r w:rsidRPr="00093FC6">
              <w:rPr>
                <w:rFonts w:cs="Times New Roman"/>
                <w:sz w:val="20"/>
                <w:szCs w:val="20"/>
              </w:rPr>
              <w:t>2</w:t>
            </w:r>
          </w:p>
        </w:tc>
        <w:tc>
          <w:tcPr>
            <w:tcW w:w="639" w:type="dxa"/>
          </w:tcPr>
          <w:p w:rsidRPr="00093FC6" w:rsidR="00093FC6" w:rsidP="00763E80" w:rsidRDefault="00093FC6" w14:paraId="771152B3" w14:textId="08A03A3C">
            <w:pPr>
              <w:spacing w:before="20" w:after="20"/>
              <w:jc w:val="center"/>
              <w:rPr>
                <w:rFonts w:eastAsia="Times New Roman" w:cs="Times New Roman"/>
                <w:color w:val="000000"/>
                <w:sz w:val="20"/>
                <w:szCs w:val="20"/>
                <w:lang w:eastAsia="en-GB"/>
              </w:rPr>
            </w:pPr>
            <w:r w:rsidRPr="00093FC6">
              <w:rPr>
                <w:rFonts w:cs="Times New Roman"/>
                <w:sz w:val="20"/>
                <w:szCs w:val="20"/>
              </w:rPr>
              <w:t>90</w:t>
            </w:r>
          </w:p>
        </w:tc>
      </w:tr>
      <w:tr w:rsidRPr="001B614D" w:rsidR="00093FC6" w:rsidTr="0070531A" w14:paraId="4C828C7B" w14:textId="77777777">
        <w:trPr>
          <w:trHeight w:val="300"/>
        </w:trPr>
        <w:tc>
          <w:tcPr>
            <w:tcW w:w="2127" w:type="dxa"/>
            <w:shd w:val="clear" w:color="auto" w:fill="auto"/>
            <w:noWrap/>
            <w:vAlign w:val="center"/>
            <w:hideMark/>
          </w:tcPr>
          <w:p w:rsidRPr="00D24E5F" w:rsidR="00093FC6" w:rsidP="00763E80" w:rsidRDefault="00093FC6" w14:paraId="523CDDA2" w14:textId="77777777">
            <w:pPr>
              <w:spacing w:before="20" w:after="20"/>
              <w:rPr>
                <w:rFonts w:eastAsia="Times New Roman" w:cs="Times New Roman"/>
                <w:color w:val="000000"/>
                <w:sz w:val="20"/>
                <w:szCs w:val="20"/>
                <w:lang w:eastAsia="en-GB"/>
              </w:rPr>
            </w:pPr>
            <w:r w:rsidRPr="00D24E5F">
              <w:rPr>
                <w:rFonts w:eastAsia="Times New Roman" w:cs="Times New Roman"/>
                <w:color w:val="000000"/>
                <w:sz w:val="20"/>
                <w:szCs w:val="20"/>
                <w:lang w:eastAsia="en-GB"/>
              </w:rPr>
              <w:t>O/ME-SA/</w:t>
            </w:r>
            <w:proofErr w:type="spellStart"/>
            <w:r w:rsidRPr="00D24E5F">
              <w:rPr>
                <w:rFonts w:eastAsia="Times New Roman" w:cs="Times New Roman"/>
                <w:color w:val="000000"/>
                <w:sz w:val="20"/>
                <w:szCs w:val="20"/>
                <w:lang w:eastAsia="en-GB"/>
              </w:rPr>
              <w:t>PanAsia</w:t>
            </w:r>
            <w:proofErr w:type="spellEnd"/>
          </w:p>
        </w:tc>
        <w:tc>
          <w:tcPr>
            <w:tcW w:w="616" w:type="dxa"/>
            <w:shd w:val="clear" w:color="auto" w:fill="auto"/>
            <w:noWrap/>
            <w:hideMark/>
          </w:tcPr>
          <w:p w:rsidRPr="00093FC6" w:rsidR="00093FC6" w:rsidP="00763E80" w:rsidRDefault="00093FC6" w14:paraId="040F73E3" w14:textId="01F4F990">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5FDD6B62" w14:textId="36DA1FA4">
            <w:pPr>
              <w:spacing w:before="20" w:after="20"/>
              <w:jc w:val="center"/>
              <w:rPr>
                <w:rFonts w:eastAsia="Times New Roman" w:cs="Times New Roman"/>
                <w:color w:val="000000"/>
                <w:sz w:val="20"/>
                <w:szCs w:val="20"/>
                <w:lang w:eastAsia="en-GB"/>
              </w:rPr>
            </w:pPr>
            <w:r w:rsidRPr="00093FC6">
              <w:rPr>
                <w:rFonts w:cs="Times New Roman"/>
                <w:sz w:val="20"/>
                <w:szCs w:val="20"/>
              </w:rPr>
              <w:t>5</w:t>
            </w:r>
          </w:p>
        </w:tc>
        <w:tc>
          <w:tcPr>
            <w:tcW w:w="616" w:type="dxa"/>
            <w:shd w:val="clear" w:color="auto" w:fill="auto"/>
            <w:noWrap/>
            <w:hideMark/>
          </w:tcPr>
          <w:p w:rsidRPr="00093FC6" w:rsidR="00093FC6" w:rsidP="00763E80" w:rsidRDefault="00093FC6" w14:paraId="4C6D76FA" w14:textId="3D2BF708">
            <w:pPr>
              <w:spacing w:before="20" w:after="20"/>
              <w:jc w:val="center"/>
              <w:rPr>
                <w:rFonts w:eastAsia="Times New Roman" w:cs="Times New Roman"/>
                <w:color w:val="000000"/>
                <w:sz w:val="20"/>
                <w:szCs w:val="20"/>
                <w:lang w:eastAsia="en-GB"/>
              </w:rPr>
            </w:pPr>
            <w:r w:rsidRPr="00093FC6">
              <w:rPr>
                <w:rFonts w:cs="Times New Roman"/>
                <w:sz w:val="20"/>
                <w:szCs w:val="20"/>
              </w:rPr>
              <w:t>11</w:t>
            </w:r>
          </w:p>
        </w:tc>
        <w:tc>
          <w:tcPr>
            <w:tcW w:w="616" w:type="dxa"/>
            <w:shd w:val="clear" w:color="auto" w:fill="auto"/>
            <w:noWrap/>
            <w:hideMark/>
          </w:tcPr>
          <w:p w:rsidRPr="00093FC6" w:rsidR="00093FC6" w:rsidP="00763E80" w:rsidRDefault="00093FC6" w14:paraId="1E7A2FA3" w14:textId="4A957FF0">
            <w:pPr>
              <w:spacing w:before="20" w:after="20"/>
              <w:jc w:val="center"/>
              <w:rPr>
                <w:rFonts w:eastAsia="Times New Roman" w:cs="Times New Roman"/>
                <w:color w:val="000000"/>
                <w:sz w:val="20"/>
                <w:szCs w:val="20"/>
                <w:lang w:eastAsia="en-GB"/>
              </w:rPr>
            </w:pPr>
            <w:r w:rsidRPr="00093FC6">
              <w:rPr>
                <w:rFonts w:cs="Times New Roman"/>
                <w:sz w:val="20"/>
                <w:szCs w:val="20"/>
              </w:rPr>
              <w:t>5</w:t>
            </w:r>
          </w:p>
        </w:tc>
        <w:tc>
          <w:tcPr>
            <w:tcW w:w="616" w:type="dxa"/>
            <w:shd w:val="clear" w:color="auto" w:fill="auto"/>
            <w:noWrap/>
            <w:hideMark/>
          </w:tcPr>
          <w:p w:rsidRPr="00093FC6" w:rsidR="00093FC6" w:rsidP="00763E80" w:rsidRDefault="00093FC6" w14:paraId="50823962" w14:textId="6B29F43F">
            <w:pPr>
              <w:spacing w:before="20" w:after="20"/>
              <w:jc w:val="center"/>
              <w:rPr>
                <w:rFonts w:eastAsia="Times New Roman" w:cs="Times New Roman"/>
                <w:color w:val="000000"/>
                <w:sz w:val="20"/>
                <w:szCs w:val="20"/>
                <w:lang w:eastAsia="en-GB"/>
              </w:rPr>
            </w:pPr>
            <w:r w:rsidRPr="00093FC6">
              <w:rPr>
                <w:rFonts w:cs="Times New Roman"/>
                <w:sz w:val="20"/>
                <w:szCs w:val="20"/>
              </w:rPr>
              <w:t>3</w:t>
            </w:r>
          </w:p>
        </w:tc>
        <w:tc>
          <w:tcPr>
            <w:tcW w:w="616" w:type="dxa"/>
            <w:shd w:val="clear" w:color="auto" w:fill="auto"/>
            <w:noWrap/>
            <w:hideMark/>
          </w:tcPr>
          <w:p w:rsidRPr="00093FC6" w:rsidR="00093FC6" w:rsidP="00763E80" w:rsidRDefault="00093FC6" w14:paraId="2EE05525" w14:textId="6C8B4DB5">
            <w:pPr>
              <w:spacing w:before="20" w:after="20"/>
              <w:jc w:val="center"/>
              <w:rPr>
                <w:rFonts w:eastAsia="Times New Roman" w:cs="Times New Roman"/>
                <w:color w:val="000000"/>
                <w:sz w:val="20"/>
                <w:szCs w:val="20"/>
                <w:lang w:eastAsia="en-GB"/>
              </w:rPr>
            </w:pPr>
            <w:r w:rsidRPr="00093FC6">
              <w:rPr>
                <w:rFonts w:cs="Times New Roman"/>
                <w:sz w:val="20"/>
                <w:szCs w:val="20"/>
              </w:rPr>
              <w:t>6</w:t>
            </w:r>
          </w:p>
        </w:tc>
        <w:tc>
          <w:tcPr>
            <w:tcW w:w="616" w:type="dxa"/>
            <w:shd w:val="clear" w:color="auto" w:fill="auto"/>
            <w:noWrap/>
            <w:hideMark/>
          </w:tcPr>
          <w:p w:rsidRPr="00093FC6" w:rsidR="00093FC6" w:rsidP="00763E80" w:rsidRDefault="00093FC6" w14:paraId="6F2F3F89" w14:textId="7104A745">
            <w:pPr>
              <w:spacing w:before="20" w:after="20"/>
              <w:jc w:val="center"/>
              <w:rPr>
                <w:rFonts w:eastAsia="Times New Roman" w:cs="Times New Roman"/>
                <w:color w:val="000000"/>
                <w:sz w:val="20"/>
                <w:szCs w:val="20"/>
                <w:lang w:eastAsia="en-GB"/>
              </w:rPr>
            </w:pPr>
            <w:r w:rsidRPr="00093FC6">
              <w:rPr>
                <w:rFonts w:cs="Times New Roman"/>
                <w:sz w:val="20"/>
                <w:szCs w:val="20"/>
              </w:rPr>
              <w:t>2</w:t>
            </w:r>
          </w:p>
        </w:tc>
        <w:tc>
          <w:tcPr>
            <w:tcW w:w="616" w:type="dxa"/>
            <w:shd w:val="clear" w:color="auto" w:fill="auto"/>
            <w:noWrap/>
            <w:hideMark/>
          </w:tcPr>
          <w:p w:rsidRPr="00093FC6" w:rsidR="00093FC6" w:rsidP="00763E80" w:rsidRDefault="00093FC6" w14:paraId="02A55579" w14:textId="2B5D2632">
            <w:pPr>
              <w:spacing w:before="20" w:after="20"/>
              <w:jc w:val="center"/>
              <w:rPr>
                <w:rFonts w:eastAsia="Times New Roman" w:cs="Times New Roman"/>
                <w:color w:val="000000"/>
                <w:sz w:val="20"/>
                <w:szCs w:val="20"/>
                <w:lang w:eastAsia="en-GB"/>
              </w:rPr>
            </w:pPr>
            <w:r w:rsidRPr="00093FC6">
              <w:rPr>
                <w:rFonts w:cs="Times New Roman"/>
                <w:sz w:val="20"/>
                <w:szCs w:val="20"/>
              </w:rPr>
              <w:t>2</w:t>
            </w:r>
          </w:p>
        </w:tc>
        <w:tc>
          <w:tcPr>
            <w:tcW w:w="616" w:type="dxa"/>
            <w:shd w:val="clear" w:color="auto" w:fill="auto"/>
            <w:noWrap/>
            <w:hideMark/>
          </w:tcPr>
          <w:p w:rsidRPr="00093FC6" w:rsidR="00093FC6" w:rsidP="00763E80" w:rsidRDefault="00093FC6" w14:paraId="1BCCA93F" w14:textId="1FD77B60">
            <w:pPr>
              <w:spacing w:before="20" w:after="20"/>
              <w:jc w:val="center"/>
              <w:rPr>
                <w:rFonts w:eastAsia="Times New Roman" w:cs="Times New Roman"/>
                <w:color w:val="000000"/>
                <w:sz w:val="20"/>
                <w:szCs w:val="20"/>
                <w:lang w:eastAsia="en-GB"/>
              </w:rPr>
            </w:pPr>
            <w:r w:rsidRPr="00093FC6">
              <w:rPr>
                <w:rFonts w:cs="Times New Roman"/>
                <w:sz w:val="20"/>
                <w:szCs w:val="20"/>
              </w:rPr>
              <w:t>7</w:t>
            </w:r>
          </w:p>
        </w:tc>
        <w:tc>
          <w:tcPr>
            <w:tcW w:w="616" w:type="dxa"/>
            <w:shd w:val="clear" w:color="auto" w:fill="auto"/>
            <w:noWrap/>
            <w:hideMark/>
          </w:tcPr>
          <w:p w:rsidRPr="00093FC6" w:rsidR="00093FC6" w:rsidP="00763E80" w:rsidRDefault="00093FC6" w14:paraId="1585A8C3" w14:textId="584D1029">
            <w:pPr>
              <w:spacing w:before="20" w:after="20"/>
              <w:jc w:val="center"/>
              <w:rPr>
                <w:rFonts w:eastAsia="Times New Roman" w:cs="Times New Roman"/>
                <w:color w:val="000000"/>
                <w:sz w:val="20"/>
                <w:szCs w:val="20"/>
                <w:lang w:eastAsia="en-GB"/>
              </w:rPr>
            </w:pPr>
            <w:r w:rsidRPr="00093FC6">
              <w:rPr>
                <w:rFonts w:cs="Times New Roman"/>
                <w:sz w:val="20"/>
                <w:szCs w:val="20"/>
              </w:rPr>
              <w:t>1</w:t>
            </w:r>
          </w:p>
        </w:tc>
        <w:tc>
          <w:tcPr>
            <w:tcW w:w="697" w:type="dxa"/>
            <w:shd w:val="clear" w:color="auto" w:fill="auto"/>
            <w:noWrap/>
            <w:hideMark/>
          </w:tcPr>
          <w:p w:rsidRPr="00093FC6" w:rsidR="00093FC6" w:rsidP="00763E80" w:rsidRDefault="00093FC6" w14:paraId="43A80746" w14:textId="708FC05D">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202BD861" w14:textId="35CE262D">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39" w:type="dxa"/>
          </w:tcPr>
          <w:p w:rsidRPr="00093FC6" w:rsidR="00093FC6" w:rsidP="00763E80" w:rsidRDefault="00093FC6" w14:paraId="4D18D3CF" w14:textId="24B4B0B9">
            <w:pPr>
              <w:spacing w:before="20" w:after="20"/>
              <w:jc w:val="center"/>
              <w:rPr>
                <w:rFonts w:eastAsia="Times New Roman" w:cs="Times New Roman"/>
                <w:color w:val="000000"/>
                <w:sz w:val="20"/>
                <w:szCs w:val="20"/>
                <w:lang w:eastAsia="en-GB"/>
              </w:rPr>
            </w:pPr>
            <w:r w:rsidRPr="00093FC6">
              <w:rPr>
                <w:rFonts w:cs="Times New Roman"/>
                <w:sz w:val="20"/>
                <w:szCs w:val="20"/>
              </w:rPr>
              <w:t>42</w:t>
            </w:r>
          </w:p>
        </w:tc>
      </w:tr>
      <w:tr w:rsidRPr="001B614D" w:rsidR="00093FC6" w:rsidTr="0070531A" w14:paraId="0A58AB4A" w14:textId="77777777">
        <w:trPr>
          <w:trHeight w:val="300"/>
        </w:trPr>
        <w:tc>
          <w:tcPr>
            <w:tcW w:w="2127" w:type="dxa"/>
            <w:shd w:val="clear" w:color="auto" w:fill="auto"/>
            <w:noWrap/>
            <w:vAlign w:val="center"/>
            <w:hideMark/>
          </w:tcPr>
          <w:p w:rsidRPr="00D24E5F" w:rsidR="00093FC6" w:rsidP="00763E80" w:rsidRDefault="00093FC6" w14:paraId="4754342F" w14:textId="77777777">
            <w:pPr>
              <w:spacing w:before="20" w:after="20"/>
              <w:rPr>
                <w:rFonts w:eastAsia="Times New Roman" w:cs="Times New Roman"/>
                <w:color w:val="000000"/>
                <w:sz w:val="20"/>
                <w:szCs w:val="20"/>
                <w:lang w:eastAsia="en-GB"/>
              </w:rPr>
            </w:pPr>
            <w:r w:rsidRPr="00D24E5F">
              <w:rPr>
                <w:rFonts w:eastAsia="Times New Roman" w:cs="Times New Roman"/>
                <w:color w:val="000000"/>
                <w:sz w:val="20"/>
                <w:szCs w:val="20"/>
                <w:lang w:eastAsia="en-GB"/>
              </w:rPr>
              <w:t>O/ME-SA/PanAsia-2</w:t>
            </w:r>
          </w:p>
        </w:tc>
        <w:tc>
          <w:tcPr>
            <w:tcW w:w="616" w:type="dxa"/>
            <w:shd w:val="clear" w:color="auto" w:fill="auto"/>
            <w:noWrap/>
            <w:hideMark/>
          </w:tcPr>
          <w:p w:rsidRPr="00093FC6" w:rsidR="00093FC6" w:rsidP="00763E80" w:rsidRDefault="00093FC6" w14:paraId="0462BF54" w14:textId="0480AB26">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5B529B3B" w14:textId="4A179829">
            <w:pPr>
              <w:spacing w:before="20" w:after="20"/>
              <w:jc w:val="center"/>
              <w:rPr>
                <w:rFonts w:eastAsia="Times New Roman" w:cs="Times New Roman"/>
                <w:color w:val="000000"/>
                <w:sz w:val="20"/>
                <w:szCs w:val="20"/>
                <w:lang w:eastAsia="en-GB"/>
              </w:rPr>
            </w:pPr>
            <w:r w:rsidRPr="00093FC6">
              <w:rPr>
                <w:rFonts w:cs="Times New Roman"/>
                <w:sz w:val="20"/>
                <w:szCs w:val="20"/>
              </w:rPr>
              <w:t>29</w:t>
            </w:r>
          </w:p>
        </w:tc>
        <w:tc>
          <w:tcPr>
            <w:tcW w:w="616" w:type="dxa"/>
            <w:shd w:val="clear" w:color="auto" w:fill="auto"/>
            <w:noWrap/>
            <w:hideMark/>
          </w:tcPr>
          <w:p w:rsidRPr="00093FC6" w:rsidR="00093FC6" w:rsidP="00763E80" w:rsidRDefault="00093FC6" w14:paraId="0B1A1C99" w14:textId="4467661D">
            <w:pPr>
              <w:spacing w:before="20" w:after="20"/>
              <w:jc w:val="center"/>
              <w:rPr>
                <w:rFonts w:eastAsia="Times New Roman" w:cs="Times New Roman"/>
                <w:color w:val="000000"/>
                <w:sz w:val="20"/>
                <w:szCs w:val="20"/>
                <w:lang w:eastAsia="en-GB"/>
              </w:rPr>
            </w:pPr>
            <w:r w:rsidRPr="00093FC6">
              <w:rPr>
                <w:rFonts w:cs="Times New Roman"/>
                <w:sz w:val="20"/>
                <w:szCs w:val="20"/>
              </w:rPr>
              <w:t>12</w:t>
            </w:r>
          </w:p>
        </w:tc>
        <w:tc>
          <w:tcPr>
            <w:tcW w:w="616" w:type="dxa"/>
            <w:shd w:val="clear" w:color="auto" w:fill="auto"/>
            <w:noWrap/>
            <w:hideMark/>
          </w:tcPr>
          <w:p w:rsidRPr="00093FC6" w:rsidR="00093FC6" w:rsidP="00763E80" w:rsidRDefault="00093FC6" w14:paraId="03C7DE38" w14:textId="224F1F8B">
            <w:pPr>
              <w:spacing w:before="20" w:after="20"/>
              <w:jc w:val="center"/>
              <w:rPr>
                <w:rFonts w:eastAsia="Times New Roman" w:cs="Times New Roman"/>
                <w:color w:val="000000"/>
                <w:sz w:val="20"/>
                <w:szCs w:val="20"/>
                <w:lang w:eastAsia="en-GB"/>
              </w:rPr>
            </w:pPr>
            <w:r w:rsidRPr="00093FC6">
              <w:rPr>
                <w:rFonts w:cs="Times New Roman"/>
                <w:sz w:val="20"/>
                <w:szCs w:val="20"/>
              </w:rPr>
              <w:t>12</w:t>
            </w:r>
          </w:p>
        </w:tc>
        <w:tc>
          <w:tcPr>
            <w:tcW w:w="616" w:type="dxa"/>
            <w:shd w:val="clear" w:color="auto" w:fill="auto"/>
            <w:noWrap/>
            <w:hideMark/>
          </w:tcPr>
          <w:p w:rsidRPr="00093FC6" w:rsidR="00093FC6" w:rsidP="00763E80" w:rsidRDefault="00093FC6" w14:paraId="25A4CC82" w14:textId="6C1BDC3D">
            <w:pPr>
              <w:spacing w:before="20" w:after="20"/>
              <w:jc w:val="center"/>
              <w:rPr>
                <w:rFonts w:eastAsia="Times New Roman" w:cs="Times New Roman"/>
                <w:color w:val="000000"/>
                <w:sz w:val="20"/>
                <w:szCs w:val="20"/>
                <w:lang w:eastAsia="en-GB"/>
              </w:rPr>
            </w:pPr>
            <w:r w:rsidRPr="00093FC6">
              <w:rPr>
                <w:rFonts w:cs="Times New Roman"/>
                <w:sz w:val="20"/>
                <w:szCs w:val="20"/>
              </w:rPr>
              <w:t>6</w:t>
            </w:r>
          </w:p>
        </w:tc>
        <w:tc>
          <w:tcPr>
            <w:tcW w:w="616" w:type="dxa"/>
            <w:shd w:val="clear" w:color="auto" w:fill="auto"/>
            <w:noWrap/>
            <w:hideMark/>
          </w:tcPr>
          <w:p w:rsidRPr="00093FC6" w:rsidR="00093FC6" w:rsidP="00763E80" w:rsidRDefault="00093FC6" w14:paraId="3E46599D" w14:textId="4F8AD6FB">
            <w:pPr>
              <w:spacing w:before="20" w:after="20"/>
              <w:jc w:val="center"/>
              <w:rPr>
                <w:rFonts w:eastAsia="Times New Roman" w:cs="Times New Roman"/>
                <w:color w:val="000000"/>
                <w:sz w:val="20"/>
                <w:szCs w:val="20"/>
                <w:lang w:eastAsia="en-GB"/>
              </w:rPr>
            </w:pPr>
            <w:r w:rsidRPr="00093FC6">
              <w:rPr>
                <w:rFonts w:cs="Times New Roman"/>
                <w:sz w:val="20"/>
                <w:szCs w:val="20"/>
              </w:rPr>
              <w:t>5</w:t>
            </w:r>
          </w:p>
        </w:tc>
        <w:tc>
          <w:tcPr>
            <w:tcW w:w="616" w:type="dxa"/>
            <w:shd w:val="clear" w:color="auto" w:fill="auto"/>
            <w:noWrap/>
            <w:hideMark/>
          </w:tcPr>
          <w:p w:rsidRPr="00093FC6" w:rsidR="00093FC6" w:rsidP="00763E80" w:rsidRDefault="00093FC6" w14:paraId="2BE8B354" w14:textId="1A547E9A">
            <w:pPr>
              <w:spacing w:before="20" w:after="20"/>
              <w:jc w:val="center"/>
              <w:rPr>
                <w:rFonts w:eastAsia="Times New Roman" w:cs="Times New Roman"/>
                <w:color w:val="000000"/>
                <w:sz w:val="20"/>
                <w:szCs w:val="20"/>
                <w:lang w:eastAsia="en-GB"/>
              </w:rPr>
            </w:pPr>
            <w:r w:rsidRPr="00093FC6">
              <w:rPr>
                <w:rFonts w:cs="Times New Roman"/>
                <w:sz w:val="20"/>
                <w:szCs w:val="20"/>
              </w:rPr>
              <w:t>9</w:t>
            </w:r>
          </w:p>
        </w:tc>
        <w:tc>
          <w:tcPr>
            <w:tcW w:w="616" w:type="dxa"/>
            <w:shd w:val="clear" w:color="auto" w:fill="auto"/>
            <w:noWrap/>
            <w:hideMark/>
          </w:tcPr>
          <w:p w:rsidRPr="00093FC6" w:rsidR="00093FC6" w:rsidP="00763E80" w:rsidRDefault="00093FC6" w14:paraId="19346872" w14:textId="570E8DE1">
            <w:pPr>
              <w:spacing w:before="20" w:after="20"/>
              <w:jc w:val="center"/>
              <w:rPr>
                <w:rFonts w:eastAsia="Times New Roman" w:cs="Times New Roman"/>
                <w:color w:val="000000"/>
                <w:sz w:val="20"/>
                <w:szCs w:val="20"/>
                <w:lang w:eastAsia="en-GB"/>
              </w:rPr>
            </w:pPr>
            <w:r w:rsidRPr="00093FC6">
              <w:rPr>
                <w:rFonts w:cs="Times New Roman"/>
                <w:sz w:val="20"/>
                <w:szCs w:val="20"/>
              </w:rPr>
              <w:t>8</w:t>
            </w:r>
          </w:p>
        </w:tc>
        <w:tc>
          <w:tcPr>
            <w:tcW w:w="616" w:type="dxa"/>
            <w:shd w:val="clear" w:color="auto" w:fill="auto"/>
            <w:noWrap/>
            <w:hideMark/>
          </w:tcPr>
          <w:p w:rsidRPr="00093FC6" w:rsidR="00093FC6" w:rsidP="00763E80" w:rsidRDefault="00093FC6" w14:paraId="0A97A978" w14:textId="30168191">
            <w:pPr>
              <w:spacing w:before="20" w:after="20"/>
              <w:jc w:val="center"/>
              <w:rPr>
                <w:rFonts w:eastAsia="Times New Roman" w:cs="Times New Roman"/>
                <w:color w:val="000000"/>
                <w:sz w:val="20"/>
                <w:szCs w:val="20"/>
                <w:lang w:eastAsia="en-GB"/>
              </w:rPr>
            </w:pPr>
            <w:r w:rsidRPr="00093FC6">
              <w:rPr>
                <w:rFonts w:cs="Times New Roman"/>
                <w:sz w:val="20"/>
                <w:szCs w:val="20"/>
              </w:rPr>
              <w:t>8</w:t>
            </w:r>
          </w:p>
        </w:tc>
        <w:tc>
          <w:tcPr>
            <w:tcW w:w="616" w:type="dxa"/>
            <w:shd w:val="clear" w:color="auto" w:fill="auto"/>
            <w:noWrap/>
            <w:hideMark/>
          </w:tcPr>
          <w:p w:rsidRPr="00093FC6" w:rsidR="00093FC6" w:rsidP="00763E80" w:rsidRDefault="00093FC6" w14:paraId="774D2214" w14:textId="371D804A">
            <w:pPr>
              <w:spacing w:before="20" w:after="20"/>
              <w:jc w:val="center"/>
              <w:rPr>
                <w:rFonts w:eastAsia="Times New Roman" w:cs="Times New Roman"/>
                <w:color w:val="000000"/>
                <w:sz w:val="20"/>
                <w:szCs w:val="20"/>
                <w:lang w:eastAsia="en-GB"/>
              </w:rPr>
            </w:pPr>
            <w:r w:rsidRPr="00093FC6">
              <w:rPr>
                <w:rFonts w:cs="Times New Roman"/>
                <w:sz w:val="20"/>
                <w:szCs w:val="20"/>
              </w:rPr>
              <w:t>7</w:t>
            </w:r>
          </w:p>
        </w:tc>
        <w:tc>
          <w:tcPr>
            <w:tcW w:w="697" w:type="dxa"/>
            <w:shd w:val="clear" w:color="auto" w:fill="auto"/>
            <w:noWrap/>
            <w:hideMark/>
          </w:tcPr>
          <w:p w:rsidRPr="00093FC6" w:rsidR="00093FC6" w:rsidP="00763E80" w:rsidRDefault="00093FC6" w14:paraId="65215006" w14:textId="0C8EED1E">
            <w:pPr>
              <w:spacing w:before="20" w:after="20"/>
              <w:jc w:val="center"/>
              <w:rPr>
                <w:rFonts w:eastAsia="Times New Roman" w:cs="Times New Roman"/>
                <w:color w:val="000000"/>
                <w:sz w:val="20"/>
                <w:szCs w:val="20"/>
                <w:lang w:eastAsia="en-GB"/>
              </w:rPr>
            </w:pPr>
            <w:r w:rsidRPr="00093FC6">
              <w:rPr>
                <w:rFonts w:cs="Times New Roman"/>
                <w:sz w:val="20"/>
                <w:szCs w:val="20"/>
              </w:rPr>
              <w:t>1</w:t>
            </w:r>
          </w:p>
        </w:tc>
        <w:tc>
          <w:tcPr>
            <w:tcW w:w="616" w:type="dxa"/>
            <w:shd w:val="clear" w:color="auto" w:fill="auto"/>
            <w:noWrap/>
            <w:hideMark/>
          </w:tcPr>
          <w:p w:rsidRPr="00093FC6" w:rsidR="00093FC6" w:rsidP="00763E80" w:rsidRDefault="00093FC6" w14:paraId="4A07F2A3" w14:textId="32BDE19E">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39" w:type="dxa"/>
          </w:tcPr>
          <w:p w:rsidRPr="00093FC6" w:rsidR="00093FC6" w:rsidP="00763E80" w:rsidRDefault="00093FC6" w14:paraId="2DF425BE" w14:textId="48416DB6">
            <w:pPr>
              <w:spacing w:before="20" w:after="20"/>
              <w:jc w:val="center"/>
              <w:rPr>
                <w:rFonts w:eastAsia="Times New Roman" w:cs="Times New Roman"/>
                <w:color w:val="000000"/>
                <w:sz w:val="20"/>
                <w:szCs w:val="20"/>
                <w:lang w:eastAsia="en-GB"/>
              </w:rPr>
            </w:pPr>
            <w:r w:rsidRPr="00093FC6">
              <w:rPr>
                <w:rFonts w:cs="Times New Roman"/>
                <w:sz w:val="20"/>
                <w:szCs w:val="20"/>
              </w:rPr>
              <w:t>97</w:t>
            </w:r>
          </w:p>
        </w:tc>
      </w:tr>
      <w:tr w:rsidRPr="001B614D" w:rsidR="00093FC6" w:rsidTr="0070531A" w14:paraId="0356BA4D" w14:textId="77777777">
        <w:trPr>
          <w:trHeight w:val="300"/>
        </w:trPr>
        <w:tc>
          <w:tcPr>
            <w:tcW w:w="2127" w:type="dxa"/>
            <w:shd w:val="clear" w:color="auto" w:fill="auto"/>
            <w:noWrap/>
            <w:vAlign w:val="center"/>
            <w:hideMark/>
          </w:tcPr>
          <w:p w:rsidRPr="00D24E5F" w:rsidR="00093FC6" w:rsidP="00763E80" w:rsidRDefault="00093FC6" w14:paraId="06AFF161" w14:textId="77777777">
            <w:pPr>
              <w:spacing w:before="20" w:after="20"/>
              <w:rPr>
                <w:rFonts w:eastAsia="Times New Roman" w:cs="Times New Roman"/>
                <w:color w:val="000000"/>
                <w:sz w:val="20"/>
                <w:szCs w:val="20"/>
                <w:lang w:eastAsia="en-GB"/>
              </w:rPr>
            </w:pPr>
            <w:r w:rsidRPr="00D24E5F">
              <w:rPr>
                <w:rFonts w:eastAsia="Times New Roman" w:cs="Times New Roman"/>
                <w:color w:val="000000"/>
                <w:sz w:val="20"/>
                <w:szCs w:val="20"/>
                <w:lang w:eastAsia="en-GB"/>
              </w:rPr>
              <w:t>O/SEA/Mya-98</w:t>
            </w:r>
          </w:p>
        </w:tc>
        <w:tc>
          <w:tcPr>
            <w:tcW w:w="616" w:type="dxa"/>
            <w:shd w:val="clear" w:color="auto" w:fill="auto"/>
            <w:noWrap/>
            <w:hideMark/>
          </w:tcPr>
          <w:p w:rsidRPr="00093FC6" w:rsidR="00093FC6" w:rsidP="00763E80" w:rsidRDefault="00093FC6" w14:paraId="26CBD242" w14:textId="4A6CD2B5">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744DF468" w14:textId="5E531648">
            <w:pPr>
              <w:spacing w:before="20" w:after="20"/>
              <w:jc w:val="center"/>
              <w:rPr>
                <w:rFonts w:eastAsia="Times New Roman" w:cs="Times New Roman"/>
                <w:color w:val="000000"/>
                <w:sz w:val="20"/>
                <w:szCs w:val="20"/>
                <w:lang w:eastAsia="en-GB"/>
              </w:rPr>
            </w:pPr>
            <w:r w:rsidRPr="00093FC6">
              <w:rPr>
                <w:rFonts w:cs="Times New Roman"/>
                <w:sz w:val="20"/>
                <w:szCs w:val="20"/>
              </w:rPr>
              <w:t>5</w:t>
            </w:r>
          </w:p>
        </w:tc>
        <w:tc>
          <w:tcPr>
            <w:tcW w:w="616" w:type="dxa"/>
            <w:shd w:val="clear" w:color="auto" w:fill="auto"/>
            <w:noWrap/>
            <w:hideMark/>
          </w:tcPr>
          <w:p w:rsidRPr="00093FC6" w:rsidR="00093FC6" w:rsidP="00763E80" w:rsidRDefault="00093FC6" w14:paraId="6DA63017" w14:textId="499755B7">
            <w:pPr>
              <w:spacing w:before="20" w:after="20"/>
              <w:jc w:val="center"/>
              <w:rPr>
                <w:rFonts w:eastAsia="Times New Roman" w:cs="Times New Roman"/>
                <w:color w:val="000000"/>
                <w:sz w:val="20"/>
                <w:szCs w:val="20"/>
                <w:lang w:eastAsia="en-GB"/>
              </w:rPr>
            </w:pPr>
            <w:r w:rsidRPr="00093FC6">
              <w:rPr>
                <w:rFonts w:cs="Times New Roman"/>
                <w:sz w:val="20"/>
                <w:szCs w:val="20"/>
              </w:rPr>
              <w:t>5</w:t>
            </w:r>
          </w:p>
        </w:tc>
        <w:tc>
          <w:tcPr>
            <w:tcW w:w="616" w:type="dxa"/>
            <w:shd w:val="clear" w:color="auto" w:fill="auto"/>
            <w:noWrap/>
            <w:hideMark/>
          </w:tcPr>
          <w:p w:rsidRPr="00093FC6" w:rsidR="00093FC6" w:rsidP="00763E80" w:rsidRDefault="00093FC6" w14:paraId="1B8FDB5E" w14:textId="6251E832">
            <w:pPr>
              <w:spacing w:before="20" w:after="20"/>
              <w:jc w:val="center"/>
              <w:rPr>
                <w:rFonts w:eastAsia="Times New Roman" w:cs="Times New Roman"/>
                <w:color w:val="000000"/>
                <w:sz w:val="20"/>
                <w:szCs w:val="20"/>
                <w:lang w:eastAsia="en-GB"/>
              </w:rPr>
            </w:pPr>
            <w:r w:rsidRPr="00093FC6">
              <w:rPr>
                <w:rFonts w:cs="Times New Roman"/>
                <w:sz w:val="20"/>
                <w:szCs w:val="20"/>
              </w:rPr>
              <w:t>4</w:t>
            </w:r>
          </w:p>
        </w:tc>
        <w:tc>
          <w:tcPr>
            <w:tcW w:w="616" w:type="dxa"/>
            <w:shd w:val="clear" w:color="auto" w:fill="auto"/>
            <w:noWrap/>
            <w:hideMark/>
          </w:tcPr>
          <w:p w:rsidRPr="00093FC6" w:rsidR="00093FC6" w:rsidP="00763E80" w:rsidRDefault="00093FC6" w14:paraId="78DF661C" w14:textId="3DFD5FA6">
            <w:pPr>
              <w:spacing w:before="20" w:after="20"/>
              <w:jc w:val="center"/>
              <w:rPr>
                <w:rFonts w:eastAsia="Times New Roman" w:cs="Times New Roman"/>
                <w:color w:val="000000"/>
                <w:sz w:val="20"/>
                <w:szCs w:val="20"/>
                <w:lang w:eastAsia="en-GB"/>
              </w:rPr>
            </w:pPr>
            <w:r w:rsidRPr="00093FC6">
              <w:rPr>
                <w:rFonts w:cs="Times New Roman"/>
                <w:sz w:val="20"/>
                <w:szCs w:val="20"/>
              </w:rPr>
              <w:t>12</w:t>
            </w:r>
          </w:p>
        </w:tc>
        <w:tc>
          <w:tcPr>
            <w:tcW w:w="616" w:type="dxa"/>
            <w:shd w:val="clear" w:color="auto" w:fill="auto"/>
            <w:noWrap/>
            <w:hideMark/>
          </w:tcPr>
          <w:p w:rsidRPr="00093FC6" w:rsidR="00093FC6" w:rsidP="00763E80" w:rsidRDefault="00093FC6" w14:paraId="2D5D2C85" w14:textId="2E5B7BC5">
            <w:pPr>
              <w:spacing w:before="20" w:after="20"/>
              <w:jc w:val="center"/>
              <w:rPr>
                <w:rFonts w:eastAsia="Times New Roman" w:cs="Times New Roman"/>
                <w:color w:val="000000"/>
                <w:sz w:val="20"/>
                <w:szCs w:val="20"/>
                <w:lang w:eastAsia="en-GB"/>
              </w:rPr>
            </w:pPr>
            <w:r w:rsidRPr="00093FC6">
              <w:rPr>
                <w:rFonts w:cs="Times New Roman"/>
                <w:sz w:val="20"/>
                <w:szCs w:val="20"/>
              </w:rPr>
              <w:t>7</w:t>
            </w:r>
          </w:p>
        </w:tc>
        <w:tc>
          <w:tcPr>
            <w:tcW w:w="616" w:type="dxa"/>
            <w:shd w:val="clear" w:color="auto" w:fill="auto"/>
            <w:noWrap/>
            <w:hideMark/>
          </w:tcPr>
          <w:p w:rsidRPr="00093FC6" w:rsidR="00093FC6" w:rsidP="00763E80" w:rsidRDefault="00093FC6" w14:paraId="6A81B6F7" w14:textId="74C2658B">
            <w:pPr>
              <w:spacing w:before="20" w:after="20"/>
              <w:jc w:val="center"/>
              <w:rPr>
                <w:rFonts w:eastAsia="Times New Roman" w:cs="Times New Roman"/>
                <w:color w:val="000000"/>
                <w:sz w:val="20"/>
                <w:szCs w:val="20"/>
                <w:lang w:eastAsia="en-GB"/>
              </w:rPr>
            </w:pPr>
            <w:r w:rsidRPr="00093FC6">
              <w:rPr>
                <w:rFonts w:cs="Times New Roman"/>
                <w:sz w:val="20"/>
                <w:szCs w:val="20"/>
              </w:rPr>
              <w:t>9</w:t>
            </w:r>
          </w:p>
        </w:tc>
        <w:tc>
          <w:tcPr>
            <w:tcW w:w="616" w:type="dxa"/>
            <w:shd w:val="clear" w:color="auto" w:fill="auto"/>
            <w:noWrap/>
            <w:hideMark/>
          </w:tcPr>
          <w:p w:rsidRPr="00093FC6" w:rsidR="00093FC6" w:rsidP="00763E80" w:rsidRDefault="00093FC6" w14:paraId="0D551AF8" w14:textId="0405A4DA">
            <w:pPr>
              <w:spacing w:before="20" w:after="20"/>
              <w:jc w:val="center"/>
              <w:rPr>
                <w:rFonts w:eastAsia="Times New Roman" w:cs="Times New Roman"/>
                <w:color w:val="000000"/>
                <w:sz w:val="20"/>
                <w:szCs w:val="20"/>
                <w:lang w:eastAsia="en-GB"/>
              </w:rPr>
            </w:pPr>
            <w:r w:rsidRPr="00093FC6">
              <w:rPr>
                <w:rFonts w:cs="Times New Roman"/>
                <w:sz w:val="20"/>
                <w:szCs w:val="20"/>
              </w:rPr>
              <w:t>3</w:t>
            </w:r>
          </w:p>
        </w:tc>
        <w:tc>
          <w:tcPr>
            <w:tcW w:w="616" w:type="dxa"/>
            <w:shd w:val="clear" w:color="auto" w:fill="auto"/>
            <w:noWrap/>
            <w:hideMark/>
          </w:tcPr>
          <w:p w:rsidRPr="00093FC6" w:rsidR="00093FC6" w:rsidP="00763E80" w:rsidRDefault="00093FC6" w14:paraId="14F84B87" w14:textId="66A7102E">
            <w:pPr>
              <w:spacing w:before="20" w:after="20"/>
              <w:jc w:val="center"/>
              <w:rPr>
                <w:rFonts w:eastAsia="Times New Roman" w:cs="Times New Roman"/>
                <w:color w:val="000000"/>
                <w:sz w:val="20"/>
                <w:szCs w:val="20"/>
                <w:lang w:eastAsia="en-GB"/>
              </w:rPr>
            </w:pPr>
            <w:r w:rsidRPr="00093FC6">
              <w:rPr>
                <w:rFonts w:cs="Times New Roman"/>
                <w:sz w:val="20"/>
                <w:szCs w:val="20"/>
              </w:rPr>
              <w:t>3</w:t>
            </w:r>
          </w:p>
        </w:tc>
        <w:tc>
          <w:tcPr>
            <w:tcW w:w="616" w:type="dxa"/>
            <w:shd w:val="clear" w:color="auto" w:fill="auto"/>
            <w:noWrap/>
            <w:hideMark/>
          </w:tcPr>
          <w:p w:rsidRPr="00093FC6" w:rsidR="00093FC6" w:rsidP="00763E80" w:rsidRDefault="00093FC6" w14:paraId="14762CB3" w14:textId="3FD0E525">
            <w:pPr>
              <w:spacing w:before="20" w:after="20"/>
              <w:jc w:val="center"/>
              <w:rPr>
                <w:rFonts w:eastAsia="Times New Roman" w:cs="Times New Roman"/>
                <w:color w:val="000000"/>
                <w:sz w:val="20"/>
                <w:szCs w:val="20"/>
                <w:lang w:eastAsia="en-GB"/>
              </w:rPr>
            </w:pPr>
            <w:r w:rsidRPr="00093FC6">
              <w:rPr>
                <w:rFonts w:cs="Times New Roman"/>
                <w:sz w:val="20"/>
                <w:szCs w:val="20"/>
              </w:rPr>
              <w:t>3</w:t>
            </w:r>
          </w:p>
        </w:tc>
        <w:tc>
          <w:tcPr>
            <w:tcW w:w="697" w:type="dxa"/>
            <w:shd w:val="clear" w:color="auto" w:fill="auto"/>
            <w:noWrap/>
            <w:hideMark/>
          </w:tcPr>
          <w:p w:rsidRPr="00093FC6" w:rsidR="00093FC6" w:rsidP="00763E80" w:rsidRDefault="00093FC6" w14:paraId="149D7A6A" w14:textId="5A1E423C">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786DEE80" w14:textId="064F0DD5">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39" w:type="dxa"/>
          </w:tcPr>
          <w:p w:rsidRPr="00093FC6" w:rsidR="00093FC6" w:rsidP="00763E80" w:rsidRDefault="00093FC6" w14:paraId="2C6394F8" w14:textId="1B33F8BF">
            <w:pPr>
              <w:spacing w:before="20" w:after="20"/>
              <w:jc w:val="center"/>
              <w:rPr>
                <w:rFonts w:eastAsia="Times New Roman" w:cs="Times New Roman"/>
                <w:color w:val="000000"/>
                <w:sz w:val="20"/>
                <w:szCs w:val="20"/>
                <w:lang w:eastAsia="en-GB"/>
              </w:rPr>
            </w:pPr>
            <w:r w:rsidRPr="00093FC6">
              <w:rPr>
                <w:rFonts w:cs="Times New Roman"/>
                <w:sz w:val="20"/>
                <w:szCs w:val="20"/>
              </w:rPr>
              <w:t>51</w:t>
            </w:r>
          </w:p>
        </w:tc>
      </w:tr>
      <w:tr w:rsidRPr="001B614D" w:rsidR="00093FC6" w:rsidTr="0070531A" w14:paraId="2C49CE58" w14:textId="77777777">
        <w:trPr>
          <w:trHeight w:val="300"/>
        </w:trPr>
        <w:tc>
          <w:tcPr>
            <w:tcW w:w="2127" w:type="dxa"/>
            <w:shd w:val="clear" w:color="auto" w:fill="auto"/>
            <w:noWrap/>
            <w:vAlign w:val="center"/>
            <w:hideMark/>
          </w:tcPr>
          <w:p w:rsidRPr="00D24E5F" w:rsidR="00093FC6" w:rsidP="00763E80" w:rsidRDefault="00093FC6" w14:paraId="3135C509" w14:textId="77777777">
            <w:pPr>
              <w:spacing w:before="20" w:after="20"/>
              <w:rPr>
                <w:rFonts w:eastAsia="Times New Roman" w:cs="Times New Roman"/>
                <w:color w:val="000000"/>
                <w:sz w:val="20"/>
                <w:szCs w:val="20"/>
                <w:lang w:eastAsia="en-GB"/>
              </w:rPr>
            </w:pPr>
            <w:r w:rsidRPr="00D24E5F">
              <w:rPr>
                <w:rFonts w:eastAsia="Times New Roman" w:cs="Times New Roman"/>
                <w:color w:val="000000"/>
                <w:sz w:val="20"/>
                <w:szCs w:val="20"/>
                <w:lang w:eastAsia="en-GB"/>
              </w:rPr>
              <w:t>A/AFRICA</w:t>
            </w:r>
          </w:p>
        </w:tc>
        <w:tc>
          <w:tcPr>
            <w:tcW w:w="616" w:type="dxa"/>
            <w:shd w:val="clear" w:color="auto" w:fill="auto"/>
            <w:noWrap/>
            <w:hideMark/>
          </w:tcPr>
          <w:p w:rsidRPr="00093FC6" w:rsidR="00093FC6" w:rsidP="00763E80" w:rsidRDefault="00093FC6" w14:paraId="76D4B26C" w14:textId="5D50D14F">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58CDD65D" w14:textId="7D928AED">
            <w:pPr>
              <w:spacing w:before="20" w:after="20"/>
              <w:jc w:val="center"/>
              <w:rPr>
                <w:rFonts w:eastAsia="Times New Roman" w:cs="Times New Roman"/>
                <w:color w:val="000000"/>
                <w:sz w:val="20"/>
                <w:szCs w:val="20"/>
                <w:lang w:eastAsia="en-GB"/>
              </w:rPr>
            </w:pPr>
            <w:r w:rsidRPr="00093FC6">
              <w:rPr>
                <w:rFonts w:cs="Times New Roman"/>
                <w:sz w:val="20"/>
                <w:szCs w:val="20"/>
              </w:rPr>
              <w:t>4</w:t>
            </w:r>
          </w:p>
        </w:tc>
        <w:tc>
          <w:tcPr>
            <w:tcW w:w="616" w:type="dxa"/>
            <w:shd w:val="clear" w:color="auto" w:fill="auto"/>
            <w:noWrap/>
            <w:hideMark/>
          </w:tcPr>
          <w:p w:rsidRPr="00093FC6" w:rsidR="00093FC6" w:rsidP="00763E80" w:rsidRDefault="00093FC6" w14:paraId="6BA594CF" w14:textId="6E4089AC">
            <w:pPr>
              <w:spacing w:before="20" w:after="20"/>
              <w:jc w:val="center"/>
              <w:rPr>
                <w:rFonts w:eastAsia="Times New Roman" w:cs="Times New Roman"/>
                <w:color w:val="000000"/>
                <w:sz w:val="20"/>
                <w:szCs w:val="20"/>
                <w:lang w:eastAsia="en-GB"/>
              </w:rPr>
            </w:pPr>
            <w:r w:rsidRPr="00093FC6">
              <w:rPr>
                <w:rFonts w:cs="Times New Roman"/>
                <w:sz w:val="20"/>
                <w:szCs w:val="20"/>
              </w:rPr>
              <w:t>8</w:t>
            </w:r>
          </w:p>
        </w:tc>
        <w:tc>
          <w:tcPr>
            <w:tcW w:w="616" w:type="dxa"/>
            <w:shd w:val="clear" w:color="auto" w:fill="auto"/>
            <w:noWrap/>
            <w:hideMark/>
          </w:tcPr>
          <w:p w:rsidRPr="00093FC6" w:rsidR="00093FC6" w:rsidP="00763E80" w:rsidRDefault="00093FC6" w14:paraId="4A4AC009" w14:textId="23021843">
            <w:pPr>
              <w:spacing w:before="20" w:after="20"/>
              <w:jc w:val="center"/>
              <w:rPr>
                <w:rFonts w:eastAsia="Times New Roman" w:cs="Times New Roman"/>
                <w:color w:val="000000"/>
                <w:sz w:val="20"/>
                <w:szCs w:val="20"/>
                <w:lang w:eastAsia="en-GB"/>
              </w:rPr>
            </w:pPr>
            <w:r w:rsidRPr="00093FC6">
              <w:rPr>
                <w:rFonts w:cs="Times New Roman"/>
                <w:sz w:val="20"/>
                <w:szCs w:val="20"/>
              </w:rPr>
              <w:t>11</w:t>
            </w:r>
          </w:p>
        </w:tc>
        <w:tc>
          <w:tcPr>
            <w:tcW w:w="616" w:type="dxa"/>
            <w:shd w:val="clear" w:color="auto" w:fill="auto"/>
            <w:noWrap/>
            <w:hideMark/>
          </w:tcPr>
          <w:p w:rsidRPr="00093FC6" w:rsidR="00093FC6" w:rsidP="00763E80" w:rsidRDefault="00093FC6" w14:paraId="30B5F668" w14:textId="431601E2">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4FBAC527" w14:textId="12CD64F1">
            <w:pPr>
              <w:spacing w:before="20" w:after="20"/>
              <w:jc w:val="center"/>
              <w:rPr>
                <w:rFonts w:eastAsia="Times New Roman" w:cs="Times New Roman"/>
                <w:color w:val="000000"/>
                <w:sz w:val="20"/>
                <w:szCs w:val="20"/>
                <w:lang w:eastAsia="en-GB"/>
              </w:rPr>
            </w:pPr>
            <w:r w:rsidRPr="00093FC6">
              <w:rPr>
                <w:rFonts w:cs="Times New Roman"/>
                <w:sz w:val="20"/>
                <w:szCs w:val="20"/>
              </w:rPr>
              <w:t>2</w:t>
            </w:r>
          </w:p>
        </w:tc>
        <w:tc>
          <w:tcPr>
            <w:tcW w:w="616" w:type="dxa"/>
            <w:shd w:val="clear" w:color="auto" w:fill="auto"/>
            <w:noWrap/>
            <w:hideMark/>
          </w:tcPr>
          <w:p w:rsidRPr="00093FC6" w:rsidR="00093FC6" w:rsidP="00763E80" w:rsidRDefault="00093FC6" w14:paraId="4B2A4D0C" w14:textId="40F50087">
            <w:pPr>
              <w:spacing w:before="20" w:after="20"/>
              <w:jc w:val="center"/>
              <w:rPr>
                <w:rFonts w:eastAsia="Times New Roman" w:cs="Times New Roman"/>
                <w:color w:val="000000"/>
                <w:sz w:val="20"/>
                <w:szCs w:val="20"/>
                <w:lang w:eastAsia="en-GB"/>
              </w:rPr>
            </w:pPr>
            <w:r w:rsidRPr="00093FC6">
              <w:rPr>
                <w:rFonts w:cs="Times New Roman"/>
                <w:sz w:val="20"/>
                <w:szCs w:val="20"/>
              </w:rPr>
              <w:t>2</w:t>
            </w:r>
          </w:p>
        </w:tc>
        <w:tc>
          <w:tcPr>
            <w:tcW w:w="616" w:type="dxa"/>
            <w:shd w:val="clear" w:color="auto" w:fill="auto"/>
            <w:noWrap/>
            <w:hideMark/>
          </w:tcPr>
          <w:p w:rsidRPr="00093FC6" w:rsidR="00093FC6" w:rsidP="00763E80" w:rsidRDefault="00093FC6" w14:paraId="30DAA412" w14:textId="41BE65CE">
            <w:pPr>
              <w:spacing w:before="20" w:after="20"/>
              <w:jc w:val="center"/>
              <w:rPr>
                <w:rFonts w:eastAsia="Times New Roman" w:cs="Times New Roman"/>
                <w:color w:val="000000"/>
                <w:sz w:val="20"/>
                <w:szCs w:val="20"/>
                <w:lang w:eastAsia="en-GB"/>
              </w:rPr>
            </w:pPr>
            <w:r w:rsidRPr="00093FC6">
              <w:rPr>
                <w:rFonts w:cs="Times New Roman"/>
                <w:sz w:val="20"/>
                <w:szCs w:val="20"/>
              </w:rPr>
              <w:t>7</w:t>
            </w:r>
          </w:p>
        </w:tc>
        <w:tc>
          <w:tcPr>
            <w:tcW w:w="616" w:type="dxa"/>
            <w:shd w:val="clear" w:color="auto" w:fill="auto"/>
            <w:noWrap/>
            <w:hideMark/>
          </w:tcPr>
          <w:p w:rsidRPr="00093FC6" w:rsidR="00093FC6" w:rsidP="00763E80" w:rsidRDefault="00093FC6" w14:paraId="4ED510CB" w14:textId="03A009EB">
            <w:pPr>
              <w:spacing w:before="20" w:after="20"/>
              <w:jc w:val="center"/>
              <w:rPr>
                <w:rFonts w:eastAsia="Times New Roman" w:cs="Times New Roman"/>
                <w:color w:val="000000"/>
                <w:sz w:val="20"/>
                <w:szCs w:val="20"/>
                <w:lang w:eastAsia="en-GB"/>
              </w:rPr>
            </w:pPr>
            <w:r w:rsidRPr="00093FC6">
              <w:rPr>
                <w:rFonts w:cs="Times New Roman"/>
                <w:sz w:val="20"/>
                <w:szCs w:val="20"/>
              </w:rPr>
              <w:t>11</w:t>
            </w:r>
          </w:p>
        </w:tc>
        <w:tc>
          <w:tcPr>
            <w:tcW w:w="616" w:type="dxa"/>
            <w:shd w:val="clear" w:color="auto" w:fill="auto"/>
            <w:noWrap/>
            <w:hideMark/>
          </w:tcPr>
          <w:p w:rsidRPr="00093FC6" w:rsidR="00093FC6" w:rsidP="00763E80" w:rsidRDefault="00093FC6" w14:paraId="5EF215CF" w14:textId="4CFF7C20">
            <w:pPr>
              <w:spacing w:before="20" w:after="20"/>
              <w:jc w:val="center"/>
              <w:rPr>
                <w:rFonts w:eastAsia="Times New Roman" w:cs="Times New Roman"/>
                <w:color w:val="000000"/>
                <w:sz w:val="20"/>
                <w:szCs w:val="20"/>
                <w:lang w:eastAsia="en-GB"/>
              </w:rPr>
            </w:pPr>
            <w:r w:rsidRPr="00093FC6">
              <w:rPr>
                <w:rFonts w:cs="Times New Roman"/>
                <w:sz w:val="20"/>
                <w:szCs w:val="20"/>
              </w:rPr>
              <w:t>3</w:t>
            </w:r>
          </w:p>
        </w:tc>
        <w:tc>
          <w:tcPr>
            <w:tcW w:w="697" w:type="dxa"/>
            <w:shd w:val="clear" w:color="auto" w:fill="auto"/>
            <w:noWrap/>
            <w:hideMark/>
          </w:tcPr>
          <w:p w:rsidRPr="00093FC6" w:rsidR="00093FC6" w:rsidP="00763E80" w:rsidRDefault="00093FC6" w14:paraId="083B8CC8" w14:textId="28CA95A4">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6F947B51" w14:textId="471908C2">
            <w:pPr>
              <w:spacing w:before="20" w:after="20"/>
              <w:jc w:val="center"/>
              <w:rPr>
                <w:rFonts w:eastAsia="Times New Roman" w:cs="Times New Roman"/>
                <w:color w:val="000000"/>
                <w:sz w:val="20"/>
                <w:szCs w:val="20"/>
                <w:lang w:eastAsia="en-GB"/>
              </w:rPr>
            </w:pPr>
            <w:r w:rsidRPr="00093FC6">
              <w:rPr>
                <w:rFonts w:cs="Times New Roman"/>
                <w:sz w:val="20"/>
                <w:szCs w:val="20"/>
              </w:rPr>
              <w:t>1</w:t>
            </w:r>
          </w:p>
        </w:tc>
        <w:tc>
          <w:tcPr>
            <w:tcW w:w="639" w:type="dxa"/>
          </w:tcPr>
          <w:p w:rsidRPr="00093FC6" w:rsidR="00093FC6" w:rsidP="00763E80" w:rsidRDefault="00093FC6" w14:paraId="2E4BC824" w14:textId="7818F706">
            <w:pPr>
              <w:spacing w:before="20" w:after="20"/>
              <w:jc w:val="center"/>
              <w:rPr>
                <w:rFonts w:eastAsia="Times New Roman" w:cs="Times New Roman"/>
                <w:color w:val="000000"/>
                <w:sz w:val="20"/>
                <w:szCs w:val="20"/>
                <w:lang w:eastAsia="en-GB"/>
              </w:rPr>
            </w:pPr>
            <w:r w:rsidRPr="00093FC6">
              <w:rPr>
                <w:rFonts w:cs="Times New Roman"/>
                <w:sz w:val="20"/>
                <w:szCs w:val="20"/>
              </w:rPr>
              <w:t>49</w:t>
            </w:r>
          </w:p>
        </w:tc>
      </w:tr>
      <w:tr w:rsidRPr="001B614D" w:rsidR="00093FC6" w:rsidTr="0070531A" w14:paraId="3F7782BD" w14:textId="77777777">
        <w:trPr>
          <w:trHeight w:val="300"/>
        </w:trPr>
        <w:tc>
          <w:tcPr>
            <w:tcW w:w="2127" w:type="dxa"/>
            <w:shd w:val="clear" w:color="auto" w:fill="auto"/>
            <w:noWrap/>
            <w:vAlign w:val="center"/>
            <w:hideMark/>
          </w:tcPr>
          <w:p w:rsidRPr="00D24E5F" w:rsidR="00093FC6" w:rsidP="00763E80" w:rsidRDefault="00093FC6" w14:paraId="267DC177" w14:textId="77777777">
            <w:pPr>
              <w:spacing w:before="20" w:after="20"/>
              <w:rPr>
                <w:rFonts w:eastAsia="Times New Roman" w:cs="Times New Roman"/>
                <w:color w:val="000000"/>
                <w:sz w:val="20"/>
                <w:szCs w:val="20"/>
                <w:lang w:eastAsia="en-GB"/>
              </w:rPr>
            </w:pPr>
            <w:r w:rsidRPr="00D24E5F">
              <w:rPr>
                <w:rFonts w:eastAsia="Times New Roman" w:cs="Times New Roman"/>
                <w:color w:val="000000"/>
                <w:sz w:val="20"/>
                <w:szCs w:val="20"/>
                <w:lang w:eastAsia="en-GB"/>
              </w:rPr>
              <w:t>A/ASIA/G-VII</w:t>
            </w:r>
          </w:p>
        </w:tc>
        <w:tc>
          <w:tcPr>
            <w:tcW w:w="616" w:type="dxa"/>
            <w:shd w:val="clear" w:color="auto" w:fill="auto"/>
            <w:noWrap/>
            <w:hideMark/>
          </w:tcPr>
          <w:p w:rsidRPr="00093FC6" w:rsidR="00093FC6" w:rsidP="00763E80" w:rsidRDefault="00093FC6" w14:paraId="4173AE40" w14:textId="03CDAC81">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0DF093B0" w14:textId="61647841">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615E7085" w14:textId="7E338D63">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7F0F973F" w14:textId="7035E2F7">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142A5289" w14:textId="694987BE">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36AD14FB" w14:textId="4CC79F26">
            <w:pPr>
              <w:spacing w:before="20" w:after="20"/>
              <w:jc w:val="center"/>
              <w:rPr>
                <w:rFonts w:eastAsia="Times New Roman" w:cs="Times New Roman"/>
                <w:color w:val="000000"/>
                <w:sz w:val="20"/>
                <w:szCs w:val="20"/>
                <w:lang w:eastAsia="en-GB"/>
              </w:rPr>
            </w:pPr>
            <w:r w:rsidRPr="00093FC6">
              <w:rPr>
                <w:rFonts w:cs="Times New Roman"/>
                <w:sz w:val="20"/>
                <w:szCs w:val="20"/>
              </w:rPr>
              <w:t>5</w:t>
            </w:r>
          </w:p>
        </w:tc>
        <w:tc>
          <w:tcPr>
            <w:tcW w:w="616" w:type="dxa"/>
            <w:shd w:val="clear" w:color="auto" w:fill="auto"/>
            <w:noWrap/>
            <w:hideMark/>
          </w:tcPr>
          <w:p w:rsidRPr="00093FC6" w:rsidR="00093FC6" w:rsidP="00763E80" w:rsidRDefault="00093FC6" w14:paraId="290AB867" w14:textId="7B77C38D">
            <w:pPr>
              <w:spacing w:before="20" w:after="20"/>
              <w:jc w:val="center"/>
              <w:rPr>
                <w:rFonts w:eastAsia="Times New Roman" w:cs="Times New Roman"/>
                <w:color w:val="000000"/>
                <w:sz w:val="20"/>
                <w:szCs w:val="20"/>
                <w:lang w:eastAsia="en-GB"/>
              </w:rPr>
            </w:pPr>
            <w:r w:rsidRPr="00093FC6">
              <w:rPr>
                <w:rFonts w:cs="Times New Roman"/>
                <w:sz w:val="20"/>
                <w:szCs w:val="20"/>
              </w:rPr>
              <w:t>4</w:t>
            </w:r>
          </w:p>
        </w:tc>
        <w:tc>
          <w:tcPr>
            <w:tcW w:w="616" w:type="dxa"/>
            <w:shd w:val="clear" w:color="auto" w:fill="auto"/>
            <w:noWrap/>
            <w:hideMark/>
          </w:tcPr>
          <w:p w:rsidRPr="00093FC6" w:rsidR="00093FC6" w:rsidP="00763E80" w:rsidRDefault="00093FC6" w14:paraId="1B510B61" w14:textId="5E1AF9EE">
            <w:pPr>
              <w:spacing w:before="20" w:after="20"/>
              <w:jc w:val="center"/>
              <w:rPr>
                <w:rFonts w:eastAsia="Times New Roman" w:cs="Times New Roman"/>
                <w:color w:val="000000"/>
                <w:sz w:val="20"/>
                <w:szCs w:val="20"/>
                <w:lang w:eastAsia="en-GB"/>
              </w:rPr>
            </w:pPr>
            <w:r w:rsidRPr="00093FC6">
              <w:rPr>
                <w:rFonts w:cs="Times New Roman"/>
                <w:sz w:val="20"/>
                <w:szCs w:val="20"/>
              </w:rPr>
              <w:t>9</w:t>
            </w:r>
          </w:p>
        </w:tc>
        <w:tc>
          <w:tcPr>
            <w:tcW w:w="616" w:type="dxa"/>
            <w:shd w:val="clear" w:color="auto" w:fill="auto"/>
            <w:noWrap/>
            <w:hideMark/>
          </w:tcPr>
          <w:p w:rsidRPr="00093FC6" w:rsidR="00093FC6" w:rsidP="00763E80" w:rsidRDefault="00093FC6" w14:paraId="0F2E586A" w14:textId="4577D7F1">
            <w:pPr>
              <w:spacing w:before="20" w:after="20"/>
              <w:jc w:val="center"/>
              <w:rPr>
                <w:rFonts w:eastAsia="Times New Roman" w:cs="Times New Roman"/>
                <w:color w:val="000000"/>
                <w:sz w:val="20"/>
                <w:szCs w:val="20"/>
                <w:lang w:eastAsia="en-GB"/>
              </w:rPr>
            </w:pPr>
            <w:r w:rsidRPr="00093FC6">
              <w:rPr>
                <w:rFonts w:cs="Times New Roman"/>
                <w:sz w:val="20"/>
                <w:szCs w:val="20"/>
              </w:rPr>
              <w:t>1</w:t>
            </w:r>
          </w:p>
        </w:tc>
        <w:tc>
          <w:tcPr>
            <w:tcW w:w="616" w:type="dxa"/>
            <w:shd w:val="clear" w:color="auto" w:fill="auto"/>
            <w:noWrap/>
            <w:hideMark/>
          </w:tcPr>
          <w:p w:rsidRPr="00093FC6" w:rsidR="00093FC6" w:rsidP="00763E80" w:rsidRDefault="00093FC6" w14:paraId="00029BA0" w14:textId="311718D5">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97" w:type="dxa"/>
            <w:shd w:val="clear" w:color="auto" w:fill="auto"/>
            <w:noWrap/>
            <w:hideMark/>
          </w:tcPr>
          <w:p w:rsidRPr="00093FC6" w:rsidR="00093FC6" w:rsidP="00763E80" w:rsidRDefault="00093FC6" w14:paraId="7F18F6AE" w14:textId="2003386C">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7BBC5BD5" w14:textId="0BFF680A">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39" w:type="dxa"/>
          </w:tcPr>
          <w:p w:rsidRPr="00093FC6" w:rsidR="00093FC6" w:rsidP="00763E80" w:rsidRDefault="00093FC6" w14:paraId="041BF44B" w14:textId="1DD45614">
            <w:pPr>
              <w:spacing w:before="20" w:after="20"/>
              <w:jc w:val="center"/>
              <w:rPr>
                <w:rFonts w:eastAsia="Times New Roman" w:cs="Times New Roman"/>
                <w:color w:val="000000"/>
                <w:sz w:val="20"/>
                <w:szCs w:val="20"/>
                <w:lang w:eastAsia="en-GB"/>
              </w:rPr>
            </w:pPr>
            <w:r w:rsidRPr="00093FC6">
              <w:rPr>
                <w:rFonts w:cs="Times New Roman"/>
                <w:sz w:val="20"/>
                <w:szCs w:val="20"/>
              </w:rPr>
              <w:t>19</w:t>
            </w:r>
          </w:p>
        </w:tc>
      </w:tr>
      <w:tr w:rsidRPr="001B614D" w:rsidR="00093FC6" w:rsidTr="0070531A" w14:paraId="67D6CA5F" w14:textId="77777777">
        <w:trPr>
          <w:trHeight w:val="300"/>
        </w:trPr>
        <w:tc>
          <w:tcPr>
            <w:tcW w:w="2127" w:type="dxa"/>
            <w:shd w:val="clear" w:color="auto" w:fill="auto"/>
            <w:noWrap/>
            <w:vAlign w:val="center"/>
            <w:hideMark/>
          </w:tcPr>
          <w:p w:rsidRPr="00D24E5F" w:rsidR="00093FC6" w:rsidP="00763E80" w:rsidRDefault="00093FC6" w14:paraId="66DF6DEA" w14:textId="77777777">
            <w:pPr>
              <w:spacing w:before="20" w:after="20"/>
              <w:rPr>
                <w:rFonts w:eastAsia="Times New Roman" w:cs="Times New Roman"/>
                <w:color w:val="000000"/>
                <w:sz w:val="20"/>
                <w:szCs w:val="20"/>
                <w:lang w:eastAsia="en-GB"/>
              </w:rPr>
            </w:pPr>
            <w:r w:rsidRPr="00D24E5F">
              <w:rPr>
                <w:rFonts w:eastAsia="Times New Roman" w:cs="Times New Roman"/>
                <w:color w:val="000000"/>
                <w:sz w:val="20"/>
                <w:szCs w:val="20"/>
                <w:lang w:eastAsia="en-GB"/>
              </w:rPr>
              <w:t>A/ASIA/Iran-05</w:t>
            </w:r>
          </w:p>
        </w:tc>
        <w:tc>
          <w:tcPr>
            <w:tcW w:w="616" w:type="dxa"/>
            <w:shd w:val="clear" w:color="auto" w:fill="auto"/>
            <w:noWrap/>
            <w:hideMark/>
          </w:tcPr>
          <w:p w:rsidRPr="00093FC6" w:rsidR="00093FC6" w:rsidP="00763E80" w:rsidRDefault="00093FC6" w14:paraId="2488A15F" w14:textId="215E2E14">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28A37A8D" w14:textId="56895523">
            <w:pPr>
              <w:spacing w:before="20" w:after="20"/>
              <w:jc w:val="center"/>
              <w:rPr>
                <w:rFonts w:eastAsia="Times New Roman" w:cs="Times New Roman"/>
                <w:color w:val="000000"/>
                <w:sz w:val="20"/>
                <w:szCs w:val="20"/>
                <w:lang w:eastAsia="en-GB"/>
              </w:rPr>
            </w:pPr>
            <w:r w:rsidRPr="00093FC6">
              <w:rPr>
                <w:rFonts w:cs="Times New Roman"/>
                <w:sz w:val="20"/>
                <w:szCs w:val="20"/>
              </w:rPr>
              <w:t>16</w:t>
            </w:r>
          </w:p>
        </w:tc>
        <w:tc>
          <w:tcPr>
            <w:tcW w:w="616" w:type="dxa"/>
            <w:shd w:val="clear" w:color="auto" w:fill="auto"/>
            <w:noWrap/>
            <w:hideMark/>
          </w:tcPr>
          <w:p w:rsidRPr="00093FC6" w:rsidR="00093FC6" w:rsidP="00763E80" w:rsidRDefault="00093FC6" w14:paraId="22A1402D" w14:textId="6004D7D4">
            <w:pPr>
              <w:spacing w:before="20" w:after="20"/>
              <w:jc w:val="center"/>
              <w:rPr>
                <w:rFonts w:eastAsia="Times New Roman" w:cs="Times New Roman"/>
                <w:color w:val="000000"/>
                <w:sz w:val="20"/>
                <w:szCs w:val="20"/>
                <w:lang w:eastAsia="en-GB"/>
              </w:rPr>
            </w:pPr>
            <w:r w:rsidRPr="00093FC6">
              <w:rPr>
                <w:rFonts w:cs="Times New Roman"/>
                <w:sz w:val="20"/>
                <w:szCs w:val="20"/>
              </w:rPr>
              <w:t>12</w:t>
            </w:r>
          </w:p>
        </w:tc>
        <w:tc>
          <w:tcPr>
            <w:tcW w:w="616" w:type="dxa"/>
            <w:shd w:val="clear" w:color="auto" w:fill="auto"/>
            <w:noWrap/>
            <w:hideMark/>
          </w:tcPr>
          <w:p w:rsidRPr="00093FC6" w:rsidR="00093FC6" w:rsidP="00763E80" w:rsidRDefault="00093FC6" w14:paraId="1F27C6BB" w14:textId="7902DC5E">
            <w:pPr>
              <w:spacing w:before="20" w:after="20"/>
              <w:jc w:val="center"/>
              <w:rPr>
                <w:rFonts w:eastAsia="Times New Roman" w:cs="Times New Roman"/>
                <w:color w:val="000000"/>
                <w:sz w:val="20"/>
                <w:szCs w:val="20"/>
                <w:lang w:eastAsia="en-GB"/>
              </w:rPr>
            </w:pPr>
            <w:r w:rsidRPr="00093FC6">
              <w:rPr>
                <w:rFonts w:cs="Times New Roman"/>
                <w:sz w:val="20"/>
                <w:szCs w:val="20"/>
              </w:rPr>
              <w:t>18</w:t>
            </w:r>
          </w:p>
        </w:tc>
        <w:tc>
          <w:tcPr>
            <w:tcW w:w="616" w:type="dxa"/>
            <w:shd w:val="clear" w:color="auto" w:fill="auto"/>
            <w:noWrap/>
            <w:hideMark/>
          </w:tcPr>
          <w:p w:rsidRPr="00093FC6" w:rsidR="00093FC6" w:rsidP="00763E80" w:rsidRDefault="00093FC6" w14:paraId="53FFB93E" w14:textId="3992EE77">
            <w:pPr>
              <w:spacing w:before="20" w:after="20"/>
              <w:jc w:val="center"/>
              <w:rPr>
                <w:rFonts w:eastAsia="Times New Roman" w:cs="Times New Roman"/>
                <w:color w:val="000000"/>
                <w:sz w:val="20"/>
                <w:szCs w:val="20"/>
                <w:lang w:eastAsia="en-GB"/>
              </w:rPr>
            </w:pPr>
            <w:r w:rsidRPr="00093FC6">
              <w:rPr>
                <w:rFonts w:cs="Times New Roman"/>
                <w:sz w:val="20"/>
                <w:szCs w:val="20"/>
              </w:rPr>
              <w:t>9</w:t>
            </w:r>
          </w:p>
        </w:tc>
        <w:tc>
          <w:tcPr>
            <w:tcW w:w="616" w:type="dxa"/>
            <w:shd w:val="clear" w:color="auto" w:fill="auto"/>
            <w:noWrap/>
            <w:hideMark/>
          </w:tcPr>
          <w:p w:rsidRPr="00093FC6" w:rsidR="00093FC6" w:rsidP="00763E80" w:rsidRDefault="00093FC6" w14:paraId="14725A0A" w14:textId="41D7C582">
            <w:pPr>
              <w:spacing w:before="20" w:after="20"/>
              <w:jc w:val="center"/>
              <w:rPr>
                <w:rFonts w:eastAsia="Times New Roman" w:cs="Times New Roman"/>
                <w:color w:val="000000"/>
                <w:sz w:val="20"/>
                <w:szCs w:val="20"/>
                <w:lang w:eastAsia="en-GB"/>
              </w:rPr>
            </w:pPr>
            <w:r w:rsidRPr="00093FC6">
              <w:rPr>
                <w:rFonts w:cs="Times New Roman"/>
                <w:sz w:val="20"/>
                <w:szCs w:val="20"/>
              </w:rPr>
              <w:t>9</w:t>
            </w:r>
          </w:p>
        </w:tc>
        <w:tc>
          <w:tcPr>
            <w:tcW w:w="616" w:type="dxa"/>
            <w:shd w:val="clear" w:color="auto" w:fill="auto"/>
            <w:noWrap/>
            <w:hideMark/>
          </w:tcPr>
          <w:p w:rsidRPr="00093FC6" w:rsidR="00093FC6" w:rsidP="00763E80" w:rsidRDefault="00093FC6" w14:paraId="01F4F54C" w14:textId="39898B67">
            <w:pPr>
              <w:spacing w:before="20" w:after="20"/>
              <w:jc w:val="center"/>
              <w:rPr>
                <w:rFonts w:eastAsia="Times New Roman" w:cs="Times New Roman"/>
                <w:color w:val="000000"/>
                <w:sz w:val="20"/>
                <w:szCs w:val="20"/>
                <w:lang w:eastAsia="en-GB"/>
              </w:rPr>
            </w:pPr>
            <w:r w:rsidRPr="00093FC6">
              <w:rPr>
                <w:rFonts w:cs="Times New Roman"/>
                <w:sz w:val="20"/>
                <w:szCs w:val="20"/>
              </w:rPr>
              <w:t>4</w:t>
            </w:r>
          </w:p>
        </w:tc>
        <w:tc>
          <w:tcPr>
            <w:tcW w:w="616" w:type="dxa"/>
            <w:shd w:val="clear" w:color="auto" w:fill="auto"/>
            <w:noWrap/>
            <w:hideMark/>
          </w:tcPr>
          <w:p w:rsidRPr="00093FC6" w:rsidR="00093FC6" w:rsidP="00763E80" w:rsidRDefault="00093FC6" w14:paraId="2D7318E9" w14:textId="15F59076">
            <w:pPr>
              <w:spacing w:before="20" w:after="20"/>
              <w:jc w:val="center"/>
              <w:rPr>
                <w:rFonts w:eastAsia="Times New Roman" w:cs="Times New Roman"/>
                <w:color w:val="000000"/>
                <w:sz w:val="20"/>
                <w:szCs w:val="20"/>
                <w:lang w:eastAsia="en-GB"/>
              </w:rPr>
            </w:pPr>
            <w:r w:rsidRPr="00093FC6">
              <w:rPr>
                <w:rFonts w:cs="Times New Roman"/>
                <w:sz w:val="20"/>
                <w:szCs w:val="20"/>
              </w:rPr>
              <w:t>7</w:t>
            </w:r>
          </w:p>
        </w:tc>
        <w:tc>
          <w:tcPr>
            <w:tcW w:w="616" w:type="dxa"/>
            <w:shd w:val="clear" w:color="auto" w:fill="auto"/>
            <w:noWrap/>
            <w:hideMark/>
          </w:tcPr>
          <w:p w:rsidRPr="00093FC6" w:rsidR="00093FC6" w:rsidP="00763E80" w:rsidRDefault="00093FC6" w14:paraId="338F743F" w14:textId="70FBA992">
            <w:pPr>
              <w:spacing w:before="20" w:after="20"/>
              <w:jc w:val="center"/>
              <w:rPr>
                <w:rFonts w:eastAsia="Times New Roman" w:cs="Times New Roman"/>
                <w:color w:val="000000"/>
                <w:sz w:val="20"/>
                <w:szCs w:val="20"/>
                <w:lang w:eastAsia="en-GB"/>
              </w:rPr>
            </w:pPr>
            <w:r w:rsidRPr="00093FC6">
              <w:rPr>
                <w:rFonts w:cs="Times New Roman"/>
                <w:sz w:val="20"/>
                <w:szCs w:val="20"/>
              </w:rPr>
              <w:t>3</w:t>
            </w:r>
          </w:p>
        </w:tc>
        <w:tc>
          <w:tcPr>
            <w:tcW w:w="616" w:type="dxa"/>
            <w:shd w:val="clear" w:color="auto" w:fill="auto"/>
            <w:noWrap/>
            <w:hideMark/>
          </w:tcPr>
          <w:p w:rsidRPr="00093FC6" w:rsidR="00093FC6" w:rsidP="00763E80" w:rsidRDefault="00093FC6" w14:paraId="216B57F3" w14:textId="38517AA4">
            <w:pPr>
              <w:spacing w:before="20" w:after="20"/>
              <w:jc w:val="center"/>
              <w:rPr>
                <w:rFonts w:eastAsia="Times New Roman" w:cs="Times New Roman"/>
                <w:color w:val="000000"/>
                <w:sz w:val="20"/>
                <w:szCs w:val="20"/>
                <w:lang w:eastAsia="en-GB"/>
              </w:rPr>
            </w:pPr>
            <w:r w:rsidRPr="00093FC6">
              <w:rPr>
                <w:rFonts w:cs="Times New Roman"/>
                <w:sz w:val="20"/>
                <w:szCs w:val="20"/>
              </w:rPr>
              <w:t>2</w:t>
            </w:r>
          </w:p>
        </w:tc>
        <w:tc>
          <w:tcPr>
            <w:tcW w:w="697" w:type="dxa"/>
            <w:shd w:val="clear" w:color="auto" w:fill="auto"/>
            <w:noWrap/>
            <w:hideMark/>
          </w:tcPr>
          <w:p w:rsidRPr="00093FC6" w:rsidR="00093FC6" w:rsidP="00763E80" w:rsidRDefault="00093FC6" w14:paraId="2E19CE8F" w14:textId="672B5454">
            <w:pPr>
              <w:spacing w:before="20" w:after="20"/>
              <w:jc w:val="center"/>
              <w:rPr>
                <w:rFonts w:eastAsia="Times New Roman" w:cs="Times New Roman"/>
                <w:color w:val="000000"/>
                <w:sz w:val="20"/>
                <w:szCs w:val="20"/>
                <w:lang w:eastAsia="en-GB"/>
              </w:rPr>
            </w:pPr>
            <w:r w:rsidRPr="00093FC6">
              <w:rPr>
                <w:rFonts w:cs="Times New Roman"/>
                <w:sz w:val="20"/>
                <w:szCs w:val="20"/>
              </w:rPr>
              <w:t>2</w:t>
            </w:r>
          </w:p>
        </w:tc>
        <w:tc>
          <w:tcPr>
            <w:tcW w:w="616" w:type="dxa"/>
            <w:shd w:val="clear" w:color="auto" w:fill="auto"/>
            <w:noWrap/>
            <w:hideMark/>
          </w:tcPr>
          <w:p w:rsidRPr="00093FC6" w:rsidR="00093FC6" w:rsidP="00763E80" w:rsidRDefault="00093FC6" w14:paraId="2F161027" w14:textId="6867E608">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39" w:type="dxa"/>
          </w:tcPr>
          <w:p w:rsidRPr="00093FC6" w:rsidR="00093FC6" w:rsidP="00763E80" w:rsidRDefault="00093FC6" w14:paraId="7C767797" w14:textId="527AE8DC">
            <w:pPr>
              <w:spacing w:before="20" w:after="20"/>
              <w:jc w:val="center"/>
              <w:rPr>
                <w:rFonts w:eastAsia="Times New Roman" w:cs="Times New Roman"/>
                <w:color w:val="000000"/>
                <w:sz w:val="20"/>
                <w:szCs w:val="20"/>
                <w:lang w:eastAsia="en-GB"/>
              </w:rPr>
            </w:pPr>
            <w:r w:rsidRPr="00093FC6">
              <w:rPr>
                <w:rFonts w:cs="Times New Roman"/>
                <w:sz w:val="20"/>
                <w:szCs w:val="20"/>
              </w:rPr>
              <w:t>82</w:t>
            </w:r>
          </w:p>
        </w:tc>
      </w:tr>
      <w:tr w:rsidRPr="001B614D" w:rsidR="00093FC6" w:rsidTr="0070531A" w14:paraId="2BF819D0" w14:textId="77777777">
        <w:trPr>
          <w:trHeight w:val="300"/>
        </w:trPr>
        <w:tc>
          <w:tcPr>
            <w:tcW w:w="2127" w:type="dxa"/>
            <w:shd w:val="clear" w:color="auto" w:fill="auto"/>
            <w:noWrap/>
            <w:vAlign w:val="center"/>
            <w:hideMark/>
          </w:tcPr>
          <w:p w:rsidRPr="00D24E5F" w:rsidR="00093FC6" w:rsidP="00763E80" w:rsidRDefault="00093FC6" w14:paraId="361E9BB8" w14:textId="77777777">
            <w:pPr>
              <w:spacing w:before="20" w:after="20"/>
              <w:rPr>
                <w:rFonts w:eastAsia="Times New Roman" w:cs="Times New Roman"/>
                <w:color w:val="000000"/>
                <w:sz w:val="20"/>
                <w:szCs w:val="20"/>
                <w:lang w:eastAsia="en-GB"/>
              </w:rPr>
            </w:pPr>
            <w:r w:rsidRPr="00D24E5F">
              <w:rPr>
                <w:rFonts w:eastAsia="Times New Roman" w:cs="Times New Roman"/>
                <w:color w:val="000000"/>
                <w:sz w:val="20"/>
                <w:szCs w:val="20"/>
                <w:lang w:eastAsia="en-GB"/>
              </w:rPr>
              <w:t>A/ASIA/Sea-97</w:t>
            </w:r>
          </w:p>
        </w:tc>
        <w:tc>
          <w:tcPr>
            <w:tcW w:w="616" w:type="dxa"/>
            <w:shd w:val="clear" w:color="auto" w:fill="auto"/>
            <w:noWrap/>
            <w:hideMark/>
          </w:tcPr>
          <w:p w:rsidRPr="00093FC6" w:rsidR="00093FC6" w:rsidP="00763E80" w:rsidRDefault="00093FC6" w14:paraId="4F48A953" w14:textId="63577493">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3194B9EF" w14:textId="425317BA">
            <w:pPr>
              <w:spacing w:before="20" w:after="20"/>
              <w:jc w:val="center"/>
              <w:rPr>
                <w:rFonts w:eastAsia="Times New Roman" w:cs="Times New Roman"/>
                <w:color w:val="000000"/>
                <w:sz w:val="20"/>
                <w:szCs w:val="20"/>
                <w:lang w:eastAsia="en-GB"/>
              </w:rPr>
            </w:pPr>
            <w:r w:rsidRPr="00093FC6">
              <w:rPr>
                <w:rFonts w:cs="Times New Roman"/>
                <w:sz w:val="20"/>
                <w:szCs w:val="20"/>
              </w:rPr>
              <w:t>4</w:t>
            </w:r>
          </w:p>
        </w:tc>
        <w:tc>
          <w:tcPr>
            <w:tcW w:w="616" w:type="dxa"/>
            <w:shd w:val="clear" w:color="auto" w:fill="auto"/>
            <w:noWrap/>
            <w:hideMark/>
          </w:tcPr>
          <w:p w:rsidRPr="00093FC6" w:rsidR="00093FC6" w:rsidP="00763E80" w:rsidRDefault="00093FC6" w14:paraId="31ADC511" w14:textId="197BC779">
            <w:pPr>
              <w:spacing w:before="20" w:after="20"/>
              <w:jc w:val="center"/>
              <w:rPr>
                <w:rFonts w:eastAsia="Times New Roman" w:cs="Times New Roman"/>
                <w:color w:val="000000"/>
                <w:sz w:val="20"/>
                <w:szCs w:val="20"/>
                <w:lang w:eastAsia="en-GB"/>
              </w:rPr>
            </w:pPr>
            <w:r w:rsidRPr="00093FC6">
              <w:rPr>
                <w:rFonts w:cs="Times New Roman"/>
                <w:sz w:val="20"/>
                <w:szCs w:val="20"/>
              </w:rPr>
              <w:t>8</w:t>
            </w:r>
          </w:p>
        </w:tc>
        <w:tc>
          <w:tcPr>
            <w:tcW w:w="616" w:type="dxa"/>
            <w:shd w:val="clear" w:color="auto" w:fill="auto"/>
            <w:noWrap/>
            <w:hideMark/>
          </w:tcPr>
          <w:p w:rsidRPr="00093FC6" w:rsidR="00093FC6" w:rsidP="00763E80" w:rsidRDefault="00093FC6" w14:paraId="726DDC56" w14:textId="684DB9DF">
            <w:pPr>
              <w:spacing w:before="20" w:after="20"/>
              <w:jc w:val="center"/>
              <w:rPr>
                <w:rFonts w:eastAsia="Times New Roman" w:cs="Times New Roman"/>
                <w:color w:val="000000"/>
                <w:sz w:val="20"/>
                <w:szCs w:val="20"/>
                <w:lang w:eastAsia="en-GB"/>
              </w:rPr>
            </w:pPr>
            <w:r w:rsidRPr="00093FC6">
              <w:rPr>
                <w:rFonts w:cs="Times New Roman"/>
                <w:sz w:val="20"/>
                <w:szCs w:val="20"/>
              </w:rPr>
              <w:t>11</w:t>
            </w:r>
          </w:p>
        </w:tc>
        <w:tc>
          <w:tcPr>
            <w:tcW w:w="616" w:type="dxa"/>
            <w:shd w:val="clear" w:color="auto" w:fill="auto"/>
            <w:noWrap/>
            <w:hideMark/>
          </w:tcPr>
          <w:p w:rsidRPr="00093FC6" w:rsidR="00093FC6" w:rsidP="00763E80" w:rsidRDefault="00093FC6" w14:paraId="7BAAD429" w14:textId="2858DEBB">
            <w:pPr>
              <w:spacing w:before="20" w:after="20"/>
              <w:jc w:val="center"/>
              <w:rPr>
                <w:rFonts w:eastAsia="Times New Roman" w:cs="Times New Roman"/>
                <w:color w:val="000000"/>
                <w:sz w:val="20"/>
                <w:szCs w:val="20"/>
                <w:lang w:eastAsia="en-GB"/>
              </w:rPr>
            </w:pPr>
            <w:r w:rsidRPr="00093FC6">
              <w:rPr>
                <w:rFonts w:cs="Times New Roman"/>
                <w:sz w:val="20"/>
                <w:szCs w:val="20"/>
              </w:rPr>
              <w:t>4</w:t>
            </w:r>
          </w:p>
        </w:tc>
        <w:tc>
          <w:tcPr>
            <w:tcW w:w="616" w:type="dxa"/>
            <w:shd w:val="clear" w:color="auto" w:fill="auto"/>
            <w:noWrap/>
            <w:hideMark/>
          </w:tcPr>
          <w:p w:rsidRPr="00093FC6" w:rsidR="00093FC6" w:rsidP="00763E80" w:rsidRDefault="00093FC6" w14:paraId="639A3216" w14:textId="708E4ADD">
            <w:pPr>
              <w:spacing w:before="20" w:after="20"/>
              <w:jc w:val="center"/>
              <w:rPr>
                <w:rFonts w:eastAsia="Times New Roman" w:cs="Times New Roman"/>
                <w:color w:val="000000"/>
                <w:sz w:val="20"/>
                <w:szCs w:val="20"/>
                <w:lang w:eastAsia="en-GB"/>
              </w:rPr>
            </w:pPr>
            <w:r w:rsidRPr="00093FC6">
              <w:rPr>
                <w:rFonts w:cs="Times New Roman"/>
                <w:sz w:val="20"/>
                <w:szCs w:val="20"/>
              </w:rPr>
              <w:t>12</w:t>
            </w:r>
          </w:p>
        </w:tc>
        <w:tc>
          <w:tcPr>
            <w:tcW w:w="616" w:type="dxa"/>
            <w:shd w:val="clear" w:color="auto" w:fill="auto"/>
            <w:noWrap/>
            <w:hideMark/>
          </w:tcPr>
          <w:p w:rsidRPr="00093FC6" w:rsidR="00093FC6" w:rsidP="00763E80" w:rsidRDefault="00093FC6" w14:paraId="2D806650" w14:textId="75F38A0D">
            <w:pPr>
              <w:spacing w:before="20" w:after="20"/>
              <w:jc w:val="center"/>
              <w:rPr>
                <w:rFonts w:eastAsia="Times New Roman" w:cs="Times New Roman"/>
                <w:color w:val="000000"/>
                <w:sz w:val="20"/>
                <w:szCs w:val="20"/>
                <w:lang w:eastAsia="en-GB"/>
              </w:rPr>
            </w:pPr>
            <w:r w:rsidRPr="00093FC6">
              <w:rPr>
                <w:rFonts w:cs="Times New Roman"/>
                <w:sz w:val="20"/>
                <w:szCs w:val="20"/>
              </w:rPr>
              <w:t>11</w:t>
            </w:r>
          </w:p>
        </w:tc>
        <w:tc>
          <w:tcPr>
            <w:tcW w:w="616" w:type="dxa"/>
            <w:shd w:val="clear" w:color="auto" w:fill="auto"/>
            <w:noWrap/>
            <w:hideMark/>
          </w:tcPr>
          <w:p w:rsidRPr="00093FC6" w:rsidR="00093FC6" w:rsidP="00763E80" w:rsidRDefault="00093FC6" w14:paraId="31E1C941" w14:textId="044AD4F4">
            <w:pPr>
              <w:spacing w:before="20" w:after="20"/>
              <w:jc w:val="center"/>
              <w:rPr>
                <w:rFonts w:eastAsia="Times New Roman" w:cs="Times New Roman"/>
                <w:color w:val="000000"/>
                <w:sz w:val="20"/>
                <w:szCs w:val="20"/>
                <w:lang w:eastAsia="en-GB"/>
              </w:rPr>
            </w:pPr>
            <w:r w:rsidRPr="00093FC6">
              <w:rPr>
                <w:rFonts w:cs="Times New Roman"/>
                <w:sz w:val="20"/>
                <w:szCs w:val="20"/>
              </w:rPr>
              <w:t>6</w:t>
            </w:r>
          </w:p>
        </w:tc>
        <w:tc>
          <w:tcPr>
            <w:tcW w:w="616" w:type="dxa"/>
            <w:shd w:val="clear" w:color="auto" w:fill="auto"/>
            <w:noWrap/>
            <w:hideMark/>
          </w:tcPr>
          <w:p w:rsidRPr="00093FC6" w:rsidR="00093FC6" w:rsidP="00763E80" w:rsidRDefault="00093FC6" w14:paraId="3DF29350" w14:textId="143125A3">
            <w:pPr>
              <w:spacing w:before="20" w:after="20"/>
              <w:jc w:val="center"/>
              <w:rPr>
                <w:rFonts w:eastAsia="Times New Roman" w:cs="Times New Roman"/>
                <w:color w:val="000000"/>
                <w:sz w:val="20"/>
                <w:szCs w:val="20"/>
                <w:lang w:eastAsia="en-GB"/>
              </w:rPr>
            </w:pPr>
            <w:r w:rsidRPr="00093FC6">
              <w:rPr>
                <w:rFonts w:cs="Times New Roman"/>
                <w:sz w:val="20"/>
                <w:szCs w:val="20"/>
              </w:rPr>
              <w:t>1</w:t>
            </w:r>
          </w:p>
        </w:tc>
        <w:tc>
          <w:tcPr>
            <w:tcW w:w="616" w:type="dxa"/>
            <w:shd w:val="clear" w:color="auto" w:fill="auto"/>
            <w:noWrap/>
            <w:hideMark/>
          </w:tcPr>
          <w:p w:rsidRPr="00093FC6" w:rsidR="00093FC6" w:rsidP="00763E80" w:rsidRDefault="00093FC6" w14:paraId="1E0A2F98" w14:textId="375C6FB5">
            <w:pPr>
              <w:spacing w:before="20" w:after="20"/>
              <w:jc w:val="center"/>
              <w:rPr>
                <w:rFonts w:eastAsia="Times New Roman" w:cs="Times New Roman"/>
                <w:color w:val="000000"/>
                <w:sz w:val="20"/>
                <w:szCs w:val="20"/>
                <w:lang w:eastAsia="en-GB"/>
              </w:rPr>
            </w:pPr>
            <w:r w:rsidRPr="00093FC6">
              <w:rPr>
                <w:rFonts w:cs="Times New Roman"/>
                <w:sz w:val="20"/>
                <w:szCs w:val="20"/>
              </w:rPr>
              <w:t>4</w:t>
            </w:r>
          </w:p>
        </w:tc>
        <w:tc>
          <w:tcPr>
            <w:tcW w:w="697" w:type="dxa"/>
            <w:shd w:val="clear" w:color="auto" w:fill="auto"/>
            <w:noWrap/>
            <w:hideMark/>
          </w:tcPr>
          <w:p w:rsidRPr="00093FC6" w:rsidR="00093FC6" w:rsidP="00763E80" w:rsidRDefault="00093FC6" w14:paraId="07D0914B" w14:textId="6D985B3A">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6762B120" w14:textId="12C30095">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39" w:type="dxa"/>
          </w:tcPr>
          <w:p w:rsidRPr="00093FC6" w:rsidR="00093FC6" w:rsidP="00763E80" w:rsidRDefault="00093FC6" w14:paraId="50321262" w14:textId="5D306966">
            <w:pPr>
              <w:spacing w:before="20" w:after="20"/>
              <w:jc w:val="center"/>
              <w:rPr>
                <w:rFonts w:eastAsia="Times New Roman" w:cs="Times New Roman"/>
                <w:color w:val="000000"/>
                <w:sz w:val="20"/>
                <w:szCs w:val="20"/>
                <w:lang w:eastAsia="en-GB"/>
              </w:rPr>
            </w:pPr>
            <w:r w:rsidRPr="00093FC6">
              <w:rPr>
                <w:rFonts w:cs="Times New Roman"/>
                <w:sz w:val="20"/>
                <w:szCs w:val="20"/>
              </w:rPr>
              <w:t>61</w:t>
            </w:r>
          </w:p>
        </w:tc>
      </w:tr>
      <w:tr w:rsidRPr="001B614D" w:rsidR="00093FC6" w:rsidTr="0070531A" w14:paraId="61DFACF4" w14:textId="77777777">
        <w:trPr>
          <w:trHeight w:val="300"/>
        </w:trPr>
        <w:tc>
          <w:tcPr>
            <w:tcW w:w="2127" w:type="dxa"/>
            <w:shd w:val="clear" w:color="auto" w:fill="auto"/>
            <w:noWrap/>
            <w:vAlign w:val="center"/>
            <w:hideMark/>
          </w:tcPr>
          <w:p w:rsidRPr="00D24E5F" w:rsidR="00093FC6" w:rsidP="00763E80" w:rsidRDefault="00093FC6" w14:paraId="6802FCBA" w14:textId="77777777">
            <w:pPr>
              <w:spacing w:before="20" w:after="20"/>
              <w:rPr>
                <w:rFonts w:eastAsia="Times New Roman" w:cs="Times New Roman"/>
                <w:color w:val="000000"/>
                <w:sz w:val="20"/>
                <w:szCs w:val="20"/>
                <w:lang w:eastAsia="en-GB"/>
              </w:rPr>
            </w:pPr>
            <w:r w:rsidRPr="00D24E5F">
              <w:rPr>
                <w:rFonts w:eastAsia="Times New Roman" w:cs="Times New Roman"/>
                <w:color w:val="000000"/>
                <w:sz w:val="20"/>
                <w:szCs w:val="20"/>
                <w:lang w:eastAsia="en-GB"/>
              </w:rPr>
              <w:t>A/EURO-SA</w:t>
            </w:r>
          </w:p>
        </w:tc>
        <w:tc>
          <w:tcPr>
            <w:tcW w:w="616" w:type="dxa"/>
            <w:shd w:val="clear" w:color="auto" w:fill="auto"/>
            <w:noWrap/>
            <w:hideMark/>
          </w:tcPr>
          <w:p w:rsidRPr="00093FC6" w:rsidR="00093FC6" w:rsidP="00763E80" w:rsidRDefault="00093FC6" w14:paraId="55A6664D" w14:textId="650E5EEB">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6BAF860A" w14:textId="33B644AE">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47B62751" w14:textId="21BC6EEB">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320F27AB" w14:textId="491A0139">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0A718B6A" w14:textId="745A3B60">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40FE0F24" w14:textId="0108276F">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6D97A34E" w14:textId="39A94C6B">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6D60CF42" w14:textId="33D21DFC">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35FC14C8" w14:textId="6E9C5EC3">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22B61599" w14:textId="2521B322">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97" w:type="dxa"/>
            <w:shd w:val="clear" w:color="auto" w:fill="auto"/>
            <w:noWrap/>
            <w:hideMark/>
          </w:tcPr>
          <w:p w:rsidRPr="00093FC6" w:rsidR="00093FC6" w:rsidP="00763E80" w:rsidRDefault="00093FC6" w14:paraId="3E67595C" w14:textId="2A6D602C">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1DDC02E7" w14:textId="01393A8E">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39" w:type="dxa"/>
          </w:tcPr>
          <w:p w:rsidRPr="00093FC6" w:rsidR="00093FC6" w:rsidP="00763E80" w:rsidRDefault="00093FC6" w14:paraId="1C6821A6" w14:textId="7EF0DEE5">
            <w:pPr>
              <w:spacing w:before="20" w:after="20"/>
              <w:jc w:val="center"/>
              <w:rPr>
                <w:rFonts w:eastAsia="Times New Roman" w:cs="Times New Roman"/>
                <w:color w:val="000000"/>
                <w:sz w:val="20"/>
                <w:szCs w:val="20"/>
                <w:lang w:eastAsia="en-GB"/>
              </w:rPr>
            </w:pPr>
            <w:r w:rsidRPr="00093FC6">
              <w:rPr>
                <w:rFonts w:cs="Times New Roman"/>
                <w:sz w:val="20"/>
                <w:szCs w:val="20"/>
              </w:rPr>
              <w:t>0</w:t>
            </w:r>
          </w:p>
        </w:tc>
      </w:tr>
      <w:tr w:rsidRPr="001B614D" w:rsidR="00093FC6" w:rsidTr="0070531A" w14:paraId="3131E668" w14:textId="77777777">
        <w:trPr>
          <w:trHeight w:val="300"/>
        </w:trPr>
        <w:tc>
          <w:tcPr>
            <w:tcW w:w="2127" w:type="dxa"/>
            <w:shd w:val="clear" w:color="auto" w:fill="auto"/>
            <w:noWrap/>
            <w:vAlign w:val="center"/>
            <w:hideMark/>
          </w:tcPr>
          <w:p w:rsidRPr="00D24E5F" w:rsidR="00093FC6" w:rsidP="00763E80" w:rsidRDefault="00093FC6" w14:paraId="5CFAE9B3" w14:textId="77777777">
            <w:pPr>
              <w:spacing w:before="20" w:after="20"/>
              <w:rPr>
                <w:rFonts w:eastAsia="Times New Roman" w:cs="Times New Roman"/>
                <w:color w:val="000000"/>
                <w:sz w:val="20"/>
                <w:szCs w:val="20"/>
                <w:lang w:eastAsia="en-GB"/>
              </w:rPr>
            </w:pPr>
            <w:r w:rsidRPr="00D24E5F">
              <w:rPr>
                <w:rFonts w:eastAsia="Times New Roman" w:cs="Times New Roman"/>
                <w:color w:val="000000"/>
                <w:sz w:val="20"/>
                <w:szCs w:val="20"/>
                <w:lang w:eastAsia="en-GB"/>
              </w:rPr>
              <w:t>Asia 1</w:t>
            </w:r>
          </w:p>
        </w:tc>
        <w:tc>
          <w:tcPr>
            <w:tcW w:w="616" w:type="dxa"/>
            <w:shd w:val="clear" w:color="auto" w:fill="auto"/>
            <w:noWrap/>
            <w:hideMark/>
          </w:tcPr>
          <w:p w:rsidRPr="00093FC6" w:rsidR="00093FC6" w:rsidP="00763E80" w:rsidRDefault="00093FC6" w14:paraId="20E468CC" w14:textId="207DD4C1">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75951BBE" w14:textId="3AC9EDED">
            <w:pPr>
              <w:spacing w:before="20" w:after="20"/>
              <w:jc w:val="center"/>
              <w:rPr>
                <w:rFonts w:eastAsia="Times New Roman" w:cs="Times New Roman"/>
                <w:color w:val="000000"/>
                <w:sz w:val="20"/>
                <w:szCs w:val="20"/>
                <w:lang w:eastAsia="en-GB"/>
              </w:rPr>
            </w:pPr>
            <w:r w:rsidRPr="00093FC6">
              <w:rPr>
                <w:rFonts w:cs="Times New Roman"/>
                <w:sz w:val="20"/>
                <w:szCs w:val="20"/>
              </w:rPr>
              <w:t>18</w:t>
            </w:r>
          </w:p>
        </w:tc>
        <w:tc>
          <w:tcPr>
            <w:tcW w:w="616" w:type="dxa"/>
            <w:shd w:val="clear" w:color="auto" w:fill="auto"/>
            <w:noWrap/>
            <w:hideMark/>
          </w:tcPr>
          <w:p w:rsidRPr="00093FC6" w:rsidR="00093FC6" w:rsidP="00763E80" w:rsidRDefault="00093FC6" w14:paraId="74564CB8" w14:textId="3703BEA8">
            <w:pPr>
              <w:spacing w:before="20" w:after="20"/>
              <w:jc w:val="center"/>
              <w:rPr>
                <w:rFonts w:eastAsia="Times New Roman" w:cs="Times New Roman"/>
                <w:color w:val="000000"/>
                <w:sz w:val="20"/>
                <w:szCs w:val="20"/>
                <w:lang w:eastAsia="en-GB"/>
              </w:rPr>
            </w:pPr>
            <w:r w:rsidRPr="00093FC6">
              <w:rPr>
                <w:rFonts w:cs="Times New Roman"/>
                <w:sz w:val="20"/>
                <w:szCs w:val="20"/>
              </w:rPr>
              <w:t>12</w:t>
            </w:r>
          </w:p>
        </w:tc>
        <w:tc>
          <w:tcPr>
            <w:tcW w:w="616" w:type="dxa"/>
            <w:shd w:val="clear" w:color="auto" w:fill="auto"/>
            <w:noWrap/>
            <w:hideMark/>
          </w:tcPr>
          <w:p w:rsidRPr="00093FC6" w:rsidR="00093FC6" w:rsidP="00763E80" w:rsidRDefault="00093FC6" w14:paraId="2DCA230F" w14:textId="52B428B8">
            <w:pPr>
              <w:spacing w:before="20" w:after="20"/>
              <w:jc w:val="center"/>
              <w:rPr>
                <w:rFonts w:eastAsia="Times New Roman" w:cs="Times New Roman"/>
                <w:color w:val="000000"/>
                <w:sz w:val="20"/>
                <w:szCs w:val="20"/>
                <w:lang w:eastAsia="en-GB"/>
              </w:rPr>
            </w:pPr>
            <w:r w:rsidRPr="00093FC6">
              <w:rPr>
                <w:rFonts w:cs="Times New Roman"/>
                <w:sz w:val="20"/>
                <w:szCs w:val="20"/>
              </w:rPr>
              <w:t>5</w:t>
            </w:r>
          </w:p>
        </w:tc>
        <w:tc>
          <w:tcPr>
            <w:tcW w:w="616" w:type="dxa"/>
            <w:shd w:val="clear" w:color="auto" w:fill="auto"/>
            <w:noWrap/>
            <w:hideMark/>
          </w:tcPr>
          <w:p w:rsidRPr="00093FC6" w:rsidR="00093FC6" w:rsidP="00763E80" w:rsidRDefault="00093FC6" w14:paraId="3EAFC5CC" w14:textId="439FDAD0">
            <w:pPr>
              <w:spacing w:before="20" w:after="20"/>
              <w:jc w:val="center"/>
              <w:rPr>
                <w:rFonts w:eastAsia="Times New Roman" w:cs="Times New Roman"/>
                <w:color w:val="000000"/>
                <w:sz w:val="20"/>
                <w:szCs w:val="20"/>
                <w:lang w:eastAsia="en-GB"/>
              </w:rPr>
            </w:pPr>
            <w:r w:rsidRPr="00093FC6">
              <w:rPr>
                <w:rFonts w:cs="Times New Roman"/>
                <w:sz w:val="20"/>
                <w:szCs w:val="20"/>
              </w:rPr>
              <w:t>7</w:t>
            </w:r>
          </w:p>
        </w:tc>
        <w:tc>
          <w:tcPr>
            <w:tcW w:w="616" w:type="dxa"/>
            <w:shd w:val="clear" w:color="auto" w:fill="auto"/>
            <w:noWrap/>
            <w:hideMark/>
          </w:tcPr>
          <w:p w:rsidRPr="00093FC6" w:rsidR="00093FC6" w:rsidP="00763E80" w:rsidRDefault="00093FC6" w14:paraId="78440AA8" w14:textId="45633B0E">
            <w:pPr>
              <w:spacing w:before="20" w:after="20"/>
              <w:jc w:val="center"/>
              <w:rPr>
                <w:rFonts w:eastAsia="Times New Roman" w:cs="Times New Roman"/>
                <w:color w:val="000000"/>
                <w:sz w:val="20"/>
                <w:szCs w:val="20"/>
                <w:lang w:eastAsia="en-GB"/>
              </w:rPr>
            </w:pPr>
            <w:r w:rsidRPr="00093FC6">
              <w:rPr>
                <w:rFonts w:cs="Times New Roman"/>
                <w:sz w:val="20"/>
                <w:szCs w:val="20"/>
              </w:rPr>
              <w:t>6</w:t>
            </w:r>
          </w:p>
        </w:tc>
        <w:tc>
          <w:tcPr>
            <w:tcW w:w="616" w:type="dxa"/>
            <w:shd w:val="clear" w:color="auto" w:fill="auto"/>
            <w:noWrap/>
            <w:hideMark/>
          </w:tcPr>
          <w:p w:rsidRPr="00093FC6" w:rsidR="00093FC6" w:rsidP="00763E80" w:rsidRDefault="00093FC6" w14:paraId="6559D048" w14:textId="6AC04A3B">
            <w:pPr>
              <w:spacing w:before="20" w:after="20"/>
              <w:jc w:val="center"/>
              <w:rPr>
                <w:rFonts w:eastAsia="Times New Roman" w:cs="Times New Roman"/>
                <w:color w:val="000000"/>
                <w:sz w:val="20"/>
                <w:szCs w:val="20"/>
                <w:lang w:eastAsia="en-GB"/>
              </w:rPr>
            </w:pPr>
            <w:r w:rsidRPr="00093FC6">
              <w:rPr>
                <w:rFonts w:cs="Times New Roman"/>
                <w:sz w:val="20"/>
                <w:szCs w:val="20"/>
              </w:rPr>
              <w:t>3</w:t>
            </w:r>
          </w:p>
        </w:tc>
        <w:tc>
          <w:tcPr>
            <w:tcW w:w="616" w:type="dxa"/>
            <w:shd w:val="clear" w:color="auto" w:fill="auto"/>
            <w:noWrap/>
            <w:hideMark/>
          </w:tcPr>
          <w:p w:rsidRPr="00093FC6" w:rsidR="00093FC6" w:rsidP="00763E80" w:rsidRDefault="00093FC6" w14:paraId="419840BC" w14:textId="2D04FA9D">
            <w:pPr>
              <w:spacing w:before="20" w:after="20"/>
              <w:jc w:val="center"/>
              <w:rPr>
                <w:rFonts w:eastAsia="Times New Roman" w:cs="Times New Roman"/>
                <w:color w:val="000000"/>
                <w:sz w:val="20"/>
                <w:szCs w:val="20"/>
                <w:lang w:eastAsia="en-GB"/>
              </w:rPr>
            </w:pPr>
            <w:r w:rsidRPr="00093FC6">
              <w:rPr>
                <w:rFonts w:cs="Times New Roman"/>
                <w:sz w:val="20"/>
                <w:szCs w:val="20"/>
              </w:rPr>
              <w:t>6</w:t>
            </w:r>
          </w:p>
        </w:tc>
        <w:tc>
          <w:tcPr>
            <w:tcW w:w="616" w:type="dxa"/>
            <w:shd w:val="clear" w:color="auto" w:fill="auto"/>
            <w:noWrap/>
            <w:hideMark/>
          </w:tcPr>
          <w:p w:rsidRPr="00093FC6" w:rsidR="00093FC6" w:rsidP="00763E80" w:rsidRDefault="00093FC6" w14:paraId="08F83954" w14:textId="66B2A8FB">
            <w:pPr>
              <w:spacing w:before="20" w:after="20"/>
              <w:jc w:val="center"/>
              <w:rPr>
                <w:rFonts w:eastAsia="Times New Roman" w:cs="Times New Roman"/>
                <w:color w:val="000000"/>
                <w:sz w:val="20"/>
                <w:szCs w:val="20"/>
                <w:lang w:eastAsia="en-GB"/>
              </w:rPr>
            </w:pPr>
            <w:r w:rsidRPr="00093FC6">
              <w:rPr>
                <w:rFonts w:cs="Times New Roman"/>
                <w:sz w:val="20"/>
                <w:szCs w:val="20"/>
              </w:rPr>
              <w:t>2</w:t>
            </w:r>
          </w:p>
        </w:tc>
        <w:tc>
          <w:tcPr>
            <w:tcW w:w="616" w:type="dxa"/>
            <w:shd w:val="clear" w:color="auto" w:fill="auto"/>
            <w:noWrap/>
            <w:hideMark/>
          </w:tcPr>
          <w:p w:rsidRPr="00093FC6" w:rsidR="00093FC6" w:rsidP="00763E80" w:rsidRDefault="00093FC6" w14:paraId="35BBF481" w14:textId="5B748E2D">
            <w:pPr>
              <w:spacing w:before="20" w:after="20"/>
              <w:jc w:val="center"/>
              <w:rPr>
                <w:rFonts w:eastAsia="Times New Roman" w:cs="Times New Roman"/>
                <w:color w:val="000000"/>
                <w:sz w:val="20"/>
                <w:szCs w:val="20"/>
                <w:lang w:eastAsia="en-GB"/>
              </w:rPr>
            </w:pPr>
            <w:r w:rsidRPr="00093FC6">
              <w:rPr>
                <w:rFonts w:cs="Times New Roman"/>
                <w:sz w:val="20"/>
                <w:szCs w:val="20"/>
              </w:rPr>
              <w:t>4</w:t>
            </w:r>
          </w:p>
        </w:tc>
        <w:tc>
          <w:tcPr>
            <w:tcW w:w="697" w:type="dxa"/>
            <w:shd w:val="clear" w:color="auto" w:fill="auto"/>
            <w:noWrap/>
            <w:hideMark/>
          </w:tcPr>
          <w:p w:rsidRPr="00093FC6" w:rsidR="00093FC6" w:rsidP="00763E80" w:rsidRDefault="00093FC6" w14:paraId="069FBA0E" w14:textId="29C21A97">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38B15F9D" w14:textId="35A89264">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39" w:type="dxa"/>
          </w:tcPr>
          <w:p w:rsidRPr="00093FC6" w:rsidR="00093FC6" w:rsidP="00763E80" w:rsidRDefault="00093FC6" w14:paraId="07ADCA2D" w14:textId="18EAA55D">
            <w:pPr>
              <w:spacing w:before="20" w:after="20"/>
              <w:jc w:val="center"/>
              <w:rPr>
                <w:rFonts w:eastAsia="Times New Roman" w:cs="Times New Roman"/>
                <w:color w:val="000000"/>
                <w:sz w:val="20"/>
                <w:szCs w:val="20"/>
                <w:lang w:eastAsia="en-GB"/>
              </w:rPr>
            </w:pPr>
            <w:r w:rsidRPr="00093FC6">
              <w:rPr>
                <w:rFonts w:cs="Times New Roman"/>
                <w:sz w:val="20"/>
                <w:szCs w:val="20"/>
              </w:rPr>
              <w:t>63</w:t>
            </w:r>
          </w:p>
        </w:tc>
      </w:tr>
      <w:tr w:rsidRPr="001B614D" w:rsidR="00093FC6" w:rsidTr="0070531A" w14:paraId="759F96FE" w14:textId="77777777">
        <w:trPr>
          <w:trHeight w:val="300"/>
        </w:trPr>
        <w:tc>
          <w:tcPr>
            <w:tcW w:w="2127" w:type="dxa"/>
            <w:shd w:val="clear" w:color="auto" w:fill="auto"/>
            <w:noWrap/>
            <w:vAlign w:val="center"/>
            <w:hideMark/>
          </w:tcPr>
          <w:p w:rsidRPr="00D24E5F" w:rsidR="00093FC6" w:rsidP="00763E80" w:rsidRDefault="00093FC6" w14:paraId="6260F740" w14:textId="77777777">
            <w:pPr>
              <w:spacing w:before="20" w:after="20"/>
              <w:rPr>
                <w:rFonts w:eastAsia="Times New Roman" w:cs="Times New Roman"/>
                <w:color w:val="000000"/>
                <w:sz w:val="20"/>
                <w:szCs w:val="20"/>
                <w:lang w:eastAsia="en-GB"/>
              </w:rPr>
            </w:pPr>
            <w:r w:rsidRPr="00D24E5F">
              <w:rPr>
                <w:rFonts w:eastAsia="Times New Roman" w:cs="Times New Roman"/>
                <w:color w:val="000000"/>
                <w:sz w:val="20"/>
                <w:szCs w:val="20"/>
                <w:lang w:eastAsia="en-GB"/>
              </w:rPr>
              <w:t>SAT 1</w:t>
            </w:r>
          </w:p>
        </w:tc>
        <w:tc>
          <w:tcPr>
            <w:tcW w:w="616" w:type="dxa"/>
            <w:shd w:val="clear" w:color="auto" w:fill="auto"/>
            <w:noWrap/>
            <w:hideMark/>
          </w:tcPr>
          <w:p w:rsidRPr="00093FC6" w:rsidR="00093FC6" w:rsidP="00763E80" w:rsidRDefault="00093FC6" w14:paraId="3CFA396D" w14:textId="53133132">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6679E901" w14:textId="6B54E24F">
            <w:pPr>
              <w:spacing w:before="20" w:after="20"/>
              <w:jc w:val="center"/>
              <w:rPr>
                <w:rFonts w:eastAsia="Times New Roman" w:cs="Times New Roman"/>
                <w:color w:val="000000"/>
                <w:sz w:val="20"/>
                <w:szCs w:val="20"/>
                <w:lang w:eastAsia="en-GB"/>
              </w:rPr>
            </w:pPr>
            <w:r w:rsidRPr="00093FC6">
              <w:rPr>
                <w:rFonts w:cs="Times New Roman"/>
                <w:sz w:val="20"/>
                <w:szCs w:val="20"/>
              </w:rPr>
              <w:t>2</w:t>
            </w:r>
          </w:p>
        </w:tc>
        <w:tc>
          <w:tcPr>
            <w:tcW w:w="616" w:type="dxa"/>
            <w:shd w:val="clear" w:color="auto" w:fill="auto"/>
            <w:noWrap/>
            <w:hideMark/>
          </w:tcPr>
          <w:p w:rsidRPr="00093FC6" w:rsidR="00093FC6" w:rsidP="00763E80" w:rsidRDefault="00093FC6" w14:paraId="6DECC678" w14:textId="2E09073D">
            <w:pPr>
              <w:spacing w:before="20" w:after="20"/>
              <w:jc w:val="center"/>
              <w:rPr>
                <w:rFonts w:eastAsia="Times New Roman" w:cs="Times New Roman"/>
                <w:color w:val="000000"/>
                <w:sz w:val="20"/>
                <w:szCs w:val="20"/>
                <w:lang w:eastAsia="en-GB"/>
              </w:rPr>
            </w:pPr>
            <w:r w:rsidRPr="00093FC6">
              <w:rPr>
                <w:rFonts w:cs="Times New Roman"/>
                <w:sz w:val="20"/>
                <w:szCs w:val="20"/>
              </w:rPr>
              <w:t>5</w:t>
            </w:r>
          </w:p>
        </w:tc>
        <w:tc>
          <w:tcPr>
            <w:tcW w:w="616" w:type="dxa"/>
            <w:shd w:val="clear" w:color="auto" w:fill="auto"/>
            <w:noWrap/>
            <w:hideMark/>
          </w:tcPr>
          <w:p w:rsidRPr="00093FC6" w:rsidR="00093FC6" w:rsidP="00763E80" w:rsidRDefault="00093FC6" w14:paraId="2F86D425" w14:textId="3E3BF3F5">
            <w:pPr>
              <w:spacing w:before="20" w:after="20"/>
              <w:jc w:val="center"/>
              <w:rPr>
                <w:rFonts w:eastAsia="Times New Roman" w:cs="Times New Roman"/>
                <w:color w:val="000000"/>
                <w:sz w:val="20"/>
                <w:szCs w:val="20"/>
                <w:lang w:eastAsia="en-GB"/>
              </w:rPr>
            </w:pPr>
            <w:r w:rsidRPr="00093FC6">
              <w:rPr>
                <w:rFonts w:cs="Times New Roman"/>
                <w:sz w:val="20"/>
                <w:szCs w:val="20"/>
              </w:rPr>
              <w:t>5</w:t>
            </w:r>
          </w:p>
        </w:tc>
        <w:tc>
          <w:tcPr>
            <w:tcW w:w="616" w:type="dxa"/>
            <w:shd w:val="clear" w:color="auto" w:fill="auto"/>
            <w:noWrap/>
            <w:hideMark/>
          </w:tcPr>
          <w:p w:rsidRPr="00093FC6" w:rsidR="00093FC6" w:rsidP="00763E80" w:rsidRDefault="00093FC6" w14:paraId="62854E4E" w14:textId="427D7CDC">
            <w:pPr>
              <w:spacing w:before="20" w:after="20"/>
              <w:jc w:val="center"/>
              <w:rPr>
                <w:rFonts w:eastAsia="Times New Roman" w:cs="Times New Roman"/>
                <w:color w:val="000000"/>
                <w:sz w:val="20"/>
                <w:szCs w:val="20"/>
                <w:lang w:eastAsia="en-GB"/>
              </w:rPr>
            </w:pPr>
            <w:r w:rsidRPr="00093FC6">
              <w:rPr>
                <w:rFonts w:cs="Times New Roman"/>
                <w:sz w:val="20"/>
                <w:szCs w:val="20"/>
              </w:rPr>
              <w:t>3</w:t>
            </w:r>
          </w:p>
        </w:tc>
        <w:tc>
          <w:tcPr>
            <w:tcW w:w="616" w:type="dxa"/>
            <w:shd w:val="clear" w:color="auto" w:fill="auto"/>
            <w:noWrap/>
            <w:hideMark/>
          </w:tcPr>
          <w:p w:rsidRPr="00093FC6" w:rsidR="00093FC6" w:rsidP="00763E80" w:rsidRDefault="00093FC6" w14:paraId="2F19EF63" w14:textId="2335470B">
            <w:pPr>
              <w:spacing w:before="20" w:after="20"/>
              <w:jc w:val="center"/>
              <w:rPr>
                <w:rFonts w:eastAsia="Times New Roman" w:cs="Times New Roman"/>
                <w:color w:val="000000"/>
                <w:sz w:val="20"/>
                <w:szCs w:val="20"/>
                <w:lang w:eastAsia="en-GB"/>
              </w:rPr>
            </w:pPr>
            <w:r w:rsidRPr="00093FC6">
              <w:rPr>
                <w:rFonts w:cs="Times New Roman"/>
                <w:sz w:val="20"/>
                <w:szCs w:val="20"/>
              </w:rPr>
              <w:t>9</w:t>
            </w:r>
          </w:p>
        </w:tc>
        <w:tc>
          <w:tcPr>
            <w:tcW w:w="616" w:type="dxa"/>
            <w:shd w:val="clear" w:color="auto" w:fill="auto"/>
            <w:noWrap/>
            <w:hideMark/>
          </w:tcPr>
          <w:p w:rsidRPr="00093FC6" w:rsidR="00093FC6" w:rsidP="00763E80" w:rsidRDefault="00093FC6" w14:paraId="110175C5" w14:textId="04FE99CC">
            <w:pPr>
              <w:spacing w:before="20" w:after="20"/>
              <w:jc w:val="center"/>
              <w:rPr>
                <w:rFonts w:eastAsia="Times New Roman" w:cs="Times New Roman"/>
                <w:color w:val="000000"/>
                <w:sz w:val="20"/>
                <w:szCs w:val="20"/>
                <w:lang w:eastAsia="en-GB"/>
              </w:rPr>
            </w:pPr>
            <w:r w:rsidRPr="00093FC6">
              <w:rPr>
                <w:rFonts w:cs="Times New Roman"/>
                <w:sz w:val="20"/>
                <w:szCs w:val="20"/>
              </w:rPr>
              <w:t>1</w:t>
            </w:r>
          </w:p>
        </w:tc>
        <w:tc>
          <w:tcPr>
            <w:tcW w:w="616" w:type="dxa"/>
            <w:shd w:val="clear" w:color="auto" w:fill="auto"/>
            <w:noWrap/>
            <w:hideMark/>
          </w:tcPr>
          <w:p w:rsidRPr="00093FC6" w:rsidR="00093FC6" w:rsidP="00763E80" w:rsidRDefault="00093FC6" w14:paraId="000FC104" w14:textId="6D0BFFA8">
            <w:pPr>
              <w:spacing w:before="20" w:after="20"/>
              <w:jc w:val="center"/>
              <w:rPr>
                <w:rFonts w:eastAsia="Times New Roman" w:cs="Times New Roman"/>
                <w:color w:val="000000"/>
                <w:sz w:val="20"/>
                <w:szCs w:val="20"/>
                <w:lang w:eastAsia="en-GB"/>
              </w:rPr>
            </w:pPr>
            <w:r w:rsidRPr="00093FC6">
              <w:rPr>
                <w:rFonts w:cs="Times New Roman"/>
                <w:sz w:val="20"/>
                <w:szCs w:val="20"/>
              </w:rPr>
              <w:t>1</w:t>
            </w:r>
          </w:p>
        </w:tc>
        <w:tc>
          <w:tcPr>
            <w:tcW w:w="616" w:type="dxa"/>
            <w:shd w:val="clear" w:color="auto" w:fill="auto"/>
            <w:noWrap/>
            <w:hideMark/>
          </w:tcPr>
          <w:p w:rsidRPr="00093FC6" w:rsidR="00093FC6" w:rsidP="00763E80" w:rsidRDefault="00093FC6" w14:paraId="776C5DA3" w14:textId="5C398C29">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13513659" w14:textId="20BDAB46">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97" w:type="dxa"/>
            <w:shd w:val="clear" w:color="auto" w:fill="auto"/>
            <w:noWrap/>
            <w:hideMark/>
          </w:tcPr>
          <w:p w:rsidRPr="00093FC6" w:rsidR="00093FC6" w:rsidP="00763E80" w:rsidRDefault="00093FC6" w14:paraId="2D9EA676" w14:textId="37618C5F">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3A64C433" w14:textId="6E9547F1">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39" w:type="dxa"/>
          </w:tcPr>
          <w:p w:rsidRPr="00093FC6" w:rsidR="00093FC6" w:rsidP="00763E80" w:rsidRDefault="00093FC6" w14:paraId="46C7AF5F" w14:textId="442C111C">
            <w:pPr>
              <w:spacing w:before="20" w:after="20"/>
              <w:jc w:val="center"/>
              <w:rPr>
                <w:rFonts w:eastAsia="Times New Roman" w:cs="Times New Roman"/>
                <w:color w:val="000000"/>
                <w:sz w:val="20"/>
                <w:szCs w:val="20"/>
                <w:lang w:eastAsia="en-GB"/>
              </w:rPr>
            </w:pPr>
            <w:r w:rsidRPr="00093FC6">
              <w:rPr>
                <w:rFonts w:cs="Times New Roman"/>
                <w:sz w:val="20"/>
                <w:szCs w:val="20"/>
              </w:rPr>
              <w:t>26</w:t>
            </w:r>
          </w:p>
        </w:tc>
      </w:tr>
      <w:tr w:rsidRPr="001B614D" w:rsidR="00093FC6" w:rsidTr="0070531A" w14:paraId="00F04F35" w14:textId="77777777">
        <w:trPr>
          <w:trHeight w:val="300"/>
        </w:trPr>
        <w:tc>
          <w:tcPr>
            <w:tcW w:w="2127" w:type="dxa"/>
            <w:shd w:val="clear" w:color="auto" w:fill="auto"/>
            <w:noWrap/>
            <w:vAlign w:val="center"/>
            <w:hideMark/>
          </w:tcPr>
          <w:p w:rsidRPr="00D24E5F" w:rsidR="00093FC6" w:rsidP="00763E80" w:rsidRDefault="00093FC6" w14:paraId="0670730E" w14:textId="77777777">
            <w:pPr>
              <w:spacing w:before="20" w:after="20"/>
              <w:rPr>
                <w:rFonts w:eastAsia="Times New Roman" w:cs="Times New Roman"/>
                <w:color w:val="000000"/>
                <w:sz w:val="20"/>
                <w:szCs w:val="20"/>
                <w:lang w:eastAsia="en-GB"/>
              </w:rPr>
            </w:pPr>
            <w:r w:rsidRPr="00D24E5F">
              <w:rPr>
                <w:rFonts w:eastAsia="Times New Roman" w:cs="Times New Roman"/>
                <w:color w:val="000000"/>
                <w:sz w:val="20"/>
                <w:szCs w:val="20"/>
                <w:lang w:eastAsia="en-GB"/>
              </w:rPr>
              <w:t>SAT 2</w:t>
            </w:r>
          </w:p>
        </w:tc>
        <w:tc>
          <w:tcPr>
            <w:tcW w:w="616" w:type="dxa"/>
            <w:shd w:val="clear" w:color="auto" w:fill="auto"/>
            <w:noWrap/>
            <w:hideMark/>
          </w:tcPr>
          <w:p w:rsidRPr="00093FC6" w:rsidR="00093FC6" w:rsidP="00763E80" w:rsidRDefault="00093FC6" w14:paraId="22FA9F67" w14:textId="360A7B51">
            <w:pPr>
              <w:spacing w:before="20" w:after="20"/>
              <w:jc w:val="center"/>
              <w:rPr>
                <w:rFonts w:eastAsia="Times New Roman" w:cs="Times New Roman"/>
                <w:color w:val="000000"/>
                <w:sz w:val="20"/>
                <w:szCs w:val="20"/>
                <w:lang w:eastAsia="en-GB"/>
              </w:rPr>
            </w:pPr>
            <w:r w:rsidRPr="00093FC6">
              <w:rPr>
                <w:rFonts w:cs="Times New Roman"/>
                <w:sz w:val="20"/>
                <w:szCs w:val="20"/>
              </w:rPr>
              <w:t>1</w:t>
            </w:r>
          </w:p>
        </w:tc>
        <w:tc>
          <w:tcPr>
            <w:tcW w:w="616" w:type="dxa"/>
            <w:shd w:val="clear" w:color="auto" w:fill="auto"/>
            <w:noWrap/>
            <w:hideMark/>
          </w:tcPr>
          <w:p w:rsidRPr="00093FC6" w:rsidR="00093FC6" w:rsidP="00763E80" w:rsidRDefault="00093FC6" w14:paraId="03C1F88E" w14:textId="149AEE3A">
            <w:pPr>
              <w:spacing w:before="20" w:after="20"/>
              <w:jc w:val="center"/>
              <w:rPr>
                <w:rFonts w:eastAsia="Times New Roman" w:cs="Times New Roman"/>
                <w:color w:val="000000"/>
                <w:sz w:val="20"/>
                <w:szCs w:val="20"/>
                <w:lang w:eastAsia="en-GB"/>
              </w:rPr>
            </w:pPr>
            <w:r w:rsidRPr="00093FC6">
              <w:rPr>
                <w:rFonts w:cs="Times New Roman"/>
                <w:sz w:val="20"/>
                <w:szCs w:val="20"/>
              </w:rPr>
              <w:t>6</w:t>
            </w:r>
          </w:p>
        </w:tc>
        <w:tc>
          <w:tcPr>
            <w:tcW w:w="616" w:type="dxa"/>
            <w:shd w:val="clear" w:color="auto" w:fill="auto"/>
            <w:noWrap/>
            <w:hideMark/>
          </w:tcPr>
          <w:p w:rsidRPr="00093FC6" w:rsidR="00093FC6" w:rsidP="00763E80" w:rsidRDefault="00093FC6" w14:paraId="436913A9" w14:textId="4452CDE8">
            <w:pPr>
              <w:spacing w:before="20" w:after="20"/>
              <w:jc w:val="center"/>
              <w:rPr>
                <w:rFonts w:eastAsia="Times New Roman" w:cs="Times New Roman"/>
                <w:color w:val="000000"/>
                <w:sz w:val="20"/>
                <w:szCs w:val="20"/>
                <w:lang w:eastAsia="en-GB"/>
              </w:rPr>
            </w:pPr>
            <w:r w:rsidRPr="00093FC6">
              <w:rPr>
                <w:rFonts w:cs="Times New Roman"/>
                <w:sz w:val="20"/>
                <w:szCs w:val="20"/>
              </w:rPr>
              <w:t>18</w:t>
            </w:r>
          </w:p>
        </w:tc>
        <w:tc>
          <w:tcPr>
            <w:tcW w:w="616" w:type="dxa"/>
            <w:shd w:val="clear" w:color="auto" w:fill="auto"/>
            <w:noWrap/>
            <w:hideMark/>
          </w:tcPr>
          <w:p w:rsidRPr="00093FC6" w:rsidR="00093FC6" w:rsidP="00763E80" w:rsidRDefault="00093FC6" w14:paraId="31241D73" w14:textId="43DDAC93">
            <w:pPr>
              <w:spacing w:before="20" w:after="20"/>
              <w:jc w:val="center"/>
              <w:rPr>
                <w:rFonts w:eastAsia="Times New Roman" w:cs="Times New Roman"/>
                <w:color w:val="000000"/>
                <w:sz w:val="20"/>
                <w:szCs w:val="20"/>
                <w:lang w:eastAsia="en-GB"/>
              </w:rPr>
            </w:pPr>
            <w:r w:rsidRPr="00093FC6">
              <w:rPr>
                <w:rFonts w:cs="Times New Roman"/>
                <w:sz w:val="20"/>
                <w:szCs w:val="20"/>
              </w:rPr>
              <w:t>2</w:t>
            </w:r>
          </w:p>
        </w:tc>
        <w:tc>
          <w:tcPr>
            <w:tcW w:w="616" w:type="dxa"/>
            <w:shd w:val="clear" w:color="auto" w:fill="auto"/>
            <w:noWrap/>
            <w:hideMark/>
          </w:tcPr>
          <w:p w:rsidRPr="00093FC6" w:rsidR="00093FC6" w:rsidP="00763E80" w:rsidRDefault="00093FC6" w14:paraId="518AA390" w14:textId="69DC5D6F">
            <w:pPr>
              <w:spacing w:before="20" w:after="20"/>
              <w:jc w:val="center"/>
              <w:rPr>
                <w:rFonts w:eastAsia="Times New Roman" w:cs="Times New Roman"/>
                <w:color w:val="000000"/>
                <w:sz w:val="20"/>
                <w:szCs w:val="20"/>
                <w:lang w:eastAsia="en-GB"/>
              </w:rPr>
            </w:pPr>
            <w:r w:rsidRPr="00093FC6">
              <w:rPr>
                <w:rFonts w:cs="Times New Roman"/>
                <w:sz w:val="20"/>
                <w:szCs w:val="20"/>
              </w:rPr>
              <w:t>5</w:t>
            </w:r>
          </w:p>
        </w:tc>
        <w:tc>
          <w:tcPr>
            <w:tcW w:w="616" w:type="dxa"/>
            <w:shd w:val="clear" w:color="auto" w:fill="auto"/>
            <w:noWrap/>
            <w:hideMark/>
          </w:tcPr>
          <w:p w:rsidRPr="00093FC6" w:rsidR="00093FC6" w:rsidP="00763E80" w:rsidRDefault="00093FC6" w14:paraId="4EB19C89" w14:textId="09FE49FB">
            <w:pPr>
              <w:spacing w:before="20" w:after="20"/>
              <w:jc w:val="center"/>
              <w:rPr>
                <w:rFonts w:eastAsia="Times New Roman" w:cs="Times New Roman"/>
                <w:color w:val="000000"/>
                <w:sz w:val="20"/>
                <w:szCs w:val="20"/>
                <w:lang w:eastAsia="en-GB"/>
              </w:rPr>
            </w:pPr>
            <w:r w:rsidRPr="00093FC6">
              <w:rPr>
                <w:rFonts w:cs="Times New Roman"/>
                <w:sz w:val="20"/>
                <w:szCs w:val="20"/>
              </w:rPr>
              <w:t>10</w:t>
            </w:r>
          </w:p>
        </w:tc>
        <w:tc>
          <w:tcPr>
            <w:tcW w:w="616" w:type="dxa"/>
            <w:shd w:val="clear" w:color="auto" w:fill="auto"/>
            <w:noWrap/>
            <w:hideMark/>
          </w:tcPr>
          <w:p w:rsidRPr="00093FC6" w:rsidR="00093FC6" w:rsidP="00763E80" w:rsidRDefault="00093FC6" w14:paraId="0ECF09B7" w14:textId="00917DCB">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shd w:val="clear" w:color="auto" w:fill="auto"/>
            <w:noWrap/>
            <w:hideMark/>
          </w:tcPr>
          <w:p w:rsidRPr="00093FC6" w:rsidR="00093FC6" w:rsidP="00763E80" w:rsidRDefault="00093FC6" w14:paraId="37B47212" w14:textId="7F8A3C9E">
            <w:pPr>
              <w:spacing w:before="20" w:after="20"/>
              <w:jc w:val="center"/>
              <w:rPr>
                <w:rFonts w:eastAsia="Times New Roman" w:cs="Times New Roman"/>
                <w:color w:val="000000"/>
                <w:sz w:val="20"/>
                <w:szCs w:val="20"/>
                <w:lang w:eastAsia="en-GB"/>
              </w:rPr>
            </w:pPr>
            <w:r w:rsidRPr="00093FC6">
              <w:rPr>
                <w:rFonts w:cs="Times New Roman"/>
                <w:sz w:val="20"/>
                <w:szCs w:val="20"/>
              </w:rPr>
              <w:t>4</w:t>
            </w:r>
          </w:p>
        </w:tc>
        <w:tc>
          <w:tcPr>
            <w:tcW w:w="616" w:type="dxa"/>
            <w:shd w:val="clear" w:color="auto" w:fill="auto"/>
            <w:noWrap/>
            <w:hideMark/>
          </w:tcPr>
          <w:p w:rsidRPr="00093FC6" w:rsidR="00093FC6" w:rsidP="00763E80" w:rsidRDefault="00093FC6" w14:paraId="2088E60C" w14:textId="5E11053E">
            <w:pPr>
              <w:spacing w:before="20" w:after="20"/>
              <w:jc w:val="center"/>
              <w:rPr>
                <w:rFonts w:eastAsia="Times New Roman" w:cs="Times New Roman"/>
                <w:color w:val="000000"/>
                <w:sz w:val="20"/>
                <w:szCs w:val="20"/>
                <w:lang w:eastAsia="en-GB"/>
              </w:rPr>
            </w:pPr>
            <w:r w:rsidRPr="00093FC6">
              <w:rPr>
                <w:rFonts w:cs="Times New Roman"/>
                <w:sz w:val="20"/>
                <w:szCs w:val="20"/>
              </w:rPr>
              <w:t>4</w:t>
            </w:r>
          </w:p>
        </w:tc>
        <w:tc>
          <w:tcPr>
            <w:tcW w:w="616" w:type="dxa"/>
            <w:shd w:val="clear" w:color="auto" w:fill="auto"/>
            <w:noWrap/>
            <w:hideMark/>
          </w:tcPr>
          <w:p w:rsidRPr="00093FC6" w:rsidR="00093FC6" w:rsidP="00763E80" w:rsidRDefault="00093FC6" w14:paraId="3EEE151B" w14:textId="62DC3ED6">
            <w:pPr>
              <w:spacing w:before="20" w:after="20"/>
              <w:jc w:val="center"/>
              <w:rPr>
                <w:rFonts w:eastAsia="Times New Roman" w:cs="Times New Roman"/>
                <w:color w:val="000000"/>
                <w:sz w:val="20"/>
                <w:szCs w:val="20"/>
                <w:lang w:eastAsia="en-GB"/>
              </w:rPr>
            </w:pPr>
            <w:r w:rsidRPr="00093FC6">
              <w:rPr>
                <w:rFonts w:cs="Times New Roman"/>
                <w:sz w:val="20"/>
                <w:szCs w:val="20"/>
              </w:rPr>
              <w:t>4</w:t>
            </w:r>
          </w:p>
        </w:tc>
        <w:tc>
          <w:tcPr>
            <w:tcW w:w="697" w:type="dxa"/>
            <w:shd w:val="clear" w:color="auto" w:fill="auto"/>
            <w:noWrap/>
            <w:hideMark/>
          </w:tcPr>
          <w:p w:rsidRPr="00093FC6" w:rsidR="00093FC6" w:rsidP="00763E80" w:rsidRDefault="00093FC6" w14:paraId="4EAC6FDE" w14:textId="1FEC7419">
            <w:pPr>
              <w:spacing w:before="20" w:after="20"/>
              <w:jc w:val="center"/>
              <w:rPr>
                <w:rFonts w:eastAsia="Times New Roman" w:cs="Times New Roman"/>
                <w:color w:val="000000"/>
                <w:sz w:val="20"/>
                <w:szCs w:val="20"/>
                <w:lang w:eastAsia="en-GB"/>
              </w:rPr>
            </w:pPr>
            <w:r w:rsidRPr="00093FC6">
              <w:rPr>
                <w:rFonts w:cs="Times New Roman"/>
                <w:sz w:val="20"/>
                <w:szCs w:val="20"/>
              </w:rPr>
              <w:t>2</w:t>
            </w:r>
          </w:p>
        </w:tc>
        <w:tc>
          <w:tcPr>
            <w:tcW w:w="616" w:type="dxa"/>
            <w:shd w:val="clear" w:color="auto" w:fill="auto"/>
            <w:noWrap/>
            <w:hideMark/>
          </w:tcPr>
          <w:p w:rsidRPr="00093FC6" w:rsidR="00093FC6" w:rsidP="00763E80" w:rsidRDefault="00093FC6" w14:paraId="484C874B" w14:textId="0FAEB97C">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39" w:type="dxa"/>
          </w:tcPr>
          <w:p w:rsidRPr="00093FC6" w:rsidR="00093FC6" w:rsidP="00763E80" w:rsidRDefault="00093FC6" w14:paraId="3AEF1473" w14:textId="731CEAE1">
            <w:pPr>
              <w:spacing w:before="20" w:after="20"/>
              <w:jc w:val="center"/>
              <w:rPr>
                <w:rFonts w:eastAsia="Times New Roman" w:cs="Times New Roman"/>
                <w:color w:val="000000"/>
                <w:sz w:val="20"/>
                <w:szCs w:val="20"/>
                <w:lang w:eastAsia="en-GB"/>
              </w:rPr>
            </w:pPr>
            <w:r w:rsidRPr="00093FC6">
              <w:rPr>
                <w:rFonts w:cs="Times New Roman"/>
                <w:sz w:val="20"/>
                <w:szCs w:val="20"/>
              </w:rPr>
              <w:t>56</w:t>
            </w:r>
          </w:p>
        </w:tc>
      </w:tr>
      <w:tr w:rsidRPr="001B614D" w:rsidR="00093FC6" w:rsidTr="0070531A" w14:paraId="6AF62B23" w14:textId="77777777">
        <w:trPr>
          <w:trHeight w:val="300"/>
        </w:trPr>
        <w:tc>
          <w:tcPr>
            <w:tcW w:w="2127" w:type="dxa"/>
            <w:tcBorders>
              <w:bottom w:val="single" w:color="auto" w:sz="4" w:space="0"/>
            </w:tcBorders>
            <w:shd w:val="clear" w:color="auto" w:fill="auto"/>
            <w:noWrap/>
            <w:vAlign w:val="center"/>
            <w:hideMark/>
          </w:tcPr>
          <w:p w:rsidRPr="00D24E5F" w:rsidR="00093FC6" w:rsidP="00763E80" w:rsidRDefault="00093FC6" w14:paraId="1E1B460D" w14:textId="77777777">
            <w:pPr>
              <w:spacing w:before="20" w:after="20"/>
              <w:rPr>
                <w:rFonts w:eastAsia="Times New Roman" w:cs="Times New Roman"/>
                <w:color w:val="000000"/>
                <w:sz w:val="20"/>
                <w:szCs w:val="20"/>
                <w:lang w:eastAsia="en-GB"/>
              </w:rPr>
            </w:pPr>
            <w:r w:rsidRPr="00D24E5F">
              <w:rPr>
                <w:rFonts w:eastAsia="Times New Roman" w:cs="Times New Roman"/>
                <w:color w:val="000000"/>
                <w:sz w:val="20"/>
                <w:szCs w:val="20"/>
                <w:lang w:eastAsia="en-GB"/>
              </w:rPr>
              <w:t>SAT 3</w:t>
            </w:r>
          </w:p>
        </w:tc>
        <w:tc>
          <w:tcPr>
            <w:tcW w:w="616" w:type="dxa"/>
            <w:tcBorders>
              <w:bottom w:val="single" w:color="auto" w:sz="4" w:space="0"/>
            </w:tcBorders>
            <w:shd w:val="clear" w:color="auto" w:fill="auto"/>
            <w:noWrap/>
            <w:hideMark/>
          </w:tcPr>
          <w:p w:rsidRPr="00093FC6" w:rsidR="00093FC6" w:rsidP="00763E80" w:rsidRDefault="00093FC6" w14:paraId="175B1121" w14:textId="3908B879">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tcBorders>
              <w:bottom w:val="single" w:color="auto" w:sz="4" w:space="0"/>
            </w:tcBorders>
            <w:shd w:val="clear" w:color="auto" w:fill="auto"/>
            <w:noWrap/>
            <w:hideMark/>
          </w:tcPr>
          <w:p w:rsidRPr="00093FC6" w:rsidR="00093FC6" w:rsidP="00763E80" w:rsidRDefault="00093FC6" w14:paraId="1BACEB01" w14:textId="0DF4AF92">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tcBorders>
              <w:bottom w:val="single" w:color="auto" w:sz="4" w:space="0"/>
            </w:tcBorders>
            <w:shd w:val="clear" w:color="auto" w:fill="auto"/>
            <w:noWrap/>
            <w:hideMark/>
          </w:tcPr>
          <w:p w:rsidRPr="00093FC6" w:rsidR="00093FC6" w:rsidP="00763E80" w:rsidRDefault="00093FC6" w14:paraId="53C0568C" w14:textId="43C22715">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tcBorders>
              <w:bottom w:val="single" w:color="auto" w:sz="4" w:space="0"/>
            </w:tcBorders>
            <w:shd w:val="clear" w:color="auto" w:fill="auto"/>
            <w:noWrap/>
            <w:hideMark/>
          </w:tcPr>
          <w:p w:rsidRPr="00093FC6" w:rsidR="00093FC6" w:rsidP="00763E80" w:rsidRDefault="00093FC6" w14:paraId="14C51E81" w14:textId="73320D32">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tcBorders>
              <w:bottom w:val="single" w:color="auto" w:sz="4" w:space="0"/>
            </w:tcBorders>
            <w:shd w:val="clear" w:color="auto" w:fill="auto"/>
            <w:noWrap/>
            <w:hideMark/>
          </w:tcPr>
          <w:p w:rsidRPr="00093FC6" w:rsidR="00093FC6" w:rsidP="00763E80" w:rsidRDefault="00093FC6" w14:paraId="692FEA5E" w14:textId="10F2D344">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tcBorders>
              <w:bottom w:val="single" w:color="auto" w:sz="4" w:space="0"/>
            </w:tcBorders>
            <w:shd w:val="clear" w:color="auto" w:fill="auto"/>
            <w:noWrap/>
            <w:hideMark/>
          </w:tcPr>
          <w:p w:rsidRPr="00093FC6" w:rsidR="00093FC6" w:rsidP="00763E80" w:rsidRDefault="00093FC6" w14:paraId="6E3EF821" w14:textId="5BA7FE7E">
            <w:pPr>
              <w:spacing w:before="20" w:after="20"/>
              <w:jc w:val="center"/>
              <w:rPr>
                <w:rFonts w:eastAsia="Times New Roman" w:cs="Times New Roman"/>
                <w:color w:val="000000"/>
                <w:sz w:val="20"/>
                <w:szCs w:val="20"/>
                <w:lang w:eastAsia="en-GB"/>
              </w:rPr>
            </w:pPr>
            <w:r w:rsidRPr="00093FC6">
              <w:rPr>
                <w:rFonts w:cs="Times New Roman"/>
                <w:sz w:val="20"/>
                <w:szCs w:val="20"/>
              </w:rPr>
              <w:t>1</w:t>
            </w:r>
          </w:p>
        </w:tc>
        <w:tc>
          <w:tcPr>
            <w:tcW w:w="616" w:type="dxa"/>
            <w:tcBorders>
              <w:bottom w:val="single" w:color="auto" w:sz="4" w:space="0"/>
            </w:tcBorders>
            <w:shd w:val="clear" w:color="auto" w:fill="auto"/>
            <w:noWrap/>
            <w:hideMark/>
          </w:tcPr>
          <w:p w:rsidRPr="00093FC6" w:rsidR="00093FC6" w:rsidP="00763E80" w:rsidRDefault="00093FC6" w14:paraId="00C1FDFB" w14:textId="2AB45764">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tcBorders>
              <w:bottom w:val="single" w:color="auto" w:sz="4" w:space="0"/>
            </w:tcBorders>
            <w:shd w:val="clear" w:color="auto" w:fill="auto"/>
            <w:noWrap/>
            <w:hideMark/>
          </w:tcPr>
          <w:p w:rsidRPr="00093FC6" w:rsidR="00093FC6" w:rsidP="00763E80" w:rsidRDefault="00093FC6" w14:paraId="2D39408E" w14:textId="273DD908">
            <w:pPr>
              <w:spacing w:before="20" w:after="20"/>
              <w:jc w:val="center"/>
              <w:rPr>
                <w:rFonts w:eastAsia="Times New Roman" w:cs="Times New Roman"/>
                <w:color w:val="000000"/>
                <w:sz w:val="20"/>
                <w:szCs w:val="20"/>
                <w:lang w:eastAsia="en-GB"/>
              </w:rPr>
            </w:pPr>
            <w:r w:rsidRPr="00093FC6">
              <w:rPr>
                <w:rFonts w:cs="Times New Roman"/>
                <w:sz w:val="20"/>
                <w:szCs w:val="20"/>
              </w:rPr>
              <w:t>1</w:t>
            </w:r>
          </w:p>
        </w:tc>
        <w:tc>
          <w:tcPr>
            <w:tcW w:w="616" w:type="dxa"/>
            <w:tcBorders>
              <w:bottom w:val="single" w:color="auto" w:sz="4" w:space="0"/>
            </w:tcBorders>
            <w:shd w:val="clear" w:color="auto" w:fill="auto"/>
            <w:noWrap/>
            <w:hideMark/>
          </w:tcPr>
          <w:p w:rsidRPr="00093FC6" w:rsidR="00093FC6" w:rsidP="00763E80" w:rsidRDefault="00093FC6" w14:paraId="086E4E2C" w14:textId="63D05991">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tcBorders>
              <w:bottom w:val="single" w:color="auto" w:sz="4" w:space="0"/>
            </w:tcBorders>
            <w:shd w:val="clear" w:color="auto" w:fill="auto"/>
            <w:noWrap/>
            <w:hideMark/>
          </w:tcPr>
          <w:p w:rsidRPr="00093FC6" w:rsidR="00093FC6" w:rsidP="00763E80" w:rsidRDefault="00093FC6" w14:paraId="0AB9B103" w14:textId="331AFA49">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97" w:type="dxa"/>
            <w:tcBorders>
              <w:bottom w:val="single" w:color="auto" w:sz="4" w:space="0"/>
            </w:tcBorders>
            <w:shd w:val="clear" w:color="auto" w:fill="auto"/>
            <w:noWrap/>
            <w:hideMark/>
          </w:tcPr>
          <w:p w:rsidRPr="00093FC6" w:rsidR="00093FC6" w:rsidP="00763E80" w:rsidRDefault="00093FC6" w14:paraId="10C872B5" w14:textId="0A58F429">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16" w:type="dxa"/>
            <w:tcBorders>
              <w:bottom w:val="single" w:color="auto" w:sz="4" w:space="0"/>
            </w:tcBorders>
            <w:shd w:val="clear" w:color="auto" w:fill="auto"/>
            <w:noWrap/>
            <w:hideMark/>
          </w:tcPr>
          <w:p w:rsidRPr="00093FC6" w:rsidR="00093FC6" w:rsidP="00763E80" w:rsidRDefault="00093FC6" w14:paraId="74E544D5" w14:textId="141084EC">
            <w:pPr>
              <w:spacing w:before="20" w:after="20"/>
              <w:jc w:val="center"/>
              <w:rPr>
                <w:rFonts w:eastAsia="Times New Roman" w:cs="Times New Roman"/>
                <w:color w:val="000000"/>
                <w:sz w:val="20"/>
                <w:szCs w:val="20"/>
                <w:lang w:eastAsia="en-GB"/>
              </w:rPr>
            </w:pPr>
            <w:r w:rsidRPr="00093FC6">
              <w:rPr>
                <w:rFonts w:cs="Times New Roman"/>
                <w:sz w:val="20"/>
                <w:szCs w:val="20"/>
              </w:rPr>
              <w:t>0</w:t>
            </w:r>
          </w:p>
        </w:tc>
        <w:tc>
          <w:tcPr>
            <w:tcW w:w="639" w:type="dxa"/>
            <w:tcBorders>
              <w:bottom w:val="single" w:color="auto" w:sz="4" w:space="0"/>
            </w:tcBorders>
          </w:tcPr>
          <w:p w:rsidRPr="00093FC6" w:rsidR="00093FC6" w:rsidP="00763E80" w:rsidRDefault="00093FC6" w14:paraId="1A8E94FB" w14:textId="0BEFE0A1">
            <w:pPr>
              <w:spacing w:before="20" w:after="20"/>
              <w:jc w:val="center"/>
              <w:rPr>
                <w:rFonts w:eastAsia="Times New Roman" w:cs="Times New Roman"/>
                <w:color w:val="000000"/>
                <w:sz w:val="20"/>
                <w:szCs w:val="20"/>
                <w:lang w:eastAsia="en-GB"/>
              </w:rPr>
            </w:pPr>
            <w:r w:rsidRPr="00093FC6">
              <w:rPr>
                <w:rFonts w:cs="Times New Roman"/>
                <w:sz w:val="20"/>
                <w:szCs w:val="20"/>
              </w:rPr>
              <w:t>2</w:t>
            </w:r>
          </w:p>
        </w:tc>
      </w:tr>
      <w:tr w:rsidRPr="001B614D" w:rsidR="00093FC6" w:rsidTr="0070531A" w14:paraId="1E0DB389" w14:textId="77777777">
        <w:trPr>
          <w:trHeight w:val="300"/>
        </w:trPr>
        <w:tc>
          <w:tcPr>
            <w:tcW w:w="2127" w:type="dxa"/>
            <w:tcBorders>
              <w:top w:val="single" w:color="auto" w:sz="4" w:space="0"/>
              <w:bottom w:val="single" w:color="auto" w:sz="4" w:space="0"/>
            </w:tcBorders>
            <w:shd w:val="clear" w:color="auto" w:fill="auto"/>
            <w:noWrap/>
            <w:vAlign w:val="center"/>
          </w:tcPr>
          <w:p w:rsidRPr="001B614D" w:rsidR="00093FC6" w:rsidP="00763E80" w:rsidRDefault="00093FC6" w14:paraId="00E1C246" w14:textId="77777777">
            <w:pPr>
              <w:spacing w:before="20" w:after="20"/>
              <w:rPr>
                <w:rFonts w:eastAsia="Times New Roman" w:cs="Times New Roman"/>
                <w:color w:val="000000"/>
                <w:sz w:val="20"/>
                <w:szCs w:val="20"/>
                <w:lang w:eastAsia="en-GB"/>
              </w:rPr>
            </w:pPr>
            <w:r w:rsidRPr="001B614D">
              <w:rPr>
                <w:rFonts w:eastAsia="Times New Roman" w:cs="Times New Roman"/>
                <w:color w:val="000000"/>
                <w:sz w:val="20"/>
                <w:szCs w:val="20"/>
                <w:lang w:eastAsia="en-GB"/>
              </w:rPr>
              <w:t>Total</w:t>
            </w:r>
          </w:p>
        </w:tc>
        <w:tc>
          <w:tcPr>
            <w:tcW w:w="616" w:type="dxa"/>
            <w:tcBorders>
              <w:top w:val="single" w:color="auto" w:sz="4" w:space="0"/>
              <w:bottom w:val="single" w:color="auto" w:sz="4" w:space="0"/>
            </w:tcBorders>
            <w:shd w:val="clear" w:color="auto" w:fill="auto"/>
            <w:noWrap/>
          </w:tcPr>
          <w:p w:rsidRPr="00093FC6" w:rsidR="00093FC6" w:rsidP="00763E80" w:rsidRDefault="00093FC6" w14:paraId="6FE6A1E9" w14:textId="080E2BB9">
            <w:pPr>
              <w:spacing w:before="20" w:after="20"/>
              <w:jc w:val="center"/>
              <w:rPr>
                <w:rFonts w:eastAsia="Times New Roman" w:cs="Times New Roman"/>
                <w:color w:val="000000"/>
                <w:sz w:val="20"/>
                <w:szCs w:val="20"/>
                <w:lang w:eastAsia="en-GB"/>
              </w:rPr>
            </w:pPr>
            <w:r w:rsidRPr="00093FC6">
              <w:rPr>
                <w:rFonts w:cs="Times New Roman"/>
                <w:sz w:val="20"/>
                <w:szCs w:val="20"/>
              </w:rPr>
              <w:t>1</w:t>
            </w:r>
          </w:p>
        </w:tc>
        <w:tc>
          <w:tcPr>
            <w:tcW w:w="616" w:type="dxa"/>
            <w:tcBorders>
              <w:top w:val="single" w:color="auto" w:sz="4" w:space="0"/>
              <w:bottom w:val="single" w:color="auto" w:sz="4" w:space="0"/>
            </w:tcBorders>
            <w:shd w:val="clear" w:color="auto" w:fill="auto"/>
            <w:noWrap/>
          </w:tcPr>
          <w:p w:rsidRPr="00093FC6" w:rsidR="00093FC6" w:rsidP="00763E80" w:rsidRDefault="00093FC6" w14:paraId="7DDE6778" w14:textId="577DA195">
            <w:pPr>
              <w:spacing w:before="20" w:after="20"/>
              <w:jc w:val="center"/>
              <w:rPr>
                <w:rFonts w:eastAsia="Times New Roman" w:cs="Times New Roman"/>
                <w:color w:val="000000"/>
                <w:sz w:val="20"/>
                <w:szCs w:val="20"/>
                <w:lang w:eastAsia="en-GB"/>
              </w:rPr>
            </w:pPr>
            <w:r w:rsidRPr="00093FC6">
              <w:rPr>
                <w:rFonts w:cs="Times New Roman"/>
                <w:sz w:val="20"/>
                <w:szCs w:val="20"/>
              </w:rPr>
              <w:t>107</w:t>
            </w:r>
          </w:p>
        </w:tc>
        <w:tc>
          <w:tcPr>
            <w:tcW w:w="616" w:type="dxa"/>
            <w:tcBorders>
              <w:top w:val="single" w:color="auto" w:sz="4" w:space="0"/>
              <w:bottom w:val="single" w:color="auto" w:sz="4" w:space="0"/>
            </w:tcBorders>
            <w:shd w:val="clear" w:color="auto" w:fill="auto"/>
            <w:noWrap/>
          </w:tcPr>
          <w:p w:rsidRPr="00093FC6" w:rsidR="00093FC6" w:rsidP="00763E80" w:rsidRDefault="00093FC6" w14:paraId="58346DB0" w14:textId="3EF42B9B">
            <w:pPr>
              <w:spacing w:before="20" w:after="20"/>
              <w:jc w:val="center"/>
              <w:rPr>
                <w:rFonts w:eastAsia="Times New Roman" w:cs="Times New Roman"/>
                <w:color w:val="000000"/>
                <w:sz w:val="20"/>
                <w:szCs w:val="20"/>
                <w:lang w:eastAsia="en-GB"/>
              </w:rPr>
            </w:pPr>
            <w:r w:rsidRPr="00093FC6">
              <w:rPr>
                <w:rFonts w:cs="Times New Roman"/>
                <w:sz w:val="20"/>
                <w:szCs w:val="20"/>
              </w:rPr>
              <w:t>105</w:t>
            </w:r>
          </w:p>
        </w:tc>
        <w:tc>
          <w:tcPr>
            <w:tcW w:w="616" w:type="dxa"/>
            <w:tcBorders>
              <w:top w:val="single" w:color="auto" w:sz="4" w:space="0"/>
              <w:bottom w:val="single" w:color="auto" w:sz="4" w:space="0"/>
            </w:tcBorders>
            <w:shd w:val="clear" w:color="auto" w:fill="auto"/>
            <w:noWrap/>
          </w:tcPr>
          <w:p w:rsidRPr="00093FC6" w:rsidR="00093FC6" w:rsidP="00763E80" w:rsidRDefault="00093FC6" w14:paraId="6E60E5F5" w14:textId="15A0CCC0">
            <w:pPr>
              <w:spacing w:before="20" w:after="20"/>
              <w:jc w:val="center"/>
              <w:rPr>
                <w:rFonts w:eastAsia="Times New Roman" w:cs="Times New Roman"/>
                <w:color w:val="000000"/>
                <w:sz w:val="20"/>
                <w:szCs w:val="20"/>
                <w:lang w:eastAsia="en-GB"/>
              </w:rPr>
            </w:pPr>
            <w:r w:rsidRPr="00093FC6">
              <w:rPr>
                <w:rFonts w:cs="Times New Roman"/>
                <w:sz w:val="20"/>
                <w:szCs w:val="20"/>
              </w:rPr>
              <w:t>90</w:t>
            </w:r>
          </w:p>
        </w:tc>
        <w:tc>
          <w:tcPr>
            <w:tcW w:w="616" w:type="dxa"/>
            <w:tcBorders>
              <w:top w:val="single" w:color="auto" w:sz="4" w:space="0"/>
              <w:bottom w:val="single" w:color="auto" w:sz="4" w:space="0"/>
            </w:tcBorders>
            <w:shd w:val="clear" w:color="auto" w:fill="auto"/>
            <w:noWrap/>
          </w:tcPr>
          <w:p w:rsidRPr="00093FC6" w:rsidR="00093FC6" w:rsidP="00763E80" w:rsidRDefault="00093FC6" w14:paraId="1662CCDC" w14:textId="0996659D">
            <w:pPr>
              <w:spacing w:before="20" w:after="20"/>
              <w:jc w:val="center"/>
              <w:rPr>
                <w:rFonts w:eastAsia="Times New Roman" w:cs="Times New Roman"/>
                <w:color w:val="000000"/>
                <w:sz w:val="20"/>
                <w:szCs w:val="20"/>
                <w:lang w:eastAsia="en-GB"/>
              </w:rPr>
            </w:pPr>
            <w:r w:rsidRPr="00093FC6">
              <w:rPr>
                <w:rFonts w:cs="Times New Roman"/>
                <w:sz w:val="20"/>
                <w:szCs w:val="20"/>
              </w:rPr>
              <w:t>68</w:t>
            </w:r>
          </w:p>
        </w:tc>
        <w:tc>
          <w:tcPr>
            <w:tcW w:w="616" w:type="dxa"/>
            <w:tcBorders>
              <w:top w:val="single" w:color="auto" w:sz="4" w:space="0"/>
              <w:bottom w:val="single" w:color="auto" w:sz="4" w:space="0"/>
            </w:tcBorders>
            <w:shd w:val="clear" w:color="auto" w:fill="auto"/>
            <w:noWrap/>
          </w:tcPr>
          <w:p w:rsidRPr="00093FC6" w:rsidR="00093FC6" w:rsidP="00763E80" w:rsidRDefault="00093FC6" w14:paraId="6759DA47" w14:textId="424F74FA">
            <w:pPr>
              <w:spacing w:before="20" w:after="20"/>
              <w:jc w:val="center"/>
              <w:rPr>
                <w:rFonts w:eastAsia="Times New Roman" w:cs="Times New Roman"/>
                <w:color w:val="000000"/>
                <w:sz w:val="20"/>
                <w:szCs w:val="20"/>
                <w:lang w:eastAsia="en-GB"/>
              </w:rPr>
            </w:pPr>
            <w:r w:rsidRPr="00093FC6">
              <w:rPr>
                <w:rFonts w:cs="Times New Roman"/>
                <w:sz w:val="20"/>
                <w:szCs w:val="20"/>
              </w:rPr>
              <w:t>86</w:t>
            </w:r>
          </w:p>
        </w:tc>
        <w:tc>
          <w:tcPr>
            <w:tcW w:w="616" w:type="dxa"/>
            <w:tcBorders>
              <w:top w:val="single" w:color="auto" w:sz="4" w:space="0"/>
              <w:bottom w:val="single" w:color="auto" w:sz="4" w:space="0"/>
            </w:tcBorders>
            <w:shd w:val="clear" w:color="auto" w:fill="auto"/>
            <w:noWrap/>
          </w:tcPr>
          <w:p w:rsidRPr="00093FC6" w:rsidR="00093FC6" w:rsidP="00763E80" w:rsidRDefault="00093FC6" w14:paraId="7D17C522" w14:textId="3ABA98E7">
            <w:pPr>
              <w:spacing w:before="20" w:after="20"/>
              <w:jc w:val="center"/>
              <w:rPr>
                <w:rFonts w:eastAsia="Times New Roman" w:cs="Times New Roman"/>
                <w:color w:val="000000"/>
                <w:sz w:val="20"/>
                <w:szCs w:val="20"/>
                <w:lang w:eastAsia="en-GB"/>
              </w:rPr>
            </w:pPr>
            <w:r w:rsidRPr="00093FC6">
              <w:rPr>
                <w:rFonts w:cs="Times New Roman"/>
                <w:sz w:val="20"/>
                <w:szCs w:val="20"/>
              </w:rPr>
              <w:t>70</w:t>
            </w:r>
          </w:p>
        </w:tc>
        <w:tc>
          <w:tcPr>
            <w:tcW w:w="616" w:type="dxa"/>
            <w:tcBorders>
              <w:top w:val="single" w:color="auto" w:sz="4" w:space="0"/>
              <w:bottom w:val="single" w:color="auto" w:sz="4" w:space="0"/>
            </w:tcBorders>
            <w:shd w:val="clear" w:color="auto" w:fill="auto"/>
            <w:noWrap/>
          </w:tcPr>
          <w:p w:rsidRPr="00093FC6" w:rsidR="00093FC6" w:rsidP="00763E80" w:rsidRDefault="00093FC6" w14:paraId="13F2A669" w14:textId="4B47941E">
            <w:pPr>
              <w:spacing w:before="20" w:after="20"/>
              <w:jc w:val="center"/>
              <w:rPr>
                <w:rFonts w:eastAsia="Times New Roman" w:cs="Times New Roman"/>
                <w:color w:val="000000"/>
                <w:sz w:val="20"/>
                <w:szCs w:val="20"/>
                <w:lang w:eastAsia="en-GB"/>
              </w:rPr>
            </w:pPr>
            <w:r w:rsidRPr="00093FC6">
              <w:rPr>
                <w:rFonts w:cs="Times New Roman"/>
                <w:sz w:val="20"/>
                <w:szCs w:val="20"/>
              </w:rPr>
              <w:t>96</w:t>
            </w:r>
          </w:p>
        </w:tc>
        <w:tc>
          <w:tcPr>
            <w:tcW w:w="616" w:type="dxa"/>
            <w:tcBorders>
              <w:top w:val="single" w:color="auto" w:sz="4" w:space="0"/>
              <w:bottom w:val="single" w:color="auto" w:sz="4" w:space="0"/>
            </w:tcBorders>
            <w:shd w:val="clear" w:color="auto" w:fill="auto"/>
            <w:noWrap/>
          </w:tcPr>
          <w:p w:rsidRPr="00093FC6" w:rsidR="00093FC6" w:rsidP="00763E80" w:rsidRDefault="00093FC6" w14:paraId="5EE6C3C3" w14:textId="63480CF8">
            <w:pPr>
              <w:spacing w:before="20" w:after="20"/>
              <w:jc w:val="center"/>
              <w:rPr>
                <w:rFonts w:eastAsia="Times New Roman" w:cs="Times New Roman"/>
                <w:color w:val="000000"/>
                <w:sz w:val="20"/>
                <w:szCs w:val="20"/>
                <w:lang w:eastAsia="en-GB"/>
              </w:rPr>
            </w:pPr>
            <w:r w:rsidRPr="00093FC6">
              <w:rPr>
                <w:rFonts w:cs="Times New Roman"/>
                <w:sz w:val="20"/>
                <w:szCs w:val="20"/>
              </w:rPr>
              <w:t>78</w:t>
            </w:r>
          </w:p>
        </w:tc>
        <w:tc>
          <w:tcPr>
            <w:tcW w:w="616" w:type="dxa"/>
            <w:tcBorders>
              <w:top w:val="single" w:color="auto" w:sz="4" w:space="0"/>
              <w:bottom w:val="single" w:color="auto" w:sz="4" w:space="0"/>
            </w:tcBorders>
            <w:shd w:val="clear" w:color="auto" w:fill="auto"/>
            <w:noWrap/>
          </w:tcPr>
          <w:p w:rsidRPr="00093FC6" w:rsidR="00093FC6" w:rsidP="00763E80" w:rsidRDefault="00093FC6" w14:paraId="55F103D4" w14:textId="025A9891">
            <w:pPr>
              <w:spacing w:before="20" w:after="20"/>
              <w:jc w:val="center"/>
              <w:rPr>
                <w:rFonts w:eastAsia="Times New Roman" w:cs="Times New Roman"/>
                <w:color w:val="000000"/>
                <w:sz w:val="20"/>
                <w:szCs w:val="20"/>
                <w:lang w:eastAsia="en-GB"/>
              </w:rPr>
            </w:pPr>
            <w:r w:rsidRPr="00093FC6">
              <w:rPr>
                <w:rFonts w:cs="Times New Roman"/>
                <w:sz w:val="20"/>
                <w:szCs w:val="20"/>
              </w:rPr>
              <w:t>47</w:t>
            </w:r>
          </w:p>
        </w:tc>
        <w:tc>
          <w:tcPr>
            <w:tcW w:w="697" w:type="dxa"/>
            <w:tcBorders>
              <w:top w:val="single" w:color="auto" w:sz="4" w:space="0"/>
              <w:bottom w:val="single" w:color="auto" w:sz="4" w:space="0"/>
            </w:tcBorders>
            <w:shd w:val="clear" w:color="auto" w:fill="auto"/>
            <w:noWrap/>
          </w:tcPr>
          <w:p w:rsidRPr="00093FC6" w:rsidR="00093FC6" w:rsidP="00763E80" w:rsidRDefault="00093FC6" w14:paraId="1A2CBCC0" w14:textId="37AC278C">
            <w:pPr>
              <w:spacing w:before="20" w:after="20"/>
              <w:jc w:val="center"/>
              <w:rPr>
                <w:rFonts w:eastAsia="Times New Roman" w:cs="Times New Roman"/>
                <w:color w:val="000000"/>
                <w:sz w:val="20"/>
                <w:szCs w:val="20"/>
                <w:lang w:eastAsia="en-GB"/>
              </w:rPr>
            </w:pPr>
            <w:r w:rsidRPr="00093FC6">
              <w:rPr>
                <w:rFonts w:cs="Times New Roman"/>
                <w:sz w:val="20"/>
                <w:szCs w:val="20"/>
              </w:rPr>
              <w:t>10</w:t>
            </w:r>
          </w:p>
        </w:tc>
        <w:tc>
          <w:tcPr>
            <w:tcW w:w="616" w:type="dxa"/>
            <w:tcBorders>
              <w:top w:val="single" w:color="auto" w:sz="4" w:space="0"/>
              <w:bottom w:val="single" w:color="auto" w:sz="4" w:space="0"/>
            </w:tcBorders>
            <w:shd w:val="clear" w:color="auto" w:fill="auto"/>
            <w:noWrap/>
          </w:tcPr>
          <w:p w:rsidRPr="00093FC6" w:rsidR="00093FC6" w:rsidP="00763E80" w:rsidRDefault="00093FC6" w14:paraId="4151D855" w14:textId="642CE435">
            <w:pPr>
              <w:spacing w:before="20" w:after="20"/>
              <w:jc w:val="center"/>
              <w:rPr>
                <w:rFonts w:eastAsia="Times New Roman" w:cs="Times New Roman"/>
                <w:color w:val="000000"/>
                <w:sz w:val="20"/>
                <w:szCs w:val="20"/>
                <w:lang w:eastAsia="en-GB"/>
              </w:rPr>
            </w:pPr>
            <w:r w:rsidRPr="00093FC6">
              <w:rPr>
                <w:rFonts w:cs="Times New Roman"/>
                <w:sz w:val="20"/>
                <w:szCs w:val="20"/>
              </w:rPr>
              <w:t>5</w:t>
            </w:r>
          </w:p>
        </w:tc>
        <w:tc>
          <w:tcPr>
            <w:tcW w:w="639" w:type="dxa"/>
            <w:tcBorders>
              <w:top w:val="single" w:color="auto" w:sz="4" w:space="0"/>
              <w:bottom w:val="single" w:color="auto" w:sz="4" w:space="0"/>
            </w:tcBorders>
          </w:tcPr>
          <w:p w:rsidRPr="00093FC6" w:rsidR="00093FC6" w:rsidP="00763E80" w:rsidRDefault="00093FC6" w14:paraId="7BE512C3" w14:textId="6FD48791">
            <w:pPr>
              <w:spacing w:before="20" w:after="20"/>
              <w:jc w:val="center"/>
              <w:rPr>
                <w:rFonts w:eastAsia="Times New Roman" w:cs="Times New Roman"/>
                <w:color w:val="000000"/>
                <w:sz w:val="20"/>
                <w:szCs w:val="20"/>
                <w:lang w:eastAsia="en-GB"/>
              </w:rPr>
            </w:pPr>
            <w:r w:rsidRPr="00093FC6">
              <w:rPr>
                <w:rFonts w:cs="Times New Roman"/>
                <w:sz w:val="20"/>
                <w:szCs w:val="20"/>
              </w:rPr>
              <w:t>763</w:t>
            </w:r>
          </w:p>
        </w:tc>
      </w:tr>
    </w:tbl>
    <w:p w:rsidR="00391833" w:rsidP="00391833" w:rsidRDefault="00391833" w14:paraId="482EC8D8" w14:textId="3F5B004E">
      <w:pPr>
        <w:rPr>
          <w:b/>
          <w:bCs/>
          <w:u w:val="single"/>
        </w:rPr>
      </w:pPr>
    </w:p>
    <w:p w:rsidRPr="00A71634" w:rsidR="007E48E0" w:rsidP="00991BC9" w:rsidRDefault="00991BC9" w14:paraId="2CF2AA49" w14:textId="606D762F">
      <w:pPr>
        <w:rPr>
          <w:rFonts w:cs="Times New Roman"/>
          <w:b/>
          <w:bCs/>
          <w:sz w:val="22"/>
        </w:rPr>
      </w:pPr>
      <w:r w:rsidRPr="00A71634">
        <w:rPr>
          <w:rFonts w:cs="Times New Roman"/>
          <w:b/>
          <w:bCs/>
          <w:sz w:val="22"/>
        </w:rPr>
        <w:t>Supplementary Figure</w:t>
      </w:r>
      <w:r w:rsidRPr="00A71634" w:rsidR="007E48E0">
        <w:rPr>
          <w:rFonts w:cs="Times New Roman"/>
          <w:b/>
          <w:bCs/>
          <w:sz w:val="22"/>
        </w:rPr>
        <w:t>s</w:t>
      </w:r>
      <w:r w:rsidRPr="00A71634">
        <w:rPr>
          <w:rFonts w:cs="Times New Roman"/>
          <w:b/>
          <w:bCs/>
          <w:sz w:val="22"/>
        </w:rPr>
        <w:t xml:space="preserve"> 1a</w:t>
      </w:r>
      <w:r w:rsidRPr="00A71634" w:rsidR="007E48E0">
        <w:rPr>
          <w:rFonts w:cs="Times New Roman"/>
          <w:b/>
          <w:bCs/>
          <w:sz w:val="22"/>
        </w:rPr>
        <w:t>-d</w:t>
      </w:r>
      <w:r w:rsidRPr="00A71634">
        <w:rPr>
          <w:rFonts w:cs="Times New Roman"/>
          <w:b/>
          <w:bCs/>
          <w:sz w:val="22"/>
        </w:rPr>
        <w:t xml:space="preserve">. </w:t>
      </w:r>
      <w:r w:rsidRPr="00A71634" w:rsidR="001A5682">
        <w:rPr>
          <w:rFonts w:cs="Times New Roman"/>
          <w:sz w:val="22"/>
        </w:rPr>
        <w:t>Number of samples received per country, used for vaccine matching</w:t>
      </w:r>
      <w:r w:rsidRPr="00A71634" w:rsidR="001A5682">
        <w:rPr>
          <w:rFonts w:cs="Times New Roman"/>
          <w:sz w:val="22"/>
        </w:rPr>
        <w:t>.</w:t>
      </w:r>
    </w:p>
    <w:p w:rsidRPr="00A71634" w:rsidR="00A0094C" w:rsidP="00991BC9" w:rsidRDefault="007E48E0" w14:paraId="3F44675D" w14:textId="5F8EEACE">
      <w:pPr>
        <w:rPr>
          <w:rFonts w:cs="Times New Roman"/>
          <w:b/>
          <w:bCs/>
          <w:sz w:val="22"/>
        </w:rPr>
      </w:pPr>
      <w:r w:rsidRPr="00A71634">
        <w:rPr>
          <w:rFonts w:cs="Times New Roman"/>
          <w:b/>
          <w:bCs/>
          <w:sz w:val="22"/>
        </w:rPr>
        <w:t>Supplementary Figure 1a</w:t>
      </w:r>
      <w:r w:rsidRPr="00A71634" w:rsidR="001A5682">
        <w:rPr>
          <w:rFonts w:cs="Times New Roman"/>
          <w:b/>
          <w:bCs/>
          <w:sz w:val="22"/>
        </w:rPr>
        <w:t xml:space="preserve">. </w:t>
      </w:r>
      <w:r w:rsidRPr="00A71634" w:rsidR="001A5682">
        <w:rPr>
          <w:rFonts w:cs="Times New Roman"/>
          <w:sz w:val="22"/>
        </w:rPr>
        <w:t>Typed as</w:t>
      </w:r>
      <w:r w:rsidRPr="00A71634" w:rsidR="001A5682">
        <w:rPr>
          <w:rFonts w:cs="Times New Roman"/>
          <w:b/>
          <w:bCs/>
          <w:sz w:val="22"/>
        </w:rPr>
        <w:t xml:space="preserve"> s</w:t>
      </w:r>
      <w:r w:rsidRPr="00A71634" w:rsidR="00991BC9">
        <w:rPr>
          <w:rFonts w:cs="Times New Roman"/>
          <w:sz w:val="22"/>
        </w:rPr>
        <w:t xml:space="preserve">erotype O. </w:t>
      </w:r>
      <w:r w:rsidRPr="00A71634" w:rsidR="004A3D53">
        <w:rPr>
          <w:rFonts w:cs="Times New Roman"/>
          <w:sz w:val="22"/>
        </w:rPr>
        <w:t xml:space="preserve">Not shown on the map: </w:t>
      </w:r>
      <w:r w:rsidRPr="00A71634" w:rsidR="00A0094C">
        <w:rPr>
          <w:rFonts w:cs="Times New Roman"/>
          <w:sz w:val="22"/>
        </w:rPr>
        <w:t xml:space="preserve">Nine samples typed as serotype O were also received for the Palestian Autonomous Territories. </w:t>
      </w:r>
    </w:p>
    <w:p w:rsidRPr="00A71634" w:rsidR="00BB4693" w:rsidP="001707C2" w:rsidRDefault="00A0094C" w14:paraId="66269E3C" w14:textId="2DFD0AAA">
      <w:pPr>
        <w:rPr>
          <w:rFonts w:cs="Times New Roman"/>
          <w:sz w:val="22"/>
        </w:rPr>
      </w:pPr>
      <w:r w:rsidRPr="00A71634">
        <w:rPr>
          <w:rFonts w:cs="Times New Roman"/>
          <w:b/>
          <w:bCs/>
          <w:sz w:val="22"/>
        </w:rPr>
        <w:t xml:space="preserve">Supplementary Figure 1b. </w:t>
      </w:r>
      <w:r w:rsidRPr="00A71634" w:rsidR="001A5682">
        <w:rPr>
          <w:rFonts w:cs="Times New Roman"/>
          <w:sz w:val="22"/>
        </w:rPr>
        <w:t>T</w:t>
      </w:r>
      <w:r w:rsidRPr="00A71634" w:rsidR="001707C2">
        <w:rPr>
          <w:rFonts w:cs="Times New Roman"/>
          <w:sz w:val="22"/>
        </w:rPr>
        <w:t>yped as se</w:t>
      </w:r>
      <w:r w:rsidRPr="00A71634">
        <w:rPr>
          <w:rFonts w:cs="Times New Roman"/>
          <w:sz w:val="22"/>
        </w:rPr>
        <w:t xml:space="preserve">rotype A. </w:t>
      </w:r>
      <w:r w:rsidRPr="00A71634" w:rsidR="004A3D53">
        <w:rPr>
          <w:rFonts w:cs="Times New Roman"/>
          <w:sz w:val="22"/>
        </w:rPr>
        <w:t xml:space="preserve">Not shown on the map: </w:t>
      </w:r>
      <w:r w:rsidRPr="00A71634">
        <w:rPr>
          <w:rFonts w:cs="Times New Roman"/>
          <w:sz w:val="22"/>
        </w:rPr>
        <w:t xml:space="preserve">Three samples typed as serotype A were also received for the Palestian Autonomous Territories. </w:t>
      </w:r>
    </w:p>
    <w:p w:rsidRPr="00A71634" w:rsidR="00BB4693" w:rsidP="001707C2" w:rsidRDefault="00A0094C" w14:paraId="35677196" w14:textId="3A471975">
      <w:pPr>
        <w:rPr>
          <w:rFonts w:cs="Times New Roman"/>
          <w:sz w:val="22"/>
        </w:rPr>
      </w:pPr>
      <w:r w:rsidRPr="00A71634">
        <w:rPr>
          <w:rFonts w:cs="Times New Roman"/>
          <w:b/>
          <w:bCs/>
          <w:sz w:val="22"/>
        </w:rPr>
        <w:t>Supplementary Figure 1</w:t>
      </w:r>
      <w:r w:rsidRPr="00A71634" w:rsidR="001707C2">
        <w:rPr>
          <w:rFonts w:cs="Times New Roman"/>
          <w:b/>
          <w:bCs/>
          <w:sz w:val="22"/>
        </w:rPr>
        <w:t>c</w:t>
      </w:r>
      <w:r w:rsidRPr="00A71634">
        <w:rPr>
          <w:rFonts w:cs="Times New Roman"/>
          <w:b/>
          <w:bCs/>
          <w:sz w:val="22"/>
        </w:rPr>
        <w:t xml:space="preserve">. </w:t>
      </w:r>
      <w:r w:rsidRPr="00A71634" w:rsidR="001A5682">
        <w:rPr>
          <w:rFonts w:cs="Times New Roman"/>
          <w:sz w:val="22"/>
        </w:rPr>
        <w:t>T</w:t>
      </w:r>
      <w:r w:rsidRPr="00A71634" w:rsidR="001707C2">
        <w:rPr>
          <w:rFonts w:cs="Times New Roman"/>
          <w:sz w:val="22"/>
        </w:rPr>
        <w:t xml:space="preserve">yped as serotype Asia 1 or SAT 1. </w:t>
      </w:r>
    </w:p>
    <w:p w:rsidRPr="00A71634" w:rsidR="001707C2" w:rsidP="001707C2" w:rsidRDefault="001707C2" w14:paraId="2BCA6B2B" w14:textId="63EEB6B9">
      <w:pPr>
        <w:rPr>
          <w:rFonts w:cs="Times New Roman"/>
          <w:sz w:val="22"/>
        </w:rPr>
      </w:pPr>
      <w:r w:rsidRPr="00A71634">
        <w:rPr>
          <w:rFonts w:cs="Times New Roman"/>
          <w:b/>
          <w:bCs/>
          <w:sz w:val="22"/>
        </w:rPr>
        <w:t xml:space="preserve">Supplementary Figure 1d. </w:t>
      </w:r>
      <w:r w:rsidRPr="00A71634" w:rsidR="001A5682">
        <w:rPr>
          <w:rFonts w:cs="Times New Roman"/>
          <w:sz w:val="22"/>
        </w:rPr>
        <w:t>T</w:t>
      </w:r>
      <w:r w:rsidRPr="00A71634">
        <w:rPr>
          <w:rFonts w:cs="Times New Roman"/>
          <w:sz w:val="22"/>
        </w:rPr>
        <w:t xml:space="preserve">yped as serotype </w:t>
      </w:r>
      <w:r w:rsidRPr="00A71634" w:rsidR="001D1B66">
        <w:rPr>
          <w:rFonts w:cs="Times New Roman"/>
          <w:sz w:val="22"/>
        </w:rPr>
        <w:t>SAT</w:t>
      </w:r>
      <w:r w:rsidRPr="00A71634">
        <w:rPr>
          <w:rFonts w:cs="Times New Roman"/>
          <w:sz w:val="22"/>
        </w:rPr>
        <w:t xml:space="preserve"> 2. </w:t>
      </w:r>
      <w:r w:rsidRPr="00A71634" w:rsidR="001D1B66">
        <w:rPr>
          <w:rFonts w:cs="Times New Roman"/>
          <w:sz w:val="22"/>
        </w:rPr>
        <w:t xml:space="preserve">Not shown on the map: </w:t>
      </w:r>
      <w:r w:rsidRPr="00A71634" w:rsidR="004A3D53">
        <w:rPr>
          <w:rFonts w:cs="Times New Roman"/>
          <w:sz w:val="22"/>
        </w:rPr>
        <w:t xml:space="preserve">One sample typed as serotype SAT 2 was also received for the Palestian Autonomous Territories. </w:t>
      </w:r>
      <w:r w:rsidR="004A3D53">
        <w:rPr>
          <w:rFonts w:cs="Times New Roman"/>
          <w:sz w:val="22"/>
        </w:rPr>
        <w:t>T</w:t>
      </w:r>
      <w:r w:rsidRPr="00A71634" w:rsidR="001F6CAE">
        <w:rPr>
          <w:rFonts w:cs="Times New Roman"/>
          <w:sz w:val="22"/>
        </w:rPr>
        <w:t xml:space="preserve">wo samples </w:t>
      </w:r>
      <w:r w:rsidRPr="00A71634" w:rsidR="001D1B66">
        <w:rPr>
          <w:rFonts w:cs="Times New Roman"/>
          <w:sz w:val="22"/>
        </w:rPr>
        <w:t xml:space="preserve">from Zambia </w:t>
      </w:r>
      <w:r w:rsidRPr="00A71634" w:rsidR="001F6CAE">
        <w:rPr>
          <w:rFonts w:cs="Times New Roman"/>
          <w:sz w:val="22"/>
        </w:rPr>
        <w:t>were also typed as SAT 3.</w:t>
      </w:r>
    </w:p>
    <w:p w:rsidRPr="00A71634" w:rsidR="00391833" w:rsidP="00391833" w:rsidRDefault="00391833" w14:paraId="1D5C77C4" w14:textId="77777777">
      <w:pPr>
        <w:rPr>
          <w:rFonts w:cs="Times New Roman"/>
          <w:b/>
          <w:bCs/>
          <w:sz w:val="22"/>
        </w:rPr>
      </w:pPr>
    </w:p>
    <w:p w:rsidRPr="00A71634" w:rsidR="00391833" w:rsidP="00391833" w:rsidRDefault="00391833" w14:paraId="7F6B5AB6" w14:textId="73920C2A">
      <w:pPr>
        <w:rPr>
          <w:rFonts w:cs="Times New Roman"/>
          <w:sz w:val="22"/>
        </w:rPr>
      </w:pPr>
      <w:r w:rsidRPr="00A71634">
        <w:rPr>
          <w:rFonts w:cs="Times New Roman"/>
          <w:b/>
          <w:bCs/>
          <w:sz w:val="22"/>
          <w:lang w:val="en-CA"/>
        </w:rPr>
        <w:t>Supplementary Figure</w:t>
      </w:r>
      <w:r w:rsidRPr="00A71634" w:rsidR="00234A50">
        <w:rPr>
          <w:rFonts w:cs="Times New Roman"/>
          <w:b/>
          <w:bCs/>
          <w:sz w:val="22"/>
          <w:lang w:val="en-CA"/>
        </w:rPr>
        <w:t>s</w:t>
      </w:r>
      <w:r w:rsidRPr="00A71634">
        <w:rPr>
          <w:rFonts w:cs="Times New Roman"/>
          <w:b/>
          <w:bCs/>
          <w:sz w:val="22"/>
          <w:lang w:val="en-CA"/>
        </w:rPr>
        <w:t xml:space="preserve"> 2</w:t>
      </w:r>
      <w:r w:rsidRPr="00A71634" w:rsidR="00234A50">
        <w:rPr>
          <w:rFonts w:cs="Times New Roman"/>
          <w:b/>
          <w:bCs/>
          <w:sz w:val="22"/>
          <w:lang w:val="en-CA"/>
        </w:rPr>
        <w:t>a-b</w:t>
      </w:r>
      <w:r w:rsidRPr="00A71634">
        <w:rPr>
          <w:rFonts w:cs="Times New Roman"/>
          <w:b/>
          <w:bCs/>
          <w:sz w:val="22"/>
          <w:lang w:val="en-CA"/>
        </w:rPr>
        <w:t xml:space="preserve">. </w:t>
      </w:r>
      <w:r w:rsidRPr="00A71634">
        <w:rPr>
          <w:rFonts w:cs="Times New Roman"/>
          <w:sz w:val="22"/>
          <w:lang w:val="en-CA"/>
        </w:rPr>
        <w:t>Sensitivity analysis using Source Area Scores for the North American and Australian vaccine bank perspectives.</w:t>
      </w:r>
    </w:p>
    <w:p w:rsidRPr="00A71634" w:rsidR="00233788" w:rsidP="00CA1944" w:rsidRDefault="00391833" w14:paraId="1DB2D347" w14:textId="40562095">
      <w:pPr>
        <w:rPr>
          <w:rFonts w:cs="Times New Roman"/>
          <w:sz w:val="22"/>
        </w:rPr>
      </w:pPr>
      <w:r w:rsidRPr="00A71634">
        <w:rPr>
          <w:rFonts w:cs="Times New Roman"/>
          <w:sz w:val="22"/>
        </w:rPr>
        <w:t xml:space="preserve">Here, the additional aspects of the sensitivity analysis are shown, investigating the extent to which uncertainty in the input variables of the PRAGMATIST tool impacts the estimate of the risk covered. In the main text this example with the Source Area Scores (SAS) derived from expert elicitation from the European perspective is shown. There are also SAS from North America (Figure S2a) and Australia (Figure S2b), which are shown </w:t>
      </w:r>
      <w:r w:rsidRPr="00A71634">
        <w:rPr>
          <w:rFonts w:cs="Times New Roman"/>
          <w:sz w:val="22"/>
        </w:rPr>
        <w:lastRenderedPageBreak/>
        <w:t xml:space="preserve">below. Only small differences in the overall risk ranking are observed, which was expected; and there is little variation associated with the SAS. </w:t>
      </w:r>
    </w:p>
    <w:p w:rsidRPr="00A71634" w:rsidR="00391833" w:rsidP="00CA1944" w:rsidRDefault="00234A50" w14:paraId="77EB991C" w14:textId="13479427">
      <w:pPr>
        <w:pStyle w:val="Caption"/>
        <w:rPr>
          <w:sz w:val="22"/>
          <w:szCs w:val="22"/>
        </w:rPr>
      </w:pPr>
      <w:r w:rsidRPr="00A71634">
        <w:rPr>
          <w:sz w:val="22"/>
          <w:szCs w:val="22"/>
          <w:lang w:val="en-CA"/>
        </w:rPr>
        <w:t>Supplementary Figure 2a</w:t>
      </w:r>
      <w:r w:rsidRPr="00A71634" w:rsidR="00391833">
        <w:rPr>
          <w:sz w:val="22"/>
          <w:szCs w:val="22"/>
        </w:rPr>
        <w:t xml:space="preserve">. </w:t>
      </w:r>
      <w:r w:rsidRPr="00A71634" w:rsidR="00391833">
        <w:rPr>
          <w:b w:val="0"/>
          <w:bCs w:val="0"/>
          <w:sz w:val="22"/>
          <w:szCs w:val="22"/>
        </w:rPr>
        <w:t>The risk covered by each vaccine is shown using mid-level confidence and North American Source Area Scores.</w:t>
      </w:r>
    </w:p>
    <w:p w:rsidRPr="00A71634" w:rsidR="00391833" w:rsidP="00CA1944" w:rsidRDefault="00234A50" w14:paraId="7D25A40D" w14:textId="426B22ED">
      <w:pPr>
        <w:pStyle w:val="Caption"/>
        <w:rPr>
          <w:b w:val="0"/>
          <w:bCs w:val="0"/>
          <w:sz w:val="22"/>
          <w:szCs w:val="22"/>
        </w:rPr>
      </w:pPr>
      <w:r w:rsidRPr="00A71634">
        <w:rPr>
          <w:sz w:val="22"/>
          <w:szCs w:val="22"/>
          <w:lang w:val="en-CA"/>
        </w:rPr>
        <w:t>Supplementary Figure 2b</w:t>
      </w:r>
      <w:r w:rsidRPr="00A71634" w:rsidR="00391833">
        <w:rPr>
          <w:sz w:val="22"/>
          <w:szCs w:val="22"/>
        </w:rPr>
        <w:t xml:space="preserve">. </w:t>
      </w:r>
      <w:r w:rsidRPr="00A71634" w:rsidR="00391833">
        <w:rPr>
          <w:b w:val="0"/>
          <w:bCs w:val="0"/>
          <w:sz w:val="22"/>
          <w:szCs w:val="22"/>
        </w:rPr>
        <w:t>The risk covered by each vaccine is shown using mid-level confidence and Australian Source Area Scores.</w:t>
      </w:r>
    </w:p>
    <w:p w:rsidRPr="00A71634" w:rsidR="00CA1944" w:rsidP="00CA1944" w:rsidRDefault="00CA1944" w14:paraId="581A70CB" w14:textId="77777777">
      <w:pPr>
        <w:pStyle w:val="NoSpacing"/>
        <w:rPr>
          <w:sz w:val="22"/>
        </w:rPr>
      </w:pPr>
    </w:p>
    <w:p w:rsidRPr="00A71634" w:rsidR="00391833" w:rsidP="00391833" w:rsidRDefault="00391833" w14:paraId="28137D1C" w14:textId="47E4EB1B">
      <w:pPr>
        <w:rPr>
          <w:rFonts w:cs="Times New Roman"/>
          <w:sz w:val="22"/>
        </w:rPr>
      </w:pPr>
      <w:r w:rsidRPr="00A71634">
        <w:rPr>
          <w:rFonts w:cs="Times New Roman"/>
          <w:b/>
          <w:bCs/>
          <w:sz w:val="22"/>
          <w:lang w:val="en-CA"/>
        </w:rPr>
        <w:t>Supplementary Figure</w:t>
      </w:r>
      <w:r w:rsidRPr="00A71634" w:rsidR="00CA1944">
        <w:rPr>
          <w:rFonts w:cs="Times New Roman"/>
          <w:b/>
          <w:bCs/>
          <w:sz w:val="22"/>
          <w:lang w:val="en-CA"/>
        </w:rPr>
        <w:t>s</w:t>
      </w:r>
      <w:r w:rsidRPr="00A71634">
        <w:rPr>
          <w:rFonts w:cs="Times New Roman"/>
          <w:b/>
          <w:bCs/>
          <w:sz w:val="22"/>
          <w:lang w:val="en-CA"/>
        </w:rPr>
        <w:t xml:space="preserve"> 3</w:t>
      </w:r>
      <w:r w:rsidRPr="00A71634" w:rsidR="00CA1944">
        <w:rPr>
          <w:rFonts w:cs="Times New Roman"/>
          <w:b/>
          <w:bCs/>
          <w:sz w:val="22"/>
          <w:lang w:val="en-CA"/>
        </w:rPr>
        <w:t>a-c</w:t>
      </w:r>
      <w:r w:rsidRPr="00A71634">
        <w:rPr>
          <w:rFonts w:cs="Times New Roman"/>
          <w:b/>
          <w:bCs/>
          <w:sz w:val="22"/>
          <w:lang w:val="en-CA"/>
        </w:rPr>
        <w:t xml:space="preserve">. </w:t>
      </w:r>
      <w:r w:rsidRPr="00A71634">
        <w:rPr>
          <w:rFonts w:cs="Times New Roman"/>
          <w:sz w:val="22"/>
          <w:lang w:val="en-CA"/>
        </w:rPr>
        <w:t>Sensitivity analysis introducing the greatest amount of uncertainty in the SAS and LDS for each of the vaccine bank perspectives.</w:t>
      </w:r>
    </w:p>
    <w:p w:rsidRPr="00A71634" w:rsidR="00391833" w:rsidP="00391833" w:rsidRDefault="00391833" w14:paraId="15914648" w14:textId="66FBF70E">
      <w:pPr>
        <w:rPr>
          <w:rFonts w:cs="Times New Roman"/>
          <w:sz w:val="22"/>
        </w:rPr>
      </w:pPr>
      <w:r w:rsidRPr="00A71634">
        <w:rPr>
          <w:rFonts w:cs="Times New Roman"/>
          <w:sz w:val="22"/>
        </w:rPr>
        <w:t xml:space="preserve">In the main text, the assertion is made that the vaccine coverage score has the greatest impact on the risk coverage. It is of note, however, that uncertainty was introduced differently for the vaccine scores, because there are two different sources of uncertainty that must be accounted for. As such, it is possible when using the mid-level uncertainty, that there is not a comparable amount of variation introduced to the SAS and Lineage Distribution Scores (LDS). Therefore, this is investigated, by setting confidence to none – introducing the greatest amount of uncertainty in the SAS and LDS. These are shown below for Europe (Figure S3a), North America (Figure S3b) and Australia (Figure S3c). </w:t>
      </w:r>
    </w:p>
    <w:p w:rsidRPr="00A71634" w:rsidR="00391833" w:rsidP="00CA1944" w:rsidRDefault="00CA1944" w14:paraId="5B609BD9" w14:textId="0BA98BA9">
      <w:pPr>
        <w:pStyle w:val="Caption"/>
        <w:rPr>
          <w:sz w:val="22"/>
          <w:szCs w:val="22"/>
        </w:rPr>
      </w:pPr>
      <w:r w:rsidRPr="00A71634">
        <w:rPr>
          <w:sz w:val="22"/>
          <w:szCs w:val="22"/>
          <w:lang w:val="en-CA"/>
        </w:rPr>
        <w:t>Supplementary Figure 3a</w:t>
      </w:r>
      <w:r w:rsidRPr="00A71634" w:rsidR="00391833">
        <w:rPr>
          <w:sz w:val="22"/>
          <w:szCs w:val="22"/>
        </w:rPr>
        <w:t xml:space="preserve">. </w:t>
      </w:r>
      <w:r w:rsidRPr="00A71634" w:rsidR="00391833">
        <w:rPr>
          <w:b w:val="0"/>
          <w:bCs w:val="0"/>
          <w:sz w:val="22"/>
          <w:szCs w:val="22"/>
        </w:rPr>
        <w:t>The percentage risk covered using European SAS, and the lowest levels of confidence (none) in the SAS and LDS scores.</w:t>
      </w:r>
    </w:p>
    <w:p w:rsidRPr="00A71634" w:rsidR="00391833" w:rsidP="00CA1944" w:rsidRDefault="00CA1944" w14:paraId="2E5FB123" w14:textId="158EFFBB" w14:noSpellErr="1">
      <w:pPr>
        <w:pStyle w:val="Caption"/>
        <w:rPr>
          <w:sz w:val="22"/>
          <w:szCs w:val="22"/>
        </w:rPr>
      </w:pPr>
      <w:r w:rsidRPr="5F024FCA" w:rsidR="00CA1944">
        <w:rPr>
          <w:sz w:val="22"/>
          <w:szCs w:val="22"/>
          <w:lang w:val="en-CA"/>
        </w:rPr>
        <w:t>Supplementary Figure 3</w:t>
      </w:r>
      <w:r w:rsidRPr="5F024FCA" w:rsidR="00CA1944">
        <w:rPr>
          <w:sz w:val="22"/>
          <w:szCs w:val="22"/>
          <w:lang w:val="en-CA"/>
        </w:rPr>
        <w:t>b</w:t>
      </w:r>
      <w:r w:rsidRPr="5F024FCA" w:rsidR="00391833">
        <w:rPr>
          <w:sz w:val="22"/>
          <w:szCs w:val="22"/>
        </w:rPr>
        <w:t xml:space="preserve">. </w:t>
      </w:r>
      <w:r w:rsidRPr="5F024FCA" w:rsidR="00391833">
        <w:rPr>
          <w:b w:val="0"/>
          <w:bCs w:val="0"/>
          <w:sz w:val="22"/>
          <w:szCs w:val="22"/>
        </w:rPr>
        <w:t>The percentage risk covered using North American SAS, and the lowest levels of confidence (none) in the</w:t>
      </w:r>
      <w:r w:rsidRPr="5F024FCA" w:rsidR="00391833">
        <w:rPr>
          <w:b w:val="0"/>
          <w:bCs w:val="0"/>
          <w:sz w:val="22"/>
          <w:szCs w:val="22"/>
        </w:rPr>
        <w:t xml:space="preserve"> </w:t>
      </w:r>
      <w:r w:rsidRPr="5F024FCA" w:rsidR="00391833">
        <w:rPr>
          <w:b w:val="0"/>
          <w:bCs w:val="0"/>
          <w:sz w:val="22"/>
          <w:szCs w:val="22"/>
        </w:rPr>
        <w:t>SAS and LDS scores.</w:t>
      </w:r>
    </w:p>
    <w:p w:rsidRPr="00A71634" w:rsidR="00391833" w:rsidP="00C51AFB" w:rsidRDefault="00CA1944" w14:paraId="20D7987B" w14:textId="7DB968E9">
      <w:pPr>
        <w:pStyle w:val="Caption"/>
        <w:rPr>
          <w:b w:val="0"/>
          <w:bCs w:val="0"/>
          <w:sz w:val="22"/>
          <w:szCs w:val="22"/>
        </w:rPr>
      </w:pPr>
      <w:r w:rsidRPr="00A71634">
        <w:rPr>
          <w:sz w:val="22"/>
          <w:szCs w:val="22"/>
          <w:lang w:val="en-CA"/>
        </w:rPr>
        <w:t>Supplementary Figure 3</w:t>
      </w:r>
      <w:r w:rsidRPr="00A71634">
        <w:rPr>
          <w:sz w:val="22"/>
          <w:szCs w:val="22"/>
          <w:lang w:val="en-CA"/>
        </w:rPr>
        <w:t>c</w:t>
      </w:r>
      <w:r w:rsidRPr="00A71634" w:rsidR="00391833">
        <w:rPr>
          <w:sz w:val="22"/>
          <w:szCs w:val="22"/>
        </w:rPr>
        <w:t xml:space="preserve">. </w:t>
      </w:r>
      <w:r w:rsidRPr="00A71634" w:rsidR="00391833">
        <w:rPr>
          <w:b w:val="0"/>
          <w:bCs w:val="0"/>
          <w:sz w:val="22"/>
          <w:szCs w:val="22"/>
        </w:rPr>
        <w:t>The percentage risk covered using Australian SAS, and the lowest levels of confidence (none) in the SAS and LDS scores.</w:t>
      </w:r>
    </w:p>
    <w:p w:rsidRPr="00A71634" w:rsidR="00C51AFB" w:rsidP="00C51AFB" w:rsidRDefault="00C51AFB" w14:paraId="4CFAAE33" w14:textId="77777777">
      <w:pPr>
        <w:pStyle w:val="NoSpacing"/>
        <w:rPr>
          <w:sz w:val="22"/>
        </w:rPr>
      </w:pPr>
    </w:p>
    <w:p w:rsidRPr="00A71634" w:rsidR="00391833" w:rsidP="00391833" w:rsidRDefault="00046101" w14:paraId="0A015B23" w14:textId="6403CDF1">
      <w:pPr>
        <w:rPr>
          <w:b/>
          <w:bCs/>
          <w:sz w:val="22"/>
        </w:rPr>
      </w:pPr>
      <w:r w:rsidRPr="00A71634">
        <w:rPr>
          <w:b/>
          <w:bCs/>
          <w:sz w:val="22"/>
        </w:rPr>
        <w:t>References</w:t>
      </w:r>
    </w:p>
    <w:p w:rsidRPr="00A71634" w:rsidR="00170375" w:rsidP="00170375" w:rsidRDefault="00046101" w14:paraId="051CE88C" w14:textId="79BC6A3B">
      <w:pPr>
        <w:widowControl w:val="0"/>
        <w:autoSpaceDE w:val="0"/>
        <w:autoSpaceDN w:val="0"/>
        <w:adjustRightInd w:val="0"/>
        <w:ind w:left="640" w:hanging="640"/>
        <w:rPr>
          <w:rFonts w:cs="Times New Roman"/>
          <w:noProof/>
          <w:sz w:val="22"/>
        </w:rPr>
      </w:pPr>
      <w:r w:rsidRPr="00A71634">
        <w:rPr>
          <w:sz w:val="22"/>
        </w:rPr>
        <w:fldChar w:fldCharType="begin" w:fldLock="1"/>
      </w:r>
      <w:r w:rsidRPr="00A71634">
        <w:rPr>
          <w:sz w:val="22"/>
        </w:rPr>
        <w:instrText xml:space="preserve">ADDIN Mendeley Bibliography CSL_BIBLIOGRAPHY </w:instrText>
      </w:r>
      <w:r w:rsidRPr="00A71634">
        <w:rPr>
          <w:sz w:val="22"/>
        </w:rPr>
        <w:fldChar w:fldCharType="separate"/>
      </w:r>
      <w:r w:rsidRPr="00A71634" w:rsidR="00170375">
        <w:rPr>
          <w:rFonts w:cs="Times New Roman"/>
          <w:noProof/>
          <w:sz w:val="22"/>
        </w:rPr>
        <w:t xml:space="preserve">1. </w:t>
      </w:r>
      <w:r w:rsidRPr="00A71634" w:rsidR="00170375">
        <w:rPr>
          <w:rFonts w:cs="Times New Roman"/>
          <w:noProof/>
          <w:sz w:val="22"/>
        </w:rPr>
        <w:tab/>
      </w:r>
      <w:r w:rsidRPr="00A71634" w:rsidR="00170375">
        <w:rPr>
          <w:rFonts w:cs="Times New Roman"/>
          <w:noProof/>
          <w:sz w:val="22"/>
        </w:rPr>
        <w:t xml:space="preserve">Fishbourne E, Ludi AB, Wilsden G, Hamblin P, Statham B, Bin-Tarif A, Brocchi E, Grazioli S, Dekker A, Eblé P, et al. Efficacy of a high potency O1 Manisa foot-and-mouth disease vaccine in cattle against heterologous challenge with a field virus from the O/ME-SA/Ind-2001 lineage collected in North Africa. </w:t>
      </w:r>
      <w:r w:rsidRPr="00A71634" w:rsidR="00170375">
        <w:rPr>
          <w:rFonts w:cs="Times New Roman"/>
          <w:i/>
          <w:iCs/>
          <w:noProof/>
          <w:sz w:val="22"/>
        </w:rPr>
        <w:t>Vaccine</w:t>
      </w:r>
      <w:r w:rsidRPr="00A71634" w:rsidR="00170375">
        <w:rPr>
          <w:rFonts w:cs="Times New Roman"/>
          <w:noProof/>
          <w:sz w:val="22"/>
        </w:rPr>
        <w:t xml:space="preserve"> (2017) </w:t>
      </w:r>
      <w:r w:rsidRPr="00A71634" w:rsidR="00170375">
        <w:rPr>
          <w:rFonts w:cs="Times New Roman"/>
          <w:b/>
          <w:bCs/>
          <w:noProof/>
          <w:sz w:val="22"/>
        </w:rPr>
        <w:t>35</w:t>
      </w:r>
      <w:r w:rsidRPr="00A71634" w:rsidR="00170375">
        <w:rPr>
          <w:rFonts w:cs="Times New Roman"/>
          <w:noProof/>
          <w:sz w:val="22"/>
        </w:rPr>
        <w:t>:2761–2765. doi: 10.1016/j.vaccine.2017.02.047</w:t>
      </w:r>
    </w:p>
    <w:p w:rsidRPr="00A71634" w:rsidR="00170375" w:rsidP="00170375" w:rsidRDefault="00170375" w14:paraId="41120938" w14:textId="77777777">
      <w:pPr>
        <w:widowControl w:val="0"/>
        <w:autoSpaceDE w:val="0"/>
        <w:autoSpaceDN w:val="0"/>
        <w:adjustRightInd w:val="0"/>
        <w:ind w:left="640" w:hanging="640"/>
        <w:rPr>
          <w:rFonts w:cs="Times New Roman"/>
          <w:noProof/>
          <w:sz w:val="22"/>
        </w:rPr>
      </w:pPr>
      <w:r w:rsidRPr="00A71634">
        <w:rPr>
          <w:rFonts w:cs="Times New Roman"/>
          <w:noProof/>
          <w:sz w:val="22"/>
        </w:rPr>
        <w:t xml:space="preserve">2. </w:t>
      </w:r>
      <w:r w:rsidRPr="00A71634">
        <w:rPr>
          <w:rFonts w:cs="Times New Roman"/>
          <w:noProof/>
          <w:sz w:val="22"/>
        </w:rPr>
        <w:tab/>
      </w:r>
      <w:r w:rsidRPr="00A71634">
        <w:rPr>
          <w:rFonts w:cs="Times New Roman"/>
          <w:noProof/>
          <w:sz w:val="22"/>
        </w:rPr>
        <w:t xml:space="preserve">Singanallur NB, Dekker A, Eblé PL, van Hemert-Kluitenberg F, Weerdmeester K, Horsington JJ, Vosloo W. Emergency FMD Serotype O Vaccines Protect Cattle against Heterologous Challenge with a Variant Foot-and-Mouth Disease Virus from the O/ME-SA/Ind2001 Lineage. </w:t>
      </w:r>
      <w:r w:rsidRPr="00A71634">
        <w:rPr>
          <w:rFonts w:cs="Times New Roman"/>
          <w:i/>
          <w:iCs/>
          <w:noProof/>
          <w:sz w:val="22"/>
        </w:rPr>
        <w:t>Vaccines</w:t>
      </w:r>
      <w:r w:rsidRPr="00A71634">
        <w:rPr>
          <w:rFonts w:cs="Times New Roman"/>
          <w:noProof/>
          <w:sz w:val="22"/>
        </w:rPr>
        <w:t xml:space="preserve"> (2021) </w:t>
      </w:r>
      <w:r w:rsidRPr="00A71634">
        <w:rPr>
          <w:rFonts w:cs="Times New Roman"/>
          <w:b/>
          <w:bCs/>
          <w:noProof/>
          <w:sz w:val="22"/>
        </w:rPr>
        <w:t>9</w:t>
      </w:r>
      <w:r w:rsidRPr="00A71634">
        <w:rPr>
          <w:rFonts w:cs="Times New Roman"/>
          <w:noProof/>
          <w:sz w:val="22"/>
        </w:rPr>
        <w:t>:1110. doi: https:// doi.org/10.3390/vaccines9101110</w:t>
      </w:r>
    </w:p>
    <w:p w:rsidRPr="00A71634" w:rsidR="00170375" w:rsidP="00170375" w:rsidRDefault="00170375" w14:paraId="6BF87252" w14:textId="77777777">
      <w:pPr>
        <w:widowControl w:val="0"/>
        <w:autoSpaceDE w:val="0"/>
        <w:autoSpaceDN w:val="0"/>
        <w:adjustRightInd w:val="0"/>
        <w:ind w:left="640" w:hanging="640"/>
        <w:rPr>
          <w:rFonts w:cs="Times New Roman"/>
          <w:noProof/>
          <w:sz w:val="22"/>
        </w:rPr>
      </w:pPr>
      <w:r w:rsidRPr="00A71634">
        <w:rPr>
          <w:rFonts w:cs="Times New Roman"/>
          <w:noProof/>
          <w:sz w:val="22"/>
        </w:rPr>
        <w:t xml:space="preserve">3. </w:t>
      </w:r>
      <w:r w:rsidRPr="00A71634">
        <w:rPr>
          <w:rFonts w:cs="Times New Roman"/>
          <w:noProof/>
          <w:sz w:val="22"/>
        </w:rPr>
        <w:tab/>
      </w:r>
      <w:r w:rsidRPr="00A71634">
        <w:rPr>
          <w:rFonts w:cs="Times New Roman"/>
          <w:noProof/>
          <w:sz w:val="22"/>
        </w:rPr>
        <w:t xml:space="preserve">Waters R, Ludi AB, Fowler VL, Wilsden G, Browning C, Gubbins S, Statham B, Bin-Tarif A, Mioulet V, King DJ, et al. Efficacy of a high-potency multivalent foot-and-mouth disease virus vaccine in cattle against heterologous challenge with a field virus from the emerging A/ASIA/G-VII lineage. </w:t>
      </w:r>
      <w:r w:rsidRPr="00A71634">
        <w:rPr>
          <w:rFonts w:cs="Times New Roman"/>
          <w:i/>
          <w:iCs/>
          <w:noProof/>
          <w:sz w:val="22"/>
        </w:rPr>
        <w:t>Vaccine</w:t>
      </w:r>
      <w:r w:rsidRPr="00A71634">
        <w:rPr>
          <w:rFonts w:cs="Times New Roman"/>
          <w:noProof/>
          <w:sz w:val="22"/>
        </w:rPr>
        <w:t xml:space="preserve"> (2018) </w:t>
      </w:r>
      <w:r w:rsidRPr="00A71634">
        <w:rPr>
          <w:rFonts w:cs="Times New Roman"/>
          <w:b/>
          <w:bCs/>
          <w:noProof/>
          <w:sz w:val="22"/>
        </w:rPr>
        <w:t>36</w:t>
      </w:r>
      <w:r w:rsidRPr="00A71634">
        <w:rPr>
          <w:rFonts w:cs="Times New Roman"/>
          <w:noProof/>
          <w:sz w:val="22"/>
        </w:rPr>
        <w:t>:1901–1907. doi: 10.1016/j.vaccine.2018.02.016</w:t>
      </w:r>
    </w:p>
    <w:p w:rsidRPr="00A71634" w:rsidR="00170375" w:rsidP="00170375" w:rsidRDefault="00170375" w14:paraId="3546B0D8" w14:textId="77777777">
      <w:pPr>
        <w:widowControl w:val="0"/>
        <w:autoSpaceDE w:val="0"/>
        <w:autoSpaceDN w:val="0"/>
        <w:adjustRightInd w:val="0"/>
        <w:ind w:left="640" w:hanging="640"/>
        <w:rPr>
          <w:rFonts w:cs="Times New Roman"/>
          <w:noProof/>
          <w:sz w:val="22"/>
        </w:rPr>
      </w:pPr>
      <w:r w:rsidRPr="00A71634">
        <w:rPr>
          <w:rFonts w:cs="Times New Roman"/>
          <w:noProof/>
          <w:sz w:val="22"/>
        </w:rPr>
        <w:t xml:space="preserve">4. </w:t>
      </w:r>
      <w:r w:rsidRPr="00A71634">
        <w:rPr>
          <w:rFonts w:cs="Times New Roman"/>
          <w:noProof/>
          <w:sz w:val="22"/>
        </w:rPr>
        <w:tab/>
      </w:r>
      <w:r w:rsidRPr="00A71634">
        <w:rPr>
          <w:rFonts w:cs="Times New Roman"/>
          <w:noProof/>
          <w:sz w:val="22"/>
        </w:rPr>
        <w:t xml:space="preserve">Dekker A, Sanz-Bernardo B, Singanallur NB, Ludi AB, Horsington J, Eblé PL, King DP, Vosloo W. Cross-protection induced by a A/MAY/97 emergency vaccine against intra-serotype heterologous challenge with a foot-and-mouth disease virus from the A/ASIA/G-VII lineage. </w:t>
      </w:r>
      <w:r w:rsidRPr="00A71634">
        <w:rPr>
          <w:rFonts w:cs="Times New Roman"/>
          <w:i/>
          <w:iCs/>
          <w:noProof/>
          <w:sz w:val="22"/>
        </w:rPr>
        <w:t>Vaccines</w:t>
      </w:r>
      <w:r w:rsidRPr="00A71634">
        <w:rPr>
          <w:rFonts w:cs="Times New Roman"/>
          <w:noProof/>
          <w:sz w:val="22"/>
        </w:rPr>
        <w:t xml:space="preserve"> (2020) </w:t>
      </w:r>
      <w:r w:rsidRPr="00A71634">
        <w:rPr>
          <w:rFonts w:cs="Times New Roman"/>
          <w:b/>
          <w:bCs/>
          <w:noProof/>
          <w:sz w:val="22"/>
        </w:rPr>
        <w:t>8</w:t>
      </w:r>
      <w:r w:rsidRPr="00A71634">
        <w:rPr>
          <w:rFonts w:cs="Times New Roman"/>
          <w:noProof/>
          <w:sz w:val="22"/>
        </w:rPr>
        <w:t>:1–17. doi: 10.3390/vaccines8010024</w:t>
      </w:r>
    </w:p>
    <w:p w:rsidRPr="00A71634" w:rsidR="00170375" w:rsidP="00170375" w:rsidRDefault="00170375" w14:paraId="73FB2E73" w14:textId="77777777">
      <w:pPr>
        <w:widowControl w:val="0"/>
        <w:autoSpaceDE w:val="0"/>
        <w:autoSpaceDN w:val="0"/>
        <w:adjustRightInd w:val="0"/>
        <w:ind w:left="640" w:hanging="640"/>
        <w:rPr>
          <w:rFonts w:cs="Times New Roman"/>
          <w:noProof/>
          <w:sz w:val="22"/>
        </w:rPr>
      </w:pPr>
      <w:r w:rsidRPr="00A71634">
        <w:rPr>
          <w:rFonts w:cs="Times New Roman"/>
          <w:noProof/>
          <w:sz w:val="22"/>
        </w:rPr>
        <w:lastRenderedPageBreak/>
        <w:t xml:space="preserve">5. </w:t>
      </w:r>
      <w:r w:rsidRPr="00A71634">
        <w:rPr>
          <w:rFonts w:cs="Times New Roman"/>
          <w:noProof/>
          <w:sz w:val="22"/>
        </w:rPr>
        <w:tab/>
      </w:r>
      <w:r w:rsidRPr="00A71634">
        <w:rPr>
          <w:rFonts w:cs="Times New Roman"/>
          <w:noProof/>
          <w:sz w:val="22"/>
        </w:rPr>
        <w:t xml:space="preserve">Brehm KE, Kumar N, Thulke HH, Haas B. High potency vaccines induce protection against heterologous challenge with foot-and-mouth disease virus. </w:t>
      </w:r>
      <w:r w:rsidRPr="00A71634">
        <w:rPr>
          <w:rFonts w:cs="Times New Roman"/>
          <w:i/>
          <w:iCs/>
          <w:noProof/>
          <w:sz w:val="22"/>
        </w:rPr>
        <w:t>Vaccine</w:t>
      </w:r>
      <w:r w:rsidRPr="00A71634">
        <w:rPr>
          <w:rFonts w:cs="Times New Roman"/>
          <w:noProof/>
          <w:sz w:val="22"/>
        </w:rPr>
        <w:t xml:space="preserve"> (2008) </w:t>
      </w:r>
      <w:r w:rsidRPr="00A71634">
        <w:rPr>
          <w:rFonts w:cs="Times New Roman"/>
          <w:b/>
          <w:bCs/>
          <w:noProof/>
          <w:sz w:val="22"/>
        </w:rPr>
        <w:t>26</w:t>
      </w:r>
      <w:r w:rsidRPr="00A71634">
        <w:rPr>
          <w:rFonts w:cs="Times New Roman"/>
          <w:noProof/>
          <w:sz w:val="22"/>
        </w:rPr>
        <w:t>:1681–1687. doi: 10.1016/j.vaccine.2008.01.038</w:t>
      </w:r>
    </w:p>
    <w:p w:rsidRPr="00A71634" w:rsidR="00170375" w:rsidP="00170375" w:rsidRDefault="00170375" w14:paraId="0631E5C5" w14:textId="77777777">
      <w:pPr>
        <w:widowControl w:val="0"/>
        <w:autoSpaceDE w:val="0"/>
        <w:autoSpaceDN w:val="0"/>
        <w:adjustRightInd w:val="0"/>
        <w:ind w:left="640" w:hanging="640"/>
        <w:rPr>
          <w:rFonts w:cs="Times New Roman"/>
          <w:noProof/>
          <w:sz w:val="22"/>
        </w:rPr>
      </w:pPr>
      <w:r w:rsidRPr="00A71634">
        <w:rPr>
          <w:rFonts w:cs="Times New Roman"/>
          <w:noProof/>
          <w:sz w:val="22"/>
        </w:rPr>
        <w:t xml:space="preserve">6. </w:t>
      </w:r>
      <w:r w:rsidRPr="00A71634">
        <w:rPr>
          <w:rFonts w:cs="Times New Roman"/>
          <w:noProof/>
          <w:sz w:val="22"/>
        </w:rPr>
        <w:tab/>
      </w:r>
      <w:r w:rsidRPr="00A71634">
        <w:rPr>
          <w:rFonts w:cs="Times New Roman"/>
          <w:noProof/>
          <w:sz w:val="22"/>
        </w:rPr>
        <w:t xml:space="preserve">Nagendrakumar B, Dekker A, Eblé PL, van Hemert-Kluitenberg F, Weerdmeester K, Horsington J, Wilna VW. Emergency foot-and-mouth disease vaccines a Malaysia 97 and A22 Iraq 64 offer good protection against heterologous challenge with a variant serotype a ASIA/G-IX/SEA-97 lineage virus. </w:t>
      </w:r>
      <w:r w:rsidRPr="00A71634">
        <w:rPr>
          <w:rFonts w:cs="Times New Roman"/>
          <w:i/>
          <w:iCs/>
          <w:noProof/>
          <w:sz w:val="22"/>
        </w:rPr>
        <w:t>Vaccines</w:t>
      </w:r>
      <w:r w:rsidRPr="00A71634">
        <w:rPr>
          <w:rFonts w:cs="Times New Roman"/>
          <w:noProof/>
          <w:sz w:val="22"/>
        </w:rPr>
        <w:t xml:space="preserve"> (2020) </w:t>
      </w:r>
      <w:r w:rsidRPr="00A71634">
        <w:rPr>
          <w:rFonts w:cs="Times New Roman"/>
          <w:b/>
          <w:bCs/>
          <w:noProof/>
          <w:sz w:val="22"/>
        </w:rPr>
        <w:t>8</w:t>
      </w:r>
      <w:r w:rsidRPr="00A71634">
        <w:rPr>
          <w:rFonts w:cs="Times New Roman"/>
          <w:noProof/>
          <w:sz w:val="22"/>
        </w:rPr>
        <w:t>:1–16. doi: 10.3390/vaccines8010080</w:t>
      </w:r>
    </w:p>
    <w:p w:rsidRPr="00A71634" w:rsidR="00170375" w:rsidP="00170375" w:rsidRDefault="00170375" w14:paraId="434870F0" w14:textId="77777777">
      <w:pPr>
        <w:widowControl w:val="0"/>
        <w:autoSpaceDE w:val="0"/>
        <w:autoSpaceDN w:val="0"/>
        <w:adjustRightInd w:val="0"/>
        <w:ind w:left="640" w:hanging="640"/>
        <w:rPr>
          <w:rFonts w:cs="Times New Roman"/>
          <w:noProof/>
          <w:sz w:val="22"/>
        </w:rPr>
      </w:pPr>
      <w:r w:rsidRPr="00A71634">
        <w:rPr>
          <w:rFonts w:cs="Times New Roman"/>
          <w:noProof/>
          <w:sz w:val="22"/>
        </w:rPr>
        <w:t xml:space="preserve">7. </w:t>
      </w:r>
      <w:r w:rsidRPr="00A71634">
        <w:rPr>
          <w:rFonts w:cs="Times New Roman"/>
          <w:noProof/>
          <w:sz w:val="22"/>
        </w:rPr>
        <w:tab/>
      </w:r>
      <w:r w:rsidRPr="00A71634">
        <w:rPr>
          <w:rFonts w:cs="Times New Roman"/>
          <w:noProof/>
          <w:sz w:val="22"/>
        </w:rPr>
        <w:t>WRLFMD. Recommendation to AgResults on using serological indicators (“valency testing”) of cross protection for FMD vaccines. https://www.wrlfmd.org/sites/world/files/quick_media/Cross-neutralisation measure AgResults Final v2.1.pdf</w:t>
      </w:r>
    </w:p>
    <w:p w:rsidR="00391833" w:rsidP="00D06AC1" w:rsidRDefault="00046101" w14:paraId="711206E2" w14:textId="07DD1AF6">
      <w:pPr>
        <w:ind w:left="284" w:hanging="284"/>
      </w:pPr>
      <w:r w:rsidRPr="00A71634">
        <w:rPr>
          <w:sz w:val="22"/>
        </w:rPr>
        <w:fldChar w:fldCharType="end"/>
      </w:r>
    </w:p>
    <w:p w:rsidRPr="003539B2" w:rsidR="00DE23E8" w:rsidP="00391833" w:rsidRDefault="00DE23E8" w14:paraId="7B65BC41" w14:textId="7EF7CED6">
      <w:pPr>
        <w:spacing w:before="60" w:after="0"/>
        <w:jc w:val="both"/>
        <w:rPr>
          <w:rFonts w:cs="Times New Roman"/>
          <w:sz w:val="20"/>
          <w:szCs w:val="20"/>
        </w:rPr>
      </w:pPr>
    </w:p>
    <w:sectPr w:rsidRPr="003539B2" w:rsidR="00DE23E8" w:rsidSect="00D06AC1">
      <w:headerReference w:type="even" r:id="rId8"/>
      <w:footerReference w:type="even" r:id="rId9"/>
      <w:footerReference w:type="default" r:id="rId10"/>
      <w:headerReference w:type="first" r:id="rId11"/>
      <w:pgSz w:w="12240" w:h="15840" w:orient="portrait"/>
      <w:pgMar w:top="1138" w:right="1183" w:bottom="1138"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97125" w:rsidP="00117666" w:rsidRDefault="00897125" w14:paraId="79C55FC6" w14:textId="77777777">
      <w:pPr>
        <w:spacing w:after="0"/>
      </w:pPr>
      <w:r>
        <w:separator/>
      </w:r>
    </w:p>
  </w:endnote>
  <w:endnote w:type="continuationSeparator" w:id="0">
    <w:p w:rsidR="00897125" w:rsidP="00117666" w:rsidRDefault="00897125" w14:paraId="03297D9F"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p w:rsidRPr="00577C4C" w:rsidR="00995F6A" w:rsidRDefault="00C52A7B" w14:paraId="2C93025F" w14:textId="77777777">
    <w:pPr>
      <w:rPr>
        <w:color w:val="C00000"/>
        <w:szCs w:val="24"/>
      </w:rPr>
    </w:pPr>
    <w:r>
      <w:rPr>
        <w:noProof/>
        <w:lang w:val="en-GB" w:eastAsia="en-GB"/>
      </w:rPr>
      <mc:AlternateContent>
        <mc:Choice Requires="wps">
          <w:drawing>
            <wp:anchor distT="0" distB="0" distL="114300" distR="114300" simplePos="0" relativeHeight="251658240" behindDoc="0" locked="0" layoutInCell="1" allowOverlap="1" wp14:anchorId="382EAD14" wp14:editId="71B2BC98">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Pr="00577C4C" w:rsidR="00995F6A" w:rsidRDefault="00C52A7B" w14:paraId="50BC4D33" w14:textId="77777777">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2B4A57">
                            <w:rPr>
                              <w:noProof/>
                              <w:color w:val="000000" w:themeColor="text1"/>
                              <w:szCs w:val="40"/>
                            </w:rPr>
                            <w:t>2</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w14:anchorId="2EBEF054">
            <v:shapetype id="_x0000_t202" coordsize="21600,21600" o:spt="202" path="m,l,21600r21600,l21600,xe" w14:anchorId="382EAD14">
              <v:stroke joinstyle="miter"/>
              <v:path gradientshapeok="t" o:connecttype="rect"/>
            </v:shapetype>
            <v:shape id="Text Box 1" style="position:absolute;margin-left:67.6pt;margin-top:0;width:118.8pt;height:31.15pt;z-index:251658240;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">
              <v:textbox style="mso-fit-shape-to-text:t">
                <w:txbxContent>
                  <w:p w:rsidRPr="00577C4C" w:rsidR="00995F6A" w:rsidRDefault="00C52A7B" w14:paraId="69ADA923" w14:textId="77777777">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2B4A57">
                      <w:rPr>
                        <w:noProof/>
                        <w:color w:val="000000" w:themeColor="text1"/>
                        <w:szCs w:val="40"/>
                      </w:rPr>
                      <w:t>2</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p w:rsidRPr="00577C4C" w:rsidR="00995F6A" w:rsidRDefault="00C52A7B" w14:paraId="7B4D6A35" w14:textId="77777777">
    <w:pPr>
      <w:rPr>
        <w:b/>
        <w:sz w:val="20"/>
        <w:szCs w:val="24"/>
      </w:rPr>
    </w:pPr>
    <w:r>
      <w:rPr>
        <w:noProof/>
        <w:lang w:val="en-GB" w:eastAsia="en-GB"/>
      </w:rPr>
      <mc:AlternateContent>
        <mc:Choice Requires="wps">
          <w:drawing>
            <wp:anchor distT="0" distB="0" distL="114300" distR="114300" simplePos="0" relativeHeight="251657216" behindDoc="0" locked="0" layoutInCell="1" allowOverlap="1" wp14:anchorId="70F9F55F" wp14:editId="40473BEB">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Pr="00577C4C" w:rsidR="00995F6A" w:rsidRDefault="00C52A7B" w14:paraId="570F0D09" w14:textId="77777777">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94A3D">
                            <w:rPr>
                              <w:noProof/>
                              <w:color w:val="000000" w:themeColor="text1"/>
                              <w:szCs w:val="40"/>
                            </w:rPr>
                            <w:t>3</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w14:anchorId="0EA7465F">
            <v:shapetype id="_x0000_t202" coordsize="21600,21600" o:spt="202" path="m,l,21600r21600,l21600,xe" w14:anchorId="70F9F55F">
              <v:stroke joinstyle="miter"/>
              <v:path gradientshapeok="t" o:connecttype="rect"/>
            </v:shapetype>
            <v:shape id="Text Box 56" style="position:absolute;margin-left:67.6pt;margin-top:0;width:118.8pt;height:31.15pt;z-index:25165721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">
              <v:textbox style="mso-fit-shape-to-text:t">
                <w:txbxContent>
                  <w:p w:rsidRPr="00577C4C" w:rsidR="00995F6A" w:rsidRDefault="00C52A7B" w14:paraId="1FF93E19" w14:textId="77777777">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94A3D">
                      <w:rPr>
                        <w:noProof/>
                        <w:color w:val="000000" w:themeColor="text1"/>
                        <w:szCs w:val="40"/>
                      </w:rPr>
                      <w:t>3</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97125" w:rsidP="00117666" w:rsidRDefault="00897125" w14:paraId="63234507" w14:textId="77777777">
      <w:pPr>
        <w:spacing w:after="0"/>
      </w:pPr>
      <w:r>
        <w:separator/>
      </w:r>
    </w:p>
  </w:footnote>
  <w:footnote w:type="continuationSeparator" w:id="0">
    <w:p w:rsidR="00897125" w:rsidP="00117666" w:rsidRDefault="00897125" w14:paraId="5E6F13EC" w14:textId="7777777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9151AA" w:rsidR="00995F6A" w:rsidRDefault="00C52A7B" w14:paraId="34AEF00C" w14:textId="77777777">
    <w:pPr>
      <w:rPr>
        <w:rFonts w:cs="Times New Roman"/>
      </w:rPr>
    </w:pPr>
    <w:r w:rsidRPr="009151AA">
      <w:rPr>
        <w:rFonts w:cs="Times New Roman"/>
      </w:rPr>
      <w:ptab w:alignment="center" w:relativeTo="margin" w:leader="none"/>
    </w:r>
    <w:r w:rsidRPr="009151AA">
      <w:rPr>
        <w:rFonts w:cs="Times New Roman"/>
      </w:rPr>
      <w:ptab w:alignment="right" w:relativeTo="margin" w:leader="none"/>
    </w:r>
    <w:r w:rsidRPr="009151AA" w:rsidR="001549D3">
      <w:rPr>
        <w:rFonts w:cs="Times New Roman"/>
      </w:rPr>
      <w:t>Supplementary Material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95F6A" w:rsidP="0093429D" w:rsidRDefault="0093429D" w14:paraId="171D68C6" w14:textId="77777777">
    <w:r w:rsidRPr="005A1D84">
      <w:rPr>
        <w:b/>
        <w:noProof/>
        <w:color w:val="A6A6A6" w:themeColor="background1" w:themeShade="A6"/>
        <w:lang w:val="en-GB" w:eastAsia="en-GB"/>
      </w:rPr>
      <w:drawing>
        <wp:inline distT="0" distB="0" distL="0" distR="0" wp14:anchorId="07D26A56" wp14:editId="2E460F0E">
          <wp:extent cx="1382534" cy="497091"/>
          <wp:effectExtent l="0" t="0" r="0" b="0"/>
          <wp:docPr id="19" name="Picture 19"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909" cy="551877"/>
                  </a:xfrm>
                  <a:prstGeom prst="rect">
                    <a:avLst/>
                  </a:prstGeom>
                  <a:noFill/>
                  <a:ln>
                    <a:noFill/>
                  </a:ln>
                </pic:spPr>
              </pic:pic>
            </a:graphicData>
          </a:graphic>
        </wp:inline>
      </w:drawing>
    </w:r>
    <w:r w:rsidRPr="007E3148" w:rsidR="00C52A7B">
      <w:rPr>
        <w:b/>
      </w:rPr>
      <w:ptab w:alignment="center" w:relativeTo="margin" w:leader="none"/>
    </w:r>
    <w:r w:rsidR="00C52A7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7666"/>
    <w:multiLevelType w:val="multilevel"/>
    <w:tmpl w:val="615EAD26"/>
    <w:lvl w:ilvl="0">
      <w:start w:val="1"/>
      <w:numFmt w:val="decimal"/>
      <w:lvlText w:val="%1."/>
      <w:lvlJc w:val="left"/>
      <w:pPr>
        <w:ind w:left="0" w:firstLine="0"/>
      </w:pPr>
      <w:rPr>
        <w:rFonts w:hint="default"/>
        <w:b/>
        <w:lang w:val="en-G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ascii="Times New Roman" w:hAnsi="Times New Roman"/>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1EC0601A"/>
    <w:multiLevelType w:val="multilevel"/>
    <w:tmpl w:val="2D740DBE"/>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3" w15:restartNumberingAfterBreak="0">
    <w:nsid w:val="225305B5"/>
    <w:multiLevelType w:val="hybridMultilevel"/>
    <w:tmpl w:val="4F8C24FA"/>
    <w:lvl w:ilvl="0" w:tplc="A9DCD718">
      <w:start w:val="1"/>
      <w:numFmt w:val="bullet"/>
      <w:pStyle w:val="ListParagraph"/>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4"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3E6C4F"/>
    <w:multiLevelType w:val="hybridMultilevel"/>
    <w:tmpl w:val="E39A393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6A173C1D"/>
    <w:multiLevelType w:val="multilevel"/>
    <w:tmpl w:val="61DCC3B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num w:numId="1">
    <w:abstractNumId w:val="0"/>
  </w:num>
  <w:num w:numId="2">
    <w:abstractNumId w:val="4"/>
  </w:num>
  <w:num w:numId="3">
    <w:abstractNumId w:val="1"/>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6"/>
  </w:num>
  <w:num w:numId="9">
    <w:abstractNumId w:val="6"/>
  </w:num>
  <w:num w:numId="10">
    <w:abstractNumId w:val="6"/>
  </w:num>
  <w:num w:numId="11">
    <w:abstractNumId w:val="6"/>
  </w:num>
  <w:num w:numId="12">
    <w:abstractNumId w:val="6"/>
  </w:num>
  <w:num w:numId="13">
    <w:abstractNumId w:val="3"/>
  </w:num>
  <w:num w:numId="14">
    <w:abstractNumId w:val="2"/>
  </w:num>
  <w:num w:numId="15">
    <w:abstractNumId w:val="2"/>
  </w:num>
  <w:num w:numId="16">
    <w:abstractNumId w:val="2"/>
  </w:num>
  <w:num w:numId="17">
    <w:abstractNumId w:val="2"/>
  </w:num>
  <w:num w:numId="18">
    <w:abstractNumId w:val="2"/>
  </w:num>
  <w:num w:numId="19">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dirty"/>
  <w:attachedTemplate r:id="rId1"/>
  <w:trackRevisions w:val="false"/>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0B5"/>
    <w:rsid w:val="0001436A"/>
    <w:rsid w:val="00034304"/>
    <w:rsid w:val="00035434"/>
    <w:rsid w:val="00036C98"/>
    <w:rsid w:val="00046101"/>
    <w:rsid w:val="000507FE"/>
    <w:rsid w:val="00052A14"/>
    <w:rsid w:val="00077D53"/>
    <w:rsid w:val="00093FC6"/>
    <w:rsid w:val="000F014D"/>
    <w:rsid w:val="000F1F5D"/>
    <w:rsid w:val="000F303B"/>
    <w:rsid w:val="0010195B"/>
    <w:rsid w:val="00105FD9"/>
    <w:rsid w:val="00117666"/>
    <w:rsid w:val="00134A00"/>
    <w:rsid w:val="00137477"/>
    <w:rsid w:val="001549D3"/>
    <w:rsid w:val="00160065"/>
    <w:rsid w:val="00167F90"/>
    <w:rsid w:val="00170375"/>
    <w:rsid w:val="001707C2"/>
    <w:rsid w:val="00177D84"/>
    <w:rsid w:val="001A5682"/>
    <w:rsid w:val="001D1B66"/>
    <w:rsid w:val="001D212C"/>
    <w:rsid w:val="001F6CAE"/>
    <w:rsid w:val="00202C4A"/>
    <w:rsid w:val="00233788"/>
    <w:rsid w:val="00234A50"/>
    <w:rsid w:val="00267D18"/>
    <w:rsid w:val="00274347"/>
    <w:rsid w:val="002868E2"/>
    <w:rsid w:val="002869C3"/>
    <w:rsid w:val="002936E4"/>
    <w:rsid w:val="002B4A57"/>
    <w:rsid w:val="002B6489"/>
    <w:rsid w:val="002C74CA"/>
    <w:rsid w:val="003074BA"/>
    <w:rsid w:val="00311574"/>
    <w:rsid w:val="003123F4"/>
    <w:rsid w:val="00337D31"/>
    <w:rsid w:val="003539B2"/>
    <w:rsid w:val="003544FB"/>
    <w:rsid w:val="00382A5B"/>
    <w:rsid w:val="00391833"/>
    <w:rsid w:val="003A45F4"/>
    <w:rsid w:val="003B41A0"/>
    <w:rsid w:val="003D2F2D"/>
    <w:rsid w:val="003D76F5"/>
    <w:rsid w:val="003E79E6"/>
    <w:rsid w:val="003F08A0"/>
    <w:rsid w:val="00401590"/>
    <w:rsid w:val="00402929"/>
    <w:rsid w:val="00431841"/>
    <w:rsid w:val="00434530"/>
    <w:rsid w:val="00447801"/>
    <w:rsid w:val="00452E9C"/>
    <w:rsid w:val="00456329"/>
    <w:rsid w:val="00471685"/>
    <w:rsid w:val="004735C8"/>
    <w:rsid w:val="004947A6"/>
    <w:rsid w:val="004961FF"/>
    <w:rsid w:val="004A2D0C"/>
    <w:rsid w:val="004A3D53"/>
    <w:rsid w:val="004E2BC6"/>
    <w:rsid w:val="00501265"/>
    <w:rsid w:val="005053DA"/>
    <w:rsid w:val="00517A89"/>
    <w:rsid w:val="005250F2"/>
    <w:rsid w:val="00575561"/>
    <w:rsid w:val="00582590"/>
    <w:rsid w:val="00593EEA"/>
    <w:rsid w:val="005A5EEE"/>
    <w:rsid w:val="005A7EF4"/>
    <w:rsid w:val="006375C7"/>
    <w:rsid w:val="00654E8F"/>
    <w:rsid w:val="00660D05"/>
    <w:rsid w:val="006818A7"/>
    <w:rsid w:val="006820B1"/>
    <w:rsid w:val="006B7D14"/>
    <w:rsid w:val="006D0CB8"/>
    <w:rsid w:val="00701727"/>
    <w:rsid w:val="0070566C"/>
    <w:rsid w:val="00714C50"/>
    <w:rsid w:val="00725A7D"/>
    <w:rsid w:val="007501BE"/>
    <w:rsid w:val="00763E80"/>
    <w:rsid w:val="00767CFA"/>
    <w:rsid w:val="00790BB3"/>
    <w:rsid w:val="007930D0"/>
    <w:rsid w:val="007C206C"/>
    <w:rsid w:val="007E48E0"/>
    <w:rsid w:val="00810481"/>
    <w:rsid w:val="0081424A"/>
    <w:rsid w:val="00817DD6"/>
    <w:rsid w:val="00820BB0"/>
    <w:rsid w:val="0083759F"/>
    <w:rsid w:val="00837AD6"/>
    <w:rsid w:val="00885156"/>
    <w:rsid w:val="00897125"/>
    <w:rsid w:val="008A3E9A"/>
    <w:rsid w:val="008C0906"/>
    <w:rsid w:val="009151AA"/>
    <w:rsid w:val="00927EE6"/>
    <w:rsid w:val="0093429D"/>
    <w:rsid w:val="00943573"/>
    <w:rsid w:val="00946D93"/>
    <w:rsid w:val="00964134"/>
    <w:rsid w:val="00970F7D"/>
    <w:rsid w:val="00991BC9"/>
    <w:rsid w:val="00994A3D"/>
    <w:rsid w:val="009A0BDD"/>
    <w:rsid w:val="009B311C"/>
    <w:rsid w:val="009C2B12"/>
    <w:rsid w:val="00A0094C"/>
    <w:rsid w:val="00A174D9"/>
    <w:rsid w:val="00A253AE"/>
    <w:rsid w:val="00A30279"/>
    <w:rsid w:val="00A57CF6"/>
    <w:rsid w:val="00A71634"/>
    <w:rsid w:val="00AA4D24"/>
    <w:rsid w:val="00AB6715"/>
    <w:rsid w:val="00AF1284"/>
    <w:rsid w:val="00B13B71"/>
    <w:rsid w:val="00B1671E"/>
    <w:rsid w:val="00B25EB8"/>
    <w:rsid w:val="00B37F4D"/>
    <w:rsid w:val="00B913DC"/>
    <w:rsid w:val="00BB4693"/>
    <w:rsid w:val="00BD5915"/>
    <w:rsid w:val="00C41F5C"/>
    <w:rsid w:val="00C51AFB"/>
    <w:rsid w:val="00C52A7B"/>
    <w:rsid w:val="00C56BAF"/>
    <w:rsid w:val="00C638B5"/>
    <w:rsid w:val="00C679AA"/>
    <w:rsid w:val="00C75972"/>
    <w:rsid w:val="00CA1944"/>
    <w:rsid w:val="00CB742B"/>
    <w:rsid w:val="00CD066B"/>
    <w:rsid w:val="00CD4F47"/>
    <w:rsid w:val="00CE348D"/>
    <w:rsid w:val="00CE4FEE"/>
    <w:rsid w:val="00CF2DF7"/>
    <w:rsid w:val="00D060CF"/>
    <w:rsid w:val="00D06AC1"/>
    <w:rsid w:val="00D244FC"/>
    <w:rsid w:val="00D26C4D"/>
    <w:rsid w:val="00D75177"/>
    <w:rsid w:val="00D97892"/>
    <w:rsid w:val="00DB59C3"/>
    <w:rsid w:val="00DC259A"/>
    <w:rsid w:val="00DC270B"/>
    <w:rsid w:val="00DE23E8"/>
    <w:rsid w:val="00E0598A"/>
    <w:rsid w:val="00E23241"/>
    <w:rsid w:val="00E52377"/>
    <w:rsid w:val="00E537AD"/>
    <w:rsid w:val="00E64E17"/>
    <w:rsid w:val="00E8308E"/>
    <w:rsid w:val="00E866C9"/>
    <w:rsid w:val="00EA3D3C"/>
    <w:rsid w:val="00EC090A"/>
    <w:rsid w:val="00EC5C7E"/>
    <w:rsid w:val="00ED20B5"/>
    <w:rsid w:val="00F10809"/>
    <w:rsid w:val="00F1754B"/>
    <w:rsid w:val="00F32526"/>
    <w:rsid w:val="00F46900"/>
    <w:rsid w:val="00F61D89"/>
    <w:rsid w:val="00FF16C5"/>
    <w:rsid w:val="00FF1F96"/>
    <w:rsid w:val="5F024F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6DB94A"/>
  <w15:docId w15:val="{88748FF8-5D22-488D-A39B-60AD93690E3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uiPriority="2" w:semiHidden="1" w:unhideWhenUsed="1" w:qFormat="1"/>
    <w:lsdException w:name="heading 3" w:uiPriority="2" w:semiHidden="1" w:unhideWhenUsed="1" w:qFormat="1"/>
    <w:lsdException w:name="heading 4" w:uiPriority="2" w:semiHidden="1" w:unhideWhenUsed="1" w:qFormat="1"/>
    <w:lsdException w:name="heading 5" w:uiPriority="2"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B6715"/>
    <w:pPr>
      <w:spacing w:before="120" w:after="240" w:line="240" w:lineRule="auto"/>
    </w:pPr>
    <w:rPr>
      <w:rFonts w:ascii="Times New Roman" w:hAnsi="Times New Roman"/>
      <w:sz w:val="24"/>
    </w:rPr>
  </w:style>
  <w:style w:type="paragraph" w:styleId="Heading1">
    <w:name w:val="heading 1"/>
    <w:basedOn w:val="ListParagraph"/>
    <w:next w:val="Normal"/>
    <w:link w:val="Heading1Char"/>
    <w:uiPriority w:val="2"/>
    <w:qFormat/>
    <w:rsid w:val="00AB6715"/>
    <w:pPr>
      <w:numPr>
        <w:numId w:val="19"/>
      </w:numPr>
      <w:spacing w:before="240"/>
      <w:contextualSpacing w:val="0"/>
      <w:outlineLvl w:val="0"/>
    </w:pPr>
    <w:rPr>
      <w:b/>
    </w:rPr>
  </w:style>
  <w:style w:type="paragraph" w:styleId="Heading2">
    <w:name w:val="heading 2"/>
    <w:basedOn w:val="Heading1"/>
    <w:next w:val="Normal"/>
    <w:link w:val="Heading2Char"/>
    <w:uiPriority w:val="2"/>
    <w:qFormat/>
    <w:rsid w:val="00AB6715"/>
    <w:pPr>
      <w:numPr>
        <w:ilvl w:val="1"/>
      </w:numPr>
      <w:spacing w:after="200"/>
      <w:outlineLvl w:val="1"/>
    </w:pPr>
  </w:style>
  <w:style w:type="paragraph" w:styleId="Heading3">
    <w:name w:val="heading 3"/>
    <w:basedOn w:val="Normal"/>
    <w:next w:val="Normal"/>
    <w:link w:val="Heading3Char"/>
    <w:uiPriority w:val="2"/>
    <w:qFormat/>
    <w:rsid w:val="00AB6715"/>
    <w:pPr>
      <w:keepNext/>
      <w:keepLines/>
      <w:numPr>
        <w:ilvl w:val="2"/>
        <w:numId w:val="19"/>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AB6715"/>
    <w:pPr>
      <w:numPr>
        <w:ilvl w:val="3"/>
      </w:numPr>
      <w:outlineLvl w:val="3"/>
    </w:pPr>
    <w:rPr>
      <w:iCs/>
    </w:rPr>
  </w:style>
  <w:style w:type="paragraph" w:styleId="Heading5">
    <w:name w:val="heading 5"/>
    <w:basedOn w:val="Heading4"/>
    <w:next w:val="Normal"/>
    <w:link w:val="Heading5Char"/>
    <w:uiPriority w:val="2"/>
    <w:qFormat/>
    <w:rsid w:val="00AB6715"/>
    <w:pPr>
      <w:numPr>
        <w:ilvl w:val="4"/>
      </w:numPr>
      <w:outlineLvl w:val="4"/>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2"/>
    <w:rsid w:val="00AB6715"/>
    <w:rPr>
      <w:rFonts w:ascii="Times New Roman" w:hAnsi="Times New Roman" w:eastAsia="Cambria" w:cs="Times New Roman"/>
      <w:b/>
      <w:sz w:val="24"/>
      <w:szCs w:val="24"/>
    </w:rPr>
  </w:style>
  <w:style w:type="character" w:styleId="Heading2Char" w:customStyle="1">
    <w:name w:val="Heading 2 Char"/>
    <w:basedOn w:val="DefaultParagraphFont"/>
    <w:link w:val="Heading2"/>
    <w:uiPriority w:val="2"/>
    <w:rsid w:val="00AB6715"/>
    <w:rPr>
      <w:rFonts w:ascii="Times New Roman" w:hAnsi="Times New Roman" w:eastAsia="Cambria" w:cs="Times New Roman"/>
      <w:b/>
      <w:sz w:val="24"/>
      <w:szCs w:val="24"/>
    </w:rPr>
  </w:style>
  <w:style w:type="paragraph" w:styleId="Subtitle">
    <w:name w:val="Subtitle"/>
    <w:basedOn w:val="Normal"/>
    <w:next w:val="Normal"/>
    <w:link w:val="SubtitleChar"/>
    <w:uiPriority w:val="99"/>
    <w:unhideWhenUsed/>
    <w:qFormat/>
    <w:rsid w:val="00AB6715"/>
    <w:pPr>
      <w:spacing w:before="240"/>
    </w:pPr>
    <w:rPr>
      <w:rFonts w:cs="Times New Roman"/>
      <w:b/>
      <w:szCs w:val="24"/>
    </w:rPr>
  </w:style>
  <w:style w:type="character" w:styleId="SubtitleChar" w:customStyle="1">
    <w:name w:val="Subtitle Char"/>
    <w:basedOn w:val="DefaultParagraphFont"/>
    <w:link w:val="Subtitle"/>
    <w:uiPriority w:val="99"/>
    <w:rsid w:val="00AB6715"/>
    <w:rPr>
      <w:rFonts w:ascii="Times New Roman" w:hAnsi="Times New Roman" w:cs="Times New Roman"/>
      <w:b/>
      <w:sz w:val="24"/>
      <w:szCs w:val="24"/>
    </w:rPr>
  </w:style>
  <w:style w:type="paragraph" w:styleId="AuthorList" w:customStyle="1">
    <w:name w:val="Author List"/>
    <w:aliases w:val="Keywords,Abstract"/>
    <w:basedOn w:val="Subtitle"/>
    <w:next w:val="Normal"/>
    <w:uiPriority w:val="1"/>
    <w:qFormat/>
    <w:rsid w:val="00AB6715"/>
  </w:style>
  <w:style w:type="paragraph" w:styleId="BalloonText">
    <w:name w:val="Balloon Text"/>
    <w:basedOn w:val="Normal"/>
    <w:link w:val="BalloonTextChar"/>
    <w:uiPriority w:val="99"/>
    <w:semiHidden/>
    <w:unhideWhenUsed/>
    <w:rsid w:val="00AB6715"/>
    <w:pPr>
      <w:spacing w:after="0"/>
    </w:pPr>
    <w:rPr>
      <w:rFonts w:ascii="Tahoma" w:hAnsi="Tahoma" w:cs="Tahoma"/>
      <w:sz w:val="16"/>
      <w:szCs w:val="16"/>
    </w:rPr>
  </w:style>
  <w:style w:type="character" w:styleId="BalloonTextChar" w:customStyle="1">
    <w:name w:val="Balloon Text Char"/>
    <w:basedOn w:val="DefaultParagraphFont"/>
    <w:link w:val="BalloonText"/>
    <w:uiPriority w:val="99"/>
    <w:semiHidden/>
    <w:rsid w:val="00AB6715"/>
    <w:rPr>
      <w:rFonts w:ascii="Tahoma" w:hAnsi="Tahoma" w:cs="Tahoma"/>
      <w:sz w:val="16"/>
      <w:szCs w:val="16"/>
    </w:rPr>
  </w:style>
  <w:style w:type="character" w:styleId="BookTitle">
    <w:name w:val="Book Title"/>
    <w:basedOn w:val="DefaultParagraphFont"/>
    <w:uiPriority w:val="33"/>
    <w:qFormat/>
    <w:rsid w:val="00AB6715"/>
    <w:rPr>
      <w:rFonts w:ascii="Times New Roman" w:hAnsi="Times New Roman"/>
      <w:b/>
      <w:bCs/>
      <w:i/>
      <w:iCs/>
      <w:spacing w:val="5"/>
    </w:rPr>
  </w:style>
  <w:style w:type="paragraph" w:styleId="Caption">
    <w:name w:val="caption"/>
    <w:basedOn w:val="Normal"/>
    <w:next w:val="NoSpacing"/>
    <w:uiPriority w:val="35"/>
    <w:unhideWhenUsed/>
    <w:qFormat/>
    <w:rsid w:val="00AB6715"/>
    <w:pPr>
      <w:keepNext/>
    </w:pPr>
    <w:rPr>
      <w:rFonts w:cs="Times New Roman"/>
      <w:b/>
      <w:bCs/>
      <w:szCs w:val="24"/>
    </w:rPr>
  </w:style>
  <w:style w:type="paragraph" w:styleId="NoSpacing">
    <w:name w:val="No Spacing"/>
    <w:uiPriority w:val="99"/>
    <w:unhideWhenUsed/>
    <w:qFormat/>
    <w:rsid w:val="00AB671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AB6715"/>
    <w:rPr>
      <w:sz w:val="16"/>
      <w:szCs w:val="16"/>
    </w:rPr>
  </w:style>
  <w:style w:type="paragraph" w:styleId="CommentText">
    <w:name w:val="annotation text"/>
    <w:basedOn w:val="Normal"/>
    <w:link w:val="CommentTextChar"/>
    <w:uiPriority w:val="99"/>
    <w:unhideWhenUsed/>
    <w:rsid w:val="00AB6715"/>
    <w:rPr>
      <w:sz w:val="20"/>
      <w:szCs w:val="20"/>
    </w:rPr>
  </w:style>
  <w:style w:type="character" w:styleId="CommentTextChar" w:customStyle="1">
    <w:name w:val="Comment Text Char"/>
    <w:basedOn w:val="DefaultParagraphFont"/>
    <w:link w:val="CommentText"/>
    <w:uiPriority w:val="99"/>
    <w:rsid w:val="00AB671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B6715"/>
    <w:rPr>
      <w:b/>
      <w:bCs/>
    </w:rPr>
  </w:style>
  <w:style w:type="character" w:styleId="CommentSubjectChar" w:customStyle="1">
    <w:name w:val="Comment Subject Char"/>
    <w:basedOn w:val="CommentTextChar"/>
    <w:link w:val="CommentSubject"/>
    <w:uiPriority w:val="99"/>
    <w:semiHidden/>
    <w:rsid w:val="00AB6715"/>
    <w:rPr>
      <w:rFonts w:ascii="Times New Roman" w:hAnsi="Times New Roman"/>
      <w:b/>
      <w:bCs/>
      <w:sz w:val="20"/>
      <w:szCs w:val="20"/>
    </w:rPr>
  </w:style>
  <w:style w:type="character" w:styleId="Emphasis">
    <w:name w:val="Emphasis"/>
    <w:basedOn w:val="DefaultParagraphFont"/>
    <w:uiPriority w:val="20"/>
    <w:qFormat/>
    <w:rsid w:val="00AB6715"/>
    <w:rPr>
      <w:rFonts w:ascii="Times New Roman" w:hAnsi="Times New Roman"/>
      <w:i/>
      <w:iCs/>
    </w:rPr>
  </w:style>
  <w:style w:type="character" w:styleId="EndnoteReference">
    <w:name w:val="endnote reference"/>
    <w:basedOn w:val="DefaultParagraphFont"/>
    <w:uiPriority w:val="99"/>
    <w:semiHidden/>
    <w:unhideWhenUsed/>
    <w:rsid w:val="00AB6715"/>
    <w:rPr>
      <w:vertAlign w:val="superscript"/>
    </w:rPr>
  </w:style>
  <w:style w:type="paragraph" w:styleId="EndnoteText">
    <w:name w:val="endnote text"/>
    <w:basedOn w:val="Normal"/>
    <w:link w:val="EndnoteTextChar"/>
    <w:uiPriority w:val="99"/>
    <w:semiHidden/>
    <w:unhideWhenUsed/>
    <w:rsid w:val="00AB6715"/>
    <w:pPr>
      <w:spacing w:after="0"/>
    </w:pPr>
    <w:rPr>
      <w:sz w:val="20"/>
      <w:szCs w:val="20"/>
    </w:rPr>
  </w:style>
  <w:style w:type="character" w:styleId="EndnoteTextChar" w:customStyle="1">
    <w:name w:val="Endnote Text Char"/>
    <w:basedOn w:val="DefaultParagraphFont"/>
    <w:link w:val="EndnoteText"/>
    <w:uiPriority w:val="99"/>
    <w:semiHidden/>
    <w:rsid w:val="00AB6715"/>
    <w:rPr>
      <w:rFonts w:ascii="Times New Roman" w:hAnsi="Times New Roman"/>
      <w:sz w:val="20"/>
      <w:szCs w:val="20"/>
    </w:rPr>
  </w:style>
  <w:style w:type="character" w:styleId="FollowedHyperlink">
    <w:name w:val="FollowedHyperlink"/>
    <w:basedOn w:val="DefaultParagraphFont"/>
    <w:uiPriority w:val="99"/>
    <w:semiHidden/>
    <w:unhideWhenUsed/>
    <w:rsid w:val="00AB6715"/>
    <w:rPr>
      <w:color w:val="800080" w:themeColor="followedHyperlink"/>
      <w:u w:val="single"/>
    </w:rPr>
  </w:style>
  <w:style w:type="paragraph" w:styleId="Footer">
    <w:name w:val="footer"/>
    <w:basedOn w:val="Normal"/>
    <w:link w:val="FooterChar"/>
    <w:uiPriority w:val="99"/>
    <w:unhideWhenUsed/>
    <w:rsid w:val="00AB6715"/>
    <w:pPr>
      <w:tabs>
        <w:tab w:val="center" w:pos="4844"/>
        <w:tab w:val="right" w:pos="9689"/>
      </w:tabs>
      <w:spacing w:after="0"/>
    </w:pPr>
  </w:style>
  <w:style w:type="character" w:styleId="FooterChar" w:customStyle="1">
    <w:name w:val="Footer Char"/>
    <w:basedOn w:val="DefaultParagraphFont"/>
    <w:link w:val="Footer"/>
    <w:uiPriority w:val="99"/>
    <w:rsid w:val="00AB6715"/>
    <w:rPr>
      <w:rFonts w:ascii="Times New Roman" w:hAnsi="Times New Roman"/>
      <w:sz w:val="24"/>
    </w:rPr>
  </w:style>
  <w:style w:type="character" w:styleId="FootnoteReference">
    <w:name w:val="footnote reference"/>
    <w:basedOn w:val="DefaultParagraphFont"/>
    <w:uiPriority w:val="99"/>
    <w:semiHidden/>
    <w:unhideWhenUsed/>
    <w:rsid w:val="00AB6715"/>
    <w:rPr>
      <w:vertAlign w:val="superscript"/>
    </w:rPr>
  </w:style>
  <w:style w:type="paragraph" w:styleId="FootnoteText">
    <w:name w:val="footnote text"/>
    <w:basedOn w:val="Normal"/>
    <w:link w:val="FootnoteTextChar"/>
    <w:uiPriority w:val="99"/>
    <w:semiHidden/>
    <w:unhideWhenUsed/>
    <w:rsid w:val="00AB6715"/>
    <w:pPr>
      <w:spacing w:after="0"/>
    </w:pPr>
    <w:rPr>
      <w:sz w:val="20"/>
      <w:szCs w:val="20"/>
    </w:rPr>
  </w:style>
  <w:style w:type="character" w:styleId="FootnoteTextChar" w:customStyle="1">
    <w:name w:val="Footnote Text Char"/>
    <w:basedOn w:val="DefaultParagraphFont"/>
    <w:link w:val="FootnoteText"/>
    <w:uiPriority w:val="99"/>
    <w:semiHidden/>
    <w:rsid w:val="00AB6715"/>
    <w:rPr>
      <w:rFonts w:ascii="Times New Roman" w:hAnsi="Times New Roman"/>
      <w:sz w:val="20"/>
      <w:szCs w:val="20"/>
    </w:rPr>
  </w:style>
  <w:style w:type="paragraph" w:styleId="Header">
    <w:name w:val="header"/>
    <w:basedOn w:val="Normal"/>
    <w:link w:val="HeaderChar"/>
    <w:uiPriority w:val="99"/>
    <w:unhideWhenUsed/>
    <w:rsid w:val="00AB6715"/>
    <w:pPr>
      <w:tabs>
        <w:tab w:val="center" w:pos="4844"/>
        <w:tab w:val="right" w:pos="9689"/>
      </w:tabs>
    </w:pPr>
    <w:rPr>
      <w:b/>
    </w:rPr>
  </w:style>
  <w:style w:type="character" w:styleId="HeaderChar" w:customStyle="1">
    <w:name w:val="Header Char"/>
    <w:basedOn w:val="DefaultParagraphFont"/>
    <w:link w:val="Header"/>
    <w:uiPriority w:val="99"/>
    <w:rsid w:val="00AB6715"/>
    <w:rPr>
      <w:rFonts w:ascii="Times New Roman" w:hAnsi="Times New Roman"/>
      <w:b/>
      <w:sz w:val="24"/>
    </w:rPr>
  </w:style>
  <w:style w:type="paragraph" w:styleId="ListParagraph">
    <w:name w:val="List Paragraph"/>
    <w:basedOn w:val="Normal"/>
    <w:uiPriority w:val="3"/>
    <w:qFormat/>
    <w:rsid w:val="00AB6715"/>
    <w:pPr>
      <w:numPr>
        <w:numId w:val="13"/>
      </w:numPr>
      <w:contextualSpacing/>
    </w:pPr>
    <w:rPr>
      <w:rFonts w:eastAsia="Cambria" w:cs="Times New Roman"/>
      <w:szCs w:val="24"/>
    </w:rPr>
  </w:style>
  <w:style w:type="numbering" w:styleId="Headings" w:customStyle="1">
    <w:name w:val="Headings"/>
    <w:uiPriority w:val="99"/>
    <w:rsid w:val="00AB6715"/>
    <w:pPr>
      <w:numPr>
        <w:numId w:val="14"/>
      </w:numPr>
    </w:pPr>
  </w:style>
  <w:style w:type="character" w:styleId="Hyperlink">
    <w:name w:val="Hyperlink"/>
    <w:basedOn w:val="DefaultParagraphFont"/>
    <w:uiPriority w:val="99"/>
    <w:unhideWhenUsed/>
    <w:rsid w:val="00AB6715"/>
    <w:rPr>
      <w:color w:val="0000FF"/>
      <w:u w:val="single"/>
    </w:rPr>
  </w:style>
  <w:style w:type="character" w:styleId="IntenseEmphasis">
    <w:name w:val="Intense Emphasis"/>
    <w:basedOn w:val="DefaultParagraphFont"/>
    <w:uiPriority w:val="21"/>
    <w:unhideWhenUsed/>
    <w:rsid w:val="00AB6715"/>
    <w:rPr>
      <w:rFonts w:ascii="Times New Roman" w:hAnsi="Times New Roman"/>
      <w:i/>
      <w:iCs/>
      <w:color w:val="auto"/>
    </w:rPr>
  </w:style>
  <w:style w:type="character" w:styleId="IntenseReference">
    <w:name w:val="Intense Reference"/>
    <w:basedOn w:val="DefaultParagraphFont"/>
    <w:uiPriority w:val="32"/>
    <w:qFormat/>
    <w:rsid w:val="00AB6715"/>
    <w:rPr>
      <w:b/>
      <w:bCs/>
      <w:smallCaps/>
      <w:color w:val="auto"/>
      <w:spacing w:val="5"/>
    </w:rPr>
  </w:style>
  <w:style w:type="character" w:styleId="LineNumber">
    <w:name w:val="line number"/>
    <w:basedOn w:val="DefaultParagraphFont"/>
    <w:uiPriority w:val="99"/>
    <w:semiHidden/>
    <w:unhideWhenUsed/>
    <w:rsid w:val="00AB6715"/>
  </w:style>
  <w:style w:type="character" w:styleId="Heading3Char" w:customStyle="1">
    <w:name w:val="Heading 3 Char"/>
    <w:basedOn w:val="DefaultParagraphFont"/>
    <w:link w:val="Heading3"/>
    <w:uiPriority w:val="2"/>
    <w:rsid w:val="00AB6715"/>
    <w:rPr>
      <w:rFonts w:ascii="Times New Roman" w:hAnsi="Times New Roman" w:eastAsiaTheme="majorEastAsia" w:cstheme="majorBidi"/>
      <w:b/>
      <w:sz w:val="24"/>
      <w:szCs w:val="24"/>
    </w:rPr>
  </w:style>
  <w:style w:type="character" w:styleId="Heading4Char" w:customStyle="1">
    <w:name w:val="Heading 4 Char"/>
    <w:basedOn w:val="DefaultParagraphFont"/>
    <w:link w:val="Heading4"/>
    <w:uiPriority w:val="2"/>
    <w:rsid w:val="00AB6715"/>
    <w:rPr>
      <w:rFonts w:ascii="Times New Roman" w:hAnsi="Times New Roman" w:eastAsiaTheme="majorEastAsia" w:cstheme="majorBidi"/>
      <w:b/>
      <w:iCs/>
      <w:sz w:val="24"/>
      <w:szCs w:val="24"/>
    </w:rPr>
  </w:style>
  <w:style w:type="character" w:styleId="Heading5Char" w:customStyle="1">
    <w:name w:val="Heading 5 Char"/>
    <w:basedOn w:val="DefaultParagraphFont"/>
    <w:link w:val="Heading5"/>
    <w:uiPriority w:val="2"/>
    <w:rsid w:val="00AB6715"/>
    <w:rPr>
      <w:rFonts w:ascii="Times New Roman" w:hAnsi="Times New Roman" w:eastAsiaTheme="majorEastAsia" w:cstheme="majorBidi"/>
      <w:b/>
      <w:iCs/>
      <w:sz w:val="24"/>
      <w:szCs w:val="24"/>
    </w:rPr>
  </w:style>
  <w:style w:type="paragraph" w:styleId="NormalWeb">
    <w:name w:val="Normal (Web)"/>
    <w:basedOn w:val="Normal"/>
    <w:uiPriority w:val="99"/>
    <w:unhideWhenUsed/>
    <w:rsid w:val="00AB6715"/>
    <w:pPr>
      <w:spacing w:before="100" w:beforeAutospacing="1" w:after="100" w:afterAutospacing="1"/>
    </w:pPr>
    <w:rPr>
      <w:rFonts w:eastAsia="Times New Roman" w:cs="Times New Roman"/>
      <w:szCs w:val="24"/>
    </w:rPr>
  </w:style>
  <w:style w:type="paragraph" w:styleId="Quote">
    <w:name w:val="Quote"/>
    <w:basedOn w:val="Normal"/>
    <w:next w:val="Normal"/>
    <w:link w:val="QuoteChar"/>
    <w:uiPriority w:val="29"/>
    <w:qFormat/>
    <w:rsid w:val="00AB6715"/>
    <w:pPr>
      <w:spacing w:before="200" w:after="160"/>
      <w:ind w:left="864" w:right="864"/>
      <w:jc w:val="center"/>
    </w:pPr>
    <w:rPr>
      <w:i/>
      <w:iCs/>
      <w:color w:val="404040" w:themeColor="text1" w:themeTint="BF"/>
    </w:rPr>
  </w:style>
  <w:style w:type="character" w:styleId="QuoteChar" w:customStyle="1">
    <w:name w:val="Quote Char"/>
    <w:basedOn w:val="DefaultParagraphFont"/>
    <w:link w:val="Quote"/>
    <w:uiPriority w:val="29"/>
    <w:rsid w:val="00AB6715"/>
    <w:rPr>
      <w:rFonts w:ascii="Times New Roman" w:hAnsi="Times New Roman"/>
      <w:i/>
      <w:iCs/>
      <w:color w:val="404040" w:themeColor="text1" w:themeTint="BF"/>
      <w:sz w:val="24"/>
    </w:rPr>
  </w:style>
  <w:style w:type="character" w:styleId="Strong">
    <w:name w:val="Strong"/>
    <w:basedOn w:val="DefaultParagraphFont"/>
    <w:uiPriority w:val="22"/>
    <w:qFormat/>
    <w:rsid w:val="00AB6715"/>
    <w:rPr>
      <w:rFonts w:ascii="Times New Roman" w:hAnsi="Times New Roman"/>
      <w:b/>
      <w:bCs/>
    </w:rPr>
  </w:style>
  <w:style w:type="character" w:styleId="SubtleEmphasis">
    <w:name w:val="Subtle Emphasis"/>
    <w:basedOn w:val="DefaultParagraphFont"/>
    <w:uiPriority w:val="19"/>
    <w:qFormat/>
    <w:rsid w:val="00AB6715"/>
    <w:rPr>
      <w:rFonts w:ascii="Times New Roman" w:hAnsi="Times New Roman"/>
      <w:i/>
      <w:iCs/>
      <w:color w:val="404040" w:themeColor="text1" w:themeTint="BF"/>
    </w:rPr>
  </w:style>
  <w:style w:type="table" w:styleId="TableGrid">
    <w:name w:val="Table Grid"/>
    <w:basedOn w:val="TableNormal"/>
    <w:uiPriority w:val="39"/>
    <w:rsid w:val="00AB6715"/>
    <w:pPr>
      <w:spacing w:after="0" w:line="240" w:lineRule="auto"/>
    </w:pPr>
    <w:rPr>
      <w:rFonts w:asciiTheme="majorHAnsi" w:hAnsiTheme="majorHAns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itle">
    <w:name w:val="Title"/>
    <w:basedOn w:val="Normal"/>
    <w:next w:val="Normal"/>
    <w:link w:val="TitleChar"/>
    <w:qFormat/>
    <w:rsid w:val="00AB6715"/>
    <w:pPr>
      <w:suppressLineNumbers/>
      <w:spacing w:before="240" w:after="360"/>
      <w:jc w:val="center"/>
    </w:pPr>
    <w:rPr>
      <w:rFonts w:cs="Times New Roman"/>
      <w:b/>
      <w:sz w:val="32"/>
      <w:szCs w:val="32"/>
    </w:rPr>
  </w:style>
  <w:style w:type="character" w:styleId="TitleChar" w:customStyle="1">
    <w:name w:val="Title Char"/>
    <w:basedOn w:val="DefaultParagraphFont"/>
    <w:link w:val="Title"/>
    <w:rsid w:val="00AB6715"/>
    <w:rPr>
      <w:rFonts w:ascii="Times New Roman" w:hAnsi="Times New Roman" w:cs="Times New Roman"/>
      <w:b/>
      <w:sz w:val="32"/>
      <w:szCs w:val="32"/>
    </w:rPr>
  </w:style>
  <w:style w:type="paragraph" w:styleId="SupplementaryMaterial" w:customStyle="1">
    <w:name w:val="Supplementary Material"/>
    <w:basedOn w:val="Title"/>
    <w:next w:val="Title"/>
    <w:qFormat/>
    <w:rsid w:val="0001436A"/>
    <w:pPr>
      <w:spacing w:after="12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366873">
      <w:bodyDiv w:val="1"/>
      <w:marLeft w:val="0"/>
      <w:marRight w:val="0"/>
      <w:marTop w:val="0"/>
      <w:marBottom w:val="0"/>
      <w:divBdr>
        <w:top w:val="none" w:sz="0" w:space="0" w:color="auto"/>
        <w:left w:val="none" w:sz="0" w:space="0" w:color="auto"/>
        <w:bottom w:val="none" w:sz="0" w:space="0" w:color="auto"/>
        <w:right w:val="none" w:sz="0" w:space="0" w:color="auto"/>
      </w:divBdr>
    </w:div>
    <w:div w:id="151391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4.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2.xml" Id="rId11" /><Relationship Type="http://schemas.openxmlformats.org/officeDocument/2006/relationships/webSettings" Target="webSettings.xml" Id="rId5" /><Relationship Type="http://schemas.openxmlformats.org/officeDocument/2006/relationships/customXml" Target="../customXml/item3.xml" Id="rId15" /><Relationship Type="http://schemas.openxmlformats.org/officeDocument/2006/relationships/footer" Target="foot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customXml" Target="../customXml/item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hua.stocco\Documents\Templates\Frontiers_Word_Templates\Supplementary_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2.xml><?xml version="1.0" encoding="utf-8"?>
<ct:contentTypeSchema xmlns:ct="http://schemas.microsoft.com/office/2006/metadata/contentType" xmlns:ma="http://schemas.microsoft.com/office/2006/metadata/properties/metaAttributes" ct:_="" ma:_="" ma:contentTypeName="Document" ma:contentTypeID="0x010100AAA70A6D55F89541B84C0D400F3836B9" ma:contentTypeVersion="16" ma:contentTypeDescription="Create a new document." ma:contentTypeScope="" ma:versionID="c2a7eef0c3f5751f8b33589e735e1ed3">
  <xsd:schema xmlns:xsd="http://www.w3.org/2001/XMLSchema" xmlns:xs="http://www.w3.org/2001/XMLSchema" xmlns:p="http://schemas.microsoft.com/office/2006/metadata/properties" xmlns:ns2="80a93da4-ebd9-48c3-bc24-76ccd03fc38d" xmlns:ns3="27e8acd9-7d16-4eee-b1f3-e64ec493c931" targetNamespace="http://schemas.microsoft.com/office/2006/metadata/properties" ma:root="true" ma:fieldsID="7655de5ea1caef2105db486ee89a53d7" ns2:_="" ns3:_="">
    <xsd:import namespace="80a93da4-ebd9-48c3-bc24-76ccd03fc38d"/>
    <xsd:import namespace="27e8acd9-7d16-4eee-b1f3-e64ec493c93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a93da4-ebd9-48c3-bc24-76ccd03fc38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da3b5d7-1fd1-49f3-8a02-fce04ce61b4b}" ma:internalName="TaxCatchAll" ma:showField="CatchAllData" ma:web="80a93da4-ebd9-48c3-bc24-76ccd03fc38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7e8acd9-7d16-4eee-b1f3-e64ec493c93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0a93da4-ebd9-48c3-bc24-76ccd03fc38d" xsi:nil="true"/>
    <lcf76f155ced4ddcb4097134ff3c332f xmlns="27e8acd9-7d16-4eee-b1f3-e64ec493c93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7A95B22-B4E8-4C8E-ABCB-1E2B9143F8CF}">
  <ds:schemaRefs>
    <ds:schemaRef ds:uri="http://schemas.openxmlformats.org/officeDocument/2006/bibliography"/>
  </ds:schemaRefs>
</ds:datastoreItem>
</file>

<file path=customXml/itemProps2.xml><?xml version="1.0" encoding="utf-8"?>
<ds:datastoreItem xmlns:ds="http://schemas.openxmlformats.org/officeDocument/2006/customXml" ds:itemID="{6F55C6B9-C03D-4CDA-B13E-B870F8BCC209}"/>
</file>

<file path=customXml/itemProps3.xml><?xml version="1.0" encoding="utf-8"?>
<ds:datastoreItem xmlns:ds="http://schemas.openxmlformats.org/officeDocument/2006/customXml" ds:itemID="{93336BBC-04F6-4DE4-B28C-E633B4A5D8A7}"/>
</file>

<file path=customXml/itemProps4.xml><?xml version="1.0" encoding="utf-8"?>
<ds:datastoreItem xmlns:ds="http://schemas.openxmlformats.org/officeDocument/2006/customXml" ds:itemID="{AA8C6B0E-A1A6-4876-8C2F-26A0C936FF4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Supplementary_Material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Frontiers Media SA</dc:creator>
  <cp:lastModifiedBy>Armson, Bryony (NSAH)</cp:lastModifiedBy>
  <cp:revision>5</cp:revision>
  <cp:lastPrinted>2013-10-03T12:51:00Z</cp:lastPrinted>
  <dcterms:created xsi:type="dcterms:W3CDTF">2022-08-12T17:13:00Z</dcterms:created>
  <dcterms:modified xsi:type="dcterms:W3CDTF">2022-08-12T17:24:45Z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http://www.zotero.org/styles/frontiers-in-veterinary-science</vt:lpwstr>
  </property>
  <property fmtid="{D5CDD505-2E9C-101B-9397-08002B2CF9AE}" pid="13" name="Mendeley Recent Style Name 5_1">
    <vt:lpwstr>Frontiers in Veterinary Science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http://www.zotero.org/styles/springer-basic-brackets</vt:lpwstr>
  </property>
  <property fmtid="{D5CDD505-2E9C-101B-9397-08002B2CF9AE}" pid="21" name="Mendeley Recent Style Name 9_1">
    <vt:lpwstr>Springer - Basic (numeric, brackets)</vt:lpwstr>
  </property>
  <property fmtid="{D5CDD505-2E9C-101B-9397-08002B2CF9AE}" pid="22" name="Mendeley Document_1">
    <vt:lpwstr>True</vt:lpwstr>
  </property>
  <property fmtid="{D5CDD505-2E9C-101B-9397-08002B2CF9AE}" pid="23" name="Mendeley Unique User Id_1">
    <vt:lpwstr>46a20ec9-5cbb-38b1-920d-2bc2e0989273</vt:lpwstr>
  </property>
  <property fmtid="{D5CDD505-2E9C-101B-9397-08002B2CF9AE}" pid="24" name="Mendeley Citation Style_1">
    <vt:lpwstr>http://www.zotero.org/styles/frontiers-in-veterinary-science</vt:lpwstr>
  </property>
  <property fmtid="{D5CDD505-2E9C-101B-9397-08002B2CF9AE}" pid="25" name="ContentTypeId">
    <vt:lpwstr>0x010100AAA70A6D55F89541B84C0D400F3836B9</vt:lpwstr>
  </property>
  <property fmtid="{D5CDD505-2E9C-101B-9397-08002B2CF9AE}" pid="26" name="MediaServiceImageTags">
    <vt:lpwstr/>
  </property>
</Properties>
</file>