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5D" w:rsidRPr="002551B1" w:rsidRDefault="00AF5D5D" w:rsidP="00AF5D5D">
      <w:pPr>
        <w:rPr>
          <w:rFonts w:ascii="Times New Roman" w:eastAsia="宋体" w:hAnsi="Times New Roman" w:cs="Times New Roman"/>
          <w:b/>
          <w:sz w:val="28"/>
          <w:shd w:val="clear" w:color="auto" w:fill="FFFFFF"/>
        </w:rPr>
      </w:pPr>
      <w:r w:rsidRPr="002551B1">
        <w:rPr>
          <w:rFonts w:ascii="Times New Roman" w:eastAsia="宋体" w:hAnsi="Times New Roman" w:cs="Times New Roman"/>
          <w:b/>
          <w:sz w:val="28"/>
          <w:shd w:val="clear" w:color="auto" w:fill="FFFFFF"/>
        </w:rPr>
        <w:t xml:space="preserve">Supplemental Material </w:t>
      </w:r>
    </w:p>
    <w:p w:rsidR="00AF5D5D" w:rsidRPr="002551B1" w:rsidRDefault="00AF5D5D" w:rsidP="00AF5D5D">
      <w:pPr>
        <w:rPr>
          <w:rFonts w:ascii="Times New Roman" w:eastAsia="宋体" w:hAnsi="Times New Roman" w:cs="Times New Roman"/>
          <w:b/>
          <w:sz w:val="28"/>
          <w:shd w:val="clear" w:color="auto" w:fill="FFFFFF"/>
        </w:rPr>
      </w:pPr>
      <w:r w:rsidRPr="002551B1">
        <w:rPr>
          <w:rFonts w:ascii="Times New Roman" w:eastAsia="宋体" w:hAnsi="Times New Roman" w:cs="Times New Roman"/>
          <w:b/>
          <w:sz w:val="28"/>
          <w:shd w:val="clear" w:color="auto" w:fill="FFFFFF"/>
        </w:rPr>
        <w:t>Method</w:t>
      </w:r>
    </w:p>
    <w:p w:rsidR="00AF5D5D" w:rsidRPr="004E2DE3" w:rsidRDefault="00AF5D5D" w:rsidP="00AF5D5D">
      <w:pPr>
        <w:rPr>
          <w:rFonts w:ascii="Times New Roman" w:eastAsia="宋体" w:hAnsi="Times New Roman" w:cs="Times New Roman"/>
          <w:b/>
          <w:sz w:val="24"/>
          <w:shd w:val="clear" w:color="auto" w:fill="FFFFFF"/>
        </w:rPr>
      </w:pPr>
      <w:r w:rsidRPr="004E2DE3">
        <w:rPr>
          <w:rFonts w:ascii="Times New Roman" w:eastAsia="宋体" w:hAnsi="Times New Roman" w:cs="Times New Roman"/>
          <w:b/>
          <w:sz w:val="24"/>
          <w:shd w:val="clear" w:color="auto" w:fill="FFFFFF"/>
        </w:rPr>
        <w:t xml:space="preserve">DNA extraction and bacterial DNA quantification by </w:t>
      </w:r>
      <w:r>
        <w:rPr>
          <w:rFonts w:ascii="Times New Roman" w:eastAsia="宋体" w:hAnsi="Times New Roman" w:cs="Times New Roman"/>
          <w:b/>
          <w:sz w:val="24"/>
          <w:shd w:val="clear" w:color="auto" w:fill="FFFFFF"/>
        </w:rPr>
        <w:t>q</w:t>
      </w:r>
      <w:r w:rsidRPr="004E2DE3">
        <w:rPr>
          <w:rFonts w:ascii="Times New Roman" w:eastAsia="宋体" w:hAnsi="Times New Roman" w:cs="Times New Roman"/>
          <w:b/>
          <w:sz w:val="24"/>
          <w:shd w:val="clear" w:color="auto" w:fill="FFFFFF"/>
        </w:rPr>
        <w:t xml:space="preserve">PCR </w:t>
      </w:r>
    </w:p>
    <w:p w:rsidR="00AF5D5D" w:rsidRPr="00C50F38" w:rsidRDefault="00AF5D5D" w:rsidP="00AF5D5D">
      <w:pPr>
        <w:widowControl/>
        <w:rPr>
          <w:rFonts w:ascii="Times New Roman" w:eastAsia="等线" w:hAnsi="Times New Roman" w:cs="Times New Roman"/>
          <w:sz w:val="24"/>
          <w:lang w:bidi="ar"/>
        </w:rPr>
      </w:pPr>
      <w:r w:rsidRPr="004E2DE3">
        <w:rPr>
          <w:rFonts w:ascii="Times New Roman" w:eastAsia="等线" w:hAnsi="Times New Roman" w:cs="Times New Roman"/>
          <w:sz w:val="24"/>
          <w:lang w:bidi="ar"/>
        </w:rPr>
        <w:t xml:space="preserve">Bacterial DNA from human CRC samples and rat anastomotic samples was extracted following the instruction of </w:t>
      </w:r>
      <w:r>
        <w:rPr>
          <w:rFonts w:ascii="Times New Roman" w:eastAsia="等线" w:hAnsi="Times New Roman" w:cs="Times New Roman"/>
          <w:sz w:val="24"/>
          <w:lang w:bidi="ar"/>
        </w:rPr>
        <w:t xml:space="preserve">the </w:t>
      </w:r>
      <w:r w:rsidRPr="004E2DE3">
        <w:rPr>
          <w:rFonts w:ascii="Times New Roman" w:eastAsia="等线" w:hAnsi="Times New Roman" w:cs="Times New Roman"/>
          <w:sz w:val="24"/>
          <w:lang w:bidi="ar"/>
        </w:rPr>
        <w:t xml:space="preserve">TIANamp Genomic DNA Kit (DP304, Tiangen, Beijing, China). Amplification and detection of </w:t>
      </w:r>
      <w:r w:rsidRPr="004E2DE3">
        <w:rPr>
          <w:rFonts w:ascii="Times New Roman" w:eastAsia="等线" w:hAnsi="Times New Roman" w:cs="Times New Roman"/>
          <w:i/>
          <w:sz w:val="24"/>
          <w:lang w:bidi="ar"/>
        </w:rPr>
        <w:t>Fn</w:t>
      </w:r>
      <w:r w:rsidRPr="004E2DE3">
        <w:rPr>
          <w:rFonts w:ascii="Times New Roman" w:eastAsia="等线" w:hAnsi="Times New Roman" w:cs="Times New Roman"/>
          <w:sz w:val="24"/>
          <w:lang w:bidi="ar"/>
        </w:rPr>
        <w:t xml:space="preserve"> w</w:t>
      </w:r>
      <w:r>
        <w:rPr>
          <w:rFonts w:ascii="Times New Roman" w:eastAsia="等线" w:hAnsi="Times New Roman" w:cs="Times New Roman"/>
          <w:sz w:val="24"/>
          <w:lang w:bidi="ar"/>
        </w:rPr>
        <w:t>ere</w:t>
      </w:r>
      <w:r w:rsidRPr="004E2DE3">
        <w:rPr>
          <w:rFonts w:ascii="Times New Roman" w:eastAsia="等线" w:hAnsi="Times New Roman" w:cs="Times New Roman"/>
          <w:sz w:val="24"/>
          <w:lang w:bidi="ar"/>
        </w:rPr>
        <w:t xml:space="preserve"> performed with THUNDERBIRD SYBR® qPCR Mix (QPS-201. Toyobo Co. Ltd) using the CFX96 Touch System (BioRad). Reaction conditions were as follows: 1 min at 95°C, and 40 cycles of 15 sec at 95°C, 30 sec at 55</w:t>
      </w:r>
      <w:bookmarkStart w:id="0" w:name="OLE_LINK9"/>
      <w:r w:rsidRPr="004E2DE3">
        <w:rPr>
          <w:rFonts w:ascii="Times New Roman" w:eastAsia="等线" w:hAnsi="Times New Roman" w:cs="Times New Roman"/>
          <w:sz w:val="24"/>
          <w:lang w:bidi="ar"/>
        </w:rPr>
        <w:t>°C</w:t>
      </w:r>
      <w:bookmarkEnd w:id="0"/>
      <w:r>
        <w:rPr>
          <w:rFonts w:ascii="Times New Roman" w:eastAsia="等线" w:hAnsi="Times New Roman" w:cs="Times New Roman"/>
          <w:sz w:val="24"/>
          <w:lang w:bidi="ar"/>
        </w:rPr>
        <w:t>,</w:t>
      </w:r>
      <w:r w:rsidRPr="004E2DE3">
        <w:rPr>
          <w:rFonts w:ascii="Times New Roman" w:eastAsia="等线" w:hAnsi="Times New Roman" w:cs="Times New Roman"/>
          <w:sz w:val="24"/>
          <w:lang w:bidi="ar"/>
        </w:rPr>
        <w:t xml:space="preserve"> and 1 min at 72°C. Relative abundance was calculated by </w:t>
      </w:r>
      <w:r>
        <w:rPr>
          <w:rFonts w:ascii="Times New Roman" w:eastAsia="等线" w:hAnsi="Times New Roman" w:cs="Times New Roman"/>
          <w:sz w:val="24"/>
          <w:lang w:bidi="ar"/>
        </w:rPr>
        <w:t xml:space="preserve">the </w:t>
      </w:r>
      <w:r w:rsidRPr="004E2DE3">
        <w:rPr>
          <w:rFonts w:ascii="Times New Roman" w:eastAsia="等线" w:hAnsi="Times New Roman" w:cs="Times New Roman"/>
          <w:sz w:val="24"/>
          <w:lang w:bidi="ar"/>
        </w:rPr>
        <w:t>-ΔCT method. U</w:t>
      </w:r>
      <w:r w:rsidRPr="00C50F38">
        <w:rPr>
          <w:rFonts w:ascii="Times New Roman" w:eastAsia="等线" w:hAnsi="Times New Roman" w:cs="Times New Roman"/>
          <w:sz w:val="24"/>
          <w:lang w:bidi="ar"/>
        </w:rPr>
        <w:t>niversal Eubacteria 16S was used as an internal reference for rat samples, and PGT was used for human samples. The primers used are listed in Table S1.</w:t>
      </w:r>
    </w:p>
    <w:p w:rsidR="00AF5D5D" w:rsidRPr="00C50F38" w:rsidRDefault="00AF5D5D" w:rsidP="00AF5D5D">
      <w:r w:rsidRPr="00C50F38">
        <w:rPr>
          <w:rFonts w:ascii="Times New Roman" w:eastAsia="宋体" w:hAnsi="Times New Roman" w:cs="Times New Roman"/>
          <w:b/>
          <w:sz w:val="24"/>
          <w:shd w:val="clear" w:color="auto" w:fill="FFFFFF"/>
        </w:rPr>
        <w:t>RNA extraction and qPCR</w:t>
      </w:r>
      <w:r w:rsidRPr="00C50F38">
        <w:t xml:space="preserve"> </w:t>
      </w:r>
    </w:p>
    <w:p w:rsidR="00AF5D5D" w:rsidRPr="00C50F38" w:rsidRDefault="00AF5D5D" w:rsidP="00AF5D5D">
      <w:pPr>
        <w:pStyle w:val="a7"/>
        <w:jc w:val="both"/>
        <w:rPr>
          <w:rFonts w:ascii="Times New Roman" w:eastAsia="等线" w:hAnsi="Times New Roman" w:cs="Times New Roman"/>
          <w:sz w:val="24"/>
          <w:lang w:bidi="ar"/>
        </w:rPr>
      </w:pPr>
      <w:r w:rsidRPr="00C50F38">
        <w:rPr>
          <w:rFonts w:ascii="Times New Roman" w:eastAsia="等线" w:hAnsi="Times New Roman" w:cs="Times New Roman"/>
          <w:sz w:val="24"/>
          <w:lang w:bidi="ar"/>
        </w:rPr>
        <w:t>RNA extraction and qPCR were performed</w:t>
      </w:r>
      <w:r w:rsidRPr="00C50F38">
        <w:rPr>
          <w:rFonts w:ascii="Times New Roman" w:eastAsia="等线" w:hAnsi="Times New Roman" w:cs="Times New Roman" w:hint="eastAsia"/>
          <w:sz w:val="24"/>
          <w:lang w:bidi="ar"/>
        </w:rPr>
        <w:t xml:space="preserve"> </w:t>
      </w:r>
      <w:r w:rsidRPr="00C50F38">
        <w:rPr>
          <w:rFonts w:ascii="Times New Roman" w:eastAsia="等线" w:hAnsi="Times New Roman" w:cs="Times New Roman"/>
          <w:sz w:val="24"/>
          <w:lang w:bidi="ar"/>
        </w:rPr>
        <w:t xml:space="preserve">as previously described </w:t>
      </w:r>
      <w:r w:rsidRPr="00C50F38">
        <w:rPr>
          <w:rFonts w:ascii="Times New Roman" w:eastAsia="等线" w:hAnsi="Times New Roman" w:cs="Times New Roman"/>
          <w:sz w:val="24"/>
          <w:vertAlign w:val="superscript"/>
          <w:lang w:bidi="ar"/>
        </w:rPr>
        <w:fldChar w:fldCharType="begin"/>
      </w:r>
      <w:r>
        <w:rPr>
          <w:rFonts w:ascii="Times New Roman" w:eastAsia="等线" w:hAnsi="Times New Roman" w:cs="Times New Roman"/>
          <w:sz w:val="24"/>
          <w:vertAlign w:val="superscript"/>
          <w:lang w:bidi="ar"/>
        </w:rPr>
        <w:instrText xml:space="preserve"> ADDIN EN.CITE &lt;EndNote&gt;&lt;Cite&gt;&lt;Author&gt;Jin&lt;/Author&gt;&lt;Year&gt;2022&lt;/Year&gt;&lt;RecNum&gt;439&lt;/RecNum&gt;&lt;DisplayText&gt;[1]&lt;/DisplayText&gt;&lt;record&gt;&lt;rec-number&gt;439&lt;/rec-number&gt;&lt;foreign-keys&gt;&lt;key app="EN" db-id="w0rx9swdca9sfbetsrnprze9fsx9v9z2dwt9" timestamp="1665236177"&gt;439&lt;/key&gt;&lt;/foreign-keys&gt;&lt;ref-type name="Journal Article"&gt;17&lt;/ref-type&gt;&lt;contributors&gt;&lt;authors&gt;&lt;author&gt;Jin, X&lt;/author&gt;&lt;author&gt;Liu, Y&lt;/author&gt;&lt;author&gt;Yan, W&lt;/author&gt;&lt;author&gt;Shi, S&lt;/author&gt;&lt;author&gt;Liu, L&lt;/author&gt;&lt;author&gt;Lin, B&lt;/author&gt;&lt;author&gt;Guo, X&lt;/author&gt;&lt;author&gt;Cai, T&lt;/author&gt;&lt;author&gt;Wei, Y&lt;/author&gt;&lt;/authors&gt;&lt;/contributors&gt;&lt;titles&gt;&lt;title&gt;Gut microbiota from nCAL patients promotes colon anastomotic healing by inducing collagen synthesis in epithelial cells&lt;/title&gt;&lt;secondary-title&gt;Journal of gastroenterology and hepatology&lt;/secondary-title&gt;&lt;/titles&gt;&lt;periodical&gt;&lt;full-title&gt;Journal of gastroenterology and hepatology&lt;/full-title&gt;&lt;/periodical&gt;&lt;pages&gt;1756-1767&lt;/pages&gt;&lt;volume&gt;37&lt;/volume&gt;&lt;number&gt;9&lt;/number&gt;&lt;dates&gt;&lt;year&gt;2022&lt;/year&gt;&lt;/dates&gt;&lt;accession-num&gt;35849493&lt;/accession-num&gt;&lt;label&gt;3.437&lt;/label&gt;&lt;urls&gt;&lt;/urls&gt;&lt;electronic-resource-num&gt;10.1111/jgh.15946&lt;/electronic-resource-num&gt;&lt;/record&gt;&lt;/Cite&gt;&lt;/EndNote&gt;</w:instrText>
      </w:r>
      <w:r w:rsidRPr="00C50F38">
        <w:rPr>
          <w:rFonts w:ascii="Times New Roman" w:eastAsia="等线" w:hAnsi="Times New Roman" w:cs="Times New Roman"/>
          <w:sz w:val="24"/>
          <w:vertAlign w:val="superscript"/>
          <w:lang w:bidi="ar"/>
        </w:rPr>
        <w:fldChar w:fldCharType="separate"/>
      </w:r>
      <w:r>
        <w:rPr>
          <w:rFonts w:ascii="Times New Roman" w:eastAsia="等线" w:hAnsi="Times New Roman" w:cs="Times New Roman"/>
          <w:noProof/>
          <w:sz w:val="24"/>
          <w:vertAlign w:val="superscript"/>
          <w:lang w:bidi="ar"/>
        </w:rPr>
        <w:t>[1]</w:t>
      </w:r>
      <w:r w:rsidRPr="00C50F38">
        <w:rPr>
          <w:rFonts w:ascii="Times New Roman" w:eastAsia="等线" w:hAnsi="Times New Roman" w:cs="Times New Roman"/>
          <w:sz w:val="24"/>
          <w:vertAlign w:val="superscript"/>
          <w:lang w:bidi="ar"/>
        </w:rPr>
        <w:fldChar w:fldCharType="end"/>
      </w:r>
      <w:r w:rsidRPr="00C50F38">
        <w:rPr>
          <w:rFonts w:ascii="Times New Roman" w:eastAsia="等线" w:hAnsi="Times New Roman" w:cs="Times New Roman"/>
          <w:sz w:val="24"/>
          <w:lang w:bidi="ar"/>
        </w:rPr>
        <w:t>. The primers used are listed in Table S1. Relative abundance was calculated by the 2</w:t>
      </w:r>
      <w:r w:rsidRPr="00C50F38">
        <w:rPr>
          <w:rFonts w:ascii="Times New Roman" w:eastAsia="等线" w:hAnsi="Times New Roman" w:cs="Times New Roman"/>
          <w:sz w:val="24"/>
          <w:vertAlign w:val="superscript"/>
          <w:lang w:bidi="ar"/>
        </w:rPr>
        <w:t>-ΔΔCt</w:t>
      </w:r>
      <w:r w:rsidRPr="00C50F38">
        <w:rPr>
          <w:rFonts w:ascii="Times New Roman" w:eastAsia="等线" w:hAnsi="Times New Roman" w:cs="Times New Roman"/>
          <w:sz w:val="24"/>
          <w:lang w:bidi="ar"/>
        </w:rPr>
        <w:t xml:space="preserve"> method. qPCR was done in triplicates, and the expression levels of target genes were normalized to GAPDH.</w:t>
      </w:r>
    </w:p>
    <w:p w:rsidR="00AF5D5D" w:rsidRPr="004E2DE3" w:rsidRDefault="00AF5D5D" w:rsidP="00AF5D5D">
      <w:pPr>
        <w:rPr>
          <w:rFonts w:ascii="Times New Roman" w:eastAsia="宋体" w:hAnsi="Times New Roman" w:cs="Times New Roman"/>
          <w:b/>
          <w:sz w:val="24"/>
          <w:shd w:val="clear" w:color="auto" w:fill="FFFFFF"/>
        </w:rPr>
      </w:pPr>
      <w:r w:rsidRPr="004E2DE3">
        <w:rPr>
          <w:rFonts w:ascii="Times New Roman" w:eastAsia="宋体" w:hAnsi="Times New Roman" w:cs="Times New Roman"/>
          <w:b/>
          <w:sz w:val="24"/>
          <w:shd w:val="clear" w:color="auto" w:fill="FFFFFF"/>
        </w:rPr>
        <w:t>Western blot</w:t>
      </w:r>
    </w:p>
    <w:p w:rsidR="00AF5D5D" w:rsidRPr="004E2DE3" w:rsidRDefault="00AF5D5D" w:rsidP="00AF5D5D">
      <w:pPr>
        <w:widowControl/>
        <w:rPr>
          <w:rFonts w:ascii="Times New Roman" w:eastAsia="等线" w:hAnsi="Times New Roman" w:cs="Times New Roman"/>
          <w:sz w:val="24"/>
          <w:lang w:bidi="ar"/>
        </w:rPr>
      </w:pPr>
      <w:r w:rsidRPr="004E2DE3">
        <w:rPr>
          <w:rFonts w:ascii="Times New Roman" w:eastAsia="等线" w:hAnsi="Times New Roman" w:cs="Times New Roman"/>
          <w:sz w:val="24"/>
          <w:lang w:bidi="ar"/>
        </w:rPr>
        <w:t>The total protein of</w:t>
      </w:r>
      <w:r w:rsidRPr="004E2DE3">
        <w:rPr>
          <w:rFonts w:ascii="Times New Roman" w:eastAsia="等线" w:hAnsi="Times New Roman" w:cs="Times New Roman"/>
          <w:i/>
          <w:sz w:val="24"/>
          <w:lang w:bidi="ar"/>
        </w:rPr>
        <w:t xml:space="preserve"> </w:t>
      </w:r>
      <w:r>
        <w:rPr>
          <w:rFonts w:ascii="Times New Roman" w:hAnsi="Times New Roman" w:cs="Times New Roman"/>
          <w:i/>
          <w:sz w:val="24"/>
        </w:rPr>
        <w:t>F</w:t>
      </w:r>
      <w:r w:rsidRPr="004E2DE3">
        <w:rPr>
          <w:rFonts w:ascii="Times New Roman" w:hAnsi="Times New Roman" w:cs="Times New Roman"/>
          <w:i/>
          <w:sz w:val="24"/>
        </w:rPr>
        <w:t xml:space="preserve">n </w:t>
      </w:r>
      <w:r w:rsidRPr="004E2DE3">
        <w:rPr>
          <w:rFonts w:ascii="Times New Roman" w:hAnsi="Times New Roman" w:cs="Times New Roman"/>
          <w:sz w:val="24"/>
        </w:rPr>
        <w:t xml:space="preserve">co-cultured </w:t>
      </w:r>
      <w:r w:rsidRPr="004E2DE3">
        <w:rPr>
          <w:rFonts w:ascii="Times New Roman" w:eastAsia="等线" w:hAnsi="Times New Roman" w:cs="Times New Roman"/>
          <w:sz w:val="24"/>
          <w:lang w:bidi="ar"/>
        </w:rPr>
        <w:t xml:space="preserve">cells or anastomotic tissues was extracted with RIPA lysis buffer (Solarbio, Beijing, China) mixed with PMSF. After vortexing and 30 minutes </w:t>
      </w:r>
      <w:r>
        <w:rPr>
          <w:rFonts w:ascii="Times New Roman" w:eastAsia="等线" w:hAnsi="Times New Roman" w:cs="Times New Roman"/>
          <w:sz w:val="24"/>
          <w:lang w:bidi="ar"/>
        </w:rPr>
        <w:t xml:space="preserve">of </w:t>
      </w:r>
      <w:r w:rsidRPr="004E2DE3">
        <w:rPr>
          <w:rFonts w:ascii="Times New Roman" w:eastAsia="等线" w:hAnsi="Times New Roman" w:cs="Times New Roman"/>
          <w:sz w:val="24"/>
          <w:lang w:bidi="ar"/>
        </w:rPr>
        <w:t xml:space="preserve">incubation on ice, the lysates were centrifuged at 10,000 rpm for 10 minutes at 4°C. Collected the supernatants and used ND-2000 (NanoDrop Technologies) to quantify the concentration of total protein, then boiled the supernatants for 10 minutes with sample buffer. Proteins in the cell membrane, cytoplasm, and nuclei were extracted using the Membrane and Cytosol Protein Extraction Kit (Beyotime, Jiangsu, China) and Nuclear Protein Extraction Kit (Solarbio, Beijing, China). </w:t>
      </w:r>
    </w:p>
    <w:p w:rsidR="00AF5D5D" w:rsidRDefault="00AF5D5D" w:rsidP="00AF5D5D">
      <w:pPr>
        <w:widowControl/>
        <w:rPr>
          <w:rFonts w:ascii="Times New Roman" w:eastAsia="等线" w:hAnsi="Times New Roman" w:cs="Times New Roman"/>
          <w:sz w:val="24"/>
          <w:lang w:bidi="ar"/>
        </w:rPr>
      </w:pPr>
      <w:r>
        <w:rPr>
          <w:rFonts w:ascii="Times New Roman" w:eastAsia="等线" w:hAnsi="Times New Roman" w:cs="Times New Roman"/>
          <w:sz w:val="24"/>
          <w:lang w:bidi="ar"/>
        </w:rPr>
        <w:t>An e</w:t>
      </w:r>
      <w:r w:rsidRPr="004E2DE3">
        <w:rPr>
          <w:rFonts w:ascii="Times New Roman" w:eastAsia="等线" w:hAnsi="Times New Roman" w:cs="Times New Roman"/>
          <w:sz w:val="24"/>
          <w:lang w:bidi="ar"/>
        </w:rPr>
        <w:t xml:space="preserve">qual amount of </w:t>
      </w:r>
      <w:r>
        <w:rPr>
          <w:rFonts w:ascii="Times New Roman" w:eastAsia="等线" w:hAnsi="Times New Roman" w:cs="Times New Roman"/>
          <w:sz w:val="24"/>
          <w:lang w:bidi="ar"/>
        </w:rPr>
        <w:t>p</w:t>
      </w:r>
      <w:r w:rsidRPr="004E2DE3">
        <w:rPr>
          <w:rFonts w:ascii="Times New Roman" w:eastAsia="等线" w:hAnsi="Times New Roman" w:cs="Times New Roman"/>
          <w:sz w:val="24"/>
          <w:lang w:bidi="ar"/>
        </w:rPr>
        <w:t>rotein was separated in 10% SDS-PAGE gels and transferred to PVDF membranes. The membranes were blocked using 5% nonfat dry milk in phosphate-buffered saline with Tween 20 (PBST) for 1.5 hours and then incubated with primary anti-MMP-9 (1:500; 10375-2-AP, Proteintech, China), Collagen Type I (1:1000; 14695-1-AP, Proteintech, China), Collagen Type III (1:1000; 22734-1-AP, Proteintech, China), phosphorylated E-cadherin (1:1000; ab76319, Abcam,</w:t>
      </w:r>
      <w:r>
        <w:rPr>
          <w:rFonts w:ascii="Times New Roman" w:eastAsia="等线" w:hAnsi="Times New Roman" w:cs="Times New Roman"/>
          <w:sz w:val="24"/>
          <w:lang w:bidi="ar"/>
        </w:rPr>
        <w:t xml:space="preserve"> </w:t>
      </w:r>
      <w:r w:rsidRPr="004E2DE3">
        <w:rPr>
          <w:rFonts w:ascii="Times New Roman" w:eastAsia="等线" w:hAnsi="Times New Roman" w:cs="Times New Roman"/>
          <w:sz w:val="24"/>
          <w:lang w:bidi="ar"/>
        </w:rPr>
        <w:t xml:space="preserve">UK), E-cadherin (1:1000; 20874-1-AP, Proteintech, China), phosphorylated β-Catenin (1:1000; WL03554, Wanleibio, China), β-Catenin (1:1000; WL0962a, Wanleibio, China), and β-Actin (1:1000; A01010, Abbkine, China) antibodies overnight at 4℃. Subsequently, the membranes were washed with PBST and incubated with HRP-conjugated secondary antibodies (goat anti-mouse or goat anti-rabbit IgG) (1:4000; A01010, Abbkine, China) for 1 hour at room temperature. After </w:t>
      </w:r>
      <w:r>
        <w:rPr>
          <w:rFonts w:ascii="Times New Roman" w:eastAsia="等线" w:hAnsi="Times New Roman" w:cs="Times New Roman"/>
          <w:sz w:val="24"/>
          <w:lang w:bidi="ar"/>
        </w:rPr>
        <w:t xml:space="preserve">being </w:t>
      </w:r>
      <w:r w:rsidRPr="004E2DE3">
        <w:rPr>
          <w:rFonts w:ascii="Times New Roman" w:eastAsia="等线" w:hAnsi="Times New Roman" w:cs="Times New Roman"/>
          <w:sz w:val="24"/>
          <w:lang w:bidi="ar"/>
        </w:rPr>
        <w:t>exposed to SuperSignal West Pico Chemiluminescent Substrate (K22020, Abbkine, Beijing, China), the membranes were detected and quantified by using ImageLab software (Bio</w:t>
      </w:r>
      <w:r>
        <w:rPr>
          <w:rFonts w:ascii="Times New Roman" w:eastAsia="等线" w:hAnsi="Times New Roman" w:cs="Times New Roman"/>
          <w:sz w:val="24"/>
          <w:lang w:bidi="ar"/>
        </w:rPr>
        <w:t>-</w:t>
      </w:r>
      <w:r w:rsidRPr="004E2DE3">
        <w:rPr>
          <w:rFonts w:ascii="Times New Roman" w:eastAsia="等线" w:hAnsi="Times New Roman" w:cs="Times New Roman"/>
          <w:sz w:val="24"/>
          <w:lang w:bidi="ar"/>
        </w:rPr>
        <w:t>Rad, Hercules, CA, USA).</w:t>
      </w:r>
    </w:p>
    <w:p w:rsidR="00AF5D5D" w:rsidRDefault="00AF5D5D" w:rsidP="00AF5D5D">
      <w:pPr>
        <w:widowControl/>
        <w:rPr>
          <w:rFonts w:ascii="Times New Roman" w:eastAsia="等线" w:hAnsi="Times New Roman" w:cs="Times New Roman"/>
          <w:sz w:val="24"/>
          <w:lang w:bidi="ar"/>
        </w:rPr>
      </w:pPr>
    </w:p>
    <w:p w:rsidR="00AF5D5D" w:rsidRPr="004E2DE3" w:rsidRDefault="00AF5D5D" w:rsidP="00AF5D5D">
      <w:pPr>
        <w:widowControl/>
        <w:rPr>
          <w:rFonts w:ascii="Times New Roman" w:eastAsia="等线" w:hAnsi="Times New Roman" w:cs="Times New Roman"/>
          <w:sz w:val="24"/>
          <w:lang w:bidi="ar"/>
        </w:rPr>
      </w:pPr>
    </w:p>
    <w:p w:rsidR="00AF5D5D" w:rsidRPr="002551B1" w:rsidRDefault="00AF5D5D" w:rsidP="00AF5D5D">
      <w:pPr>
        <w:tabs>
          <w:tab w:val="left" w:pos="1457"/>
        </w:tabs>
        <w:rPr>
          <w:rFonts w:ascii="Times New Roman" w:hAnsi="Times New Roman" w:cs="Times New Roman"/>
          <w:sz w:val="24"/>
        </w:rPr>
      </w:pPr>
      <w:r w:rsidRPr="0036021D">
        <w:rPr>
          <w:rFonts w:ascii="Times New Roman" w:hAnsi="Times New Roman" w:cs="Times New Roman"/>
          <w:iCs/>
          <w:sz w:val="24"/>
        </w:rPr>
        <w:lastRenderedPageBreak/>
        <w:t xml:space="preserve">Table </w:t>
      </w:r>
      <w:r>
        <w:rPr>
          <w:rFonts w:ascii="Times New Roman" w:hAnsi="Times New Roman" w:cs="Times New Roman"/>
          <w:iCs/>
          <w:sz w:val="24"/>
        </w:rPr>
        <w:t>S</w:t>
      </w:r>
      <w:r w:rsidRPr="0036021D">
        <w:rPr>
          <w:rFonts w:ascii="Times New Roman" w:hAnsi="Times New Roman" w:cs="Times New Roman"/>
          <w:iCs/>
          <w:sz w:val="24"/>
        </w:rPr>
        <w:t>1</w:t>
      </w:r>
      <w:r>
        <w:rPr>
          <w:rFonts w:ascii="Times New Roman" w:hAnsi="Times New Roman" w:cs="Times New Roman"/>
          <w:iCs/>
          <w:sz w:val="24"/>
        </w:rPr>
        <w:t xml:space="preserve"> </w:t>
      </w:r>
      <w:r w:rsidRPr="00C636AF">
        <w:rPr>
          <w:rFonts w:ascii="Times New Roman" w:hAnsi="Times New Roman" w:cs="Times New Roman"/>
          <w:sz w:val="24"/>
        </w:rPr>
        <w:t>Primers of RT-qPCR</w:t>
      </w:r>
    </w:p>
    <w:tbl>
      <w:tblPr>
        <w:tblStyle w:val="a9"/>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022"/>
      </w:tblGrid>
      <w:tr w:rsidR="00AF5D5D" w:rsidRPr="00D62E74" w:rsidTr="00DE6D51">
        <w:trPr>
          <w:trHeight w:hRule="exact" w:val="454"/>
        </w:trPr>
        <w:tc>
          <w:tcPr>
            <w:tcW w:w="1977" w:type="pct"/>
            <w:tcBorders>
              <w:top w:val="single" w:sz="4" w:space="0" w:color="auto"/>
              <w:bottom w:val="single" w:sz="4" w:space="0" w:color="auto"/>
            </w:tcBorders>
          </w:tcPr>
          <w:p w:rsidR="00AF5D5D" w:rsidRPr="006B3D0C" w:rsidRDefault="00AF5D5D" w:rsidP="00DE6D51">
            <w:pPr>
              <w:widowControl/>
              <w:spacing w:line="480" w:lineRule="exact"/>
              <w:ind w:firstLineChars="200" w:firstLine="480"/>
              <w:rPr>
                <w:sz w:val="24"/>
              </w:rPr>
            </w:pPr>
            <w:r w:rsidRPr="006B3D0C">
              <w:rPr>
                <w:sz w:val="24"/>
              </w:rPr>
              <w:t>Name</w:t>
            </w:r>
          </w:p>
        </w:tc>
        <w:tc>
          <w:tcPr>
            <w:tcW w:w="3023" w:type="pct"/>
            <w:tcBorders>
              <w:top w:val="single" w:sz="4" w:space="0" w:color="auto"/>
              <w:bottom w:val="single" w:sz="4" w:space="0" w:color="auto"/>
            </w:tcBorders>
          </w:tcPr>
          <w:p w:rsidR="00AF5D5D" w:rsidRPr="006B3D0C" w:rsidRDefault="00AF5D5D" w:rsidP="00DE6D51">
            <w:pPr>
              <w:widowControl/>
              <w:spacing w:line="480" w:lineRule="exact"/>
              <w:ind w:firstLineChars="200" w:firstLine="480"/>
              <w:rPr>
                <w:sz w:val="24"/>
              </w:rPr>
            </w:pPr>
            <w:r w:rsidRPr="006B3D0C">
              <w:rPr>
                <w:sz w:val="24"/>
              </w:rPr>
              <w:t>Sequence 5’-3’</w:t>
            </w:r>
          </w:p>
        </w:tc>
      </w:tr>
      <w:tr w:rsidR="00AF5D5D" w:rsidRPr="00D62E74" w:rsidTr="00DE6D51">
        <w:trPr>
          <w:trHeight w:hRule="exact" w:val="454"/>
        </w:trPr>
        <w:tc>
          <w:tcPr>
            <w:tcW w:w="1977" w:type="pct"/>
          </w:tcPr>
          <w:p w:rsidR="00AF5D5D" w:rsidRPr="00563CE7" w:rsidRDefault="00AF5D5D" w:rsidP="00DE6D51">
            <w:pPr>
              <w:widowControl/>
              <w:spacing w:line="480" w:lineRule="exact"/>
              <w:ind w:firstLineChars="200" w:firstLine="480"/>
              <w:rPr>
                <w:color w:val="000000"/>
                <w:sz w:val="24"/>
              </w:rPr>
            </w:pPr>
            <w:r w:rsidRPr="00563CE7">
              <w:rPr>
                <w:i/>
                <w:color w:val="000000"/>
                <w:sz w:val="24"/>
              </w:rPr>
              <w:t>E</w:t>
            </w:r>
            <w:r w:rsidRPr="00563CE7">
              <w:rPr>
                <w:rFonts w:hint="eastAsia"/>
                <w:i/>
                <w:color w:val="000000"/>
                <w:sz w:val="24"/>
              </w:rPr>
              <w:t>.</w:t>
            </w:r>
            <w:r w:rsidRPr="00563CE7">
              <w:rPr>
                <w:i/>
                <w:color w:val="000000"/>
                <w:sz w:val="24"/>
              </w:rPr>
              <w:t>coli</w:t>
            </w:r>
            <w:r w:rsidRPr="000A4164">
              <w:rPr>
                <w:color w:val="000000"/>
                <w:sz w:val="24"/>
              </w:rPr>
              <w:t>-F</w:t>
            </w:r>
          </w:p>
        </w:tc>
        <w:tc>
          <w:tcPr>
            <w:tcW w:w="3023" w:type="pct"/>
          </w:tcPr>
          <w:p w:rsidR="00AF5D5D" w:rsidRPr="0032466A" w:rsidRDefault="00AF5D5D" w:rsidP="00DE6D51">
            <w:pPr>
              <w:widowControl/>
              <w:spacing w:line="480" w:lineRule="exact"/>
              <w:ind w:firstLineChars="200" w:firstLine="480"/>
              <w:rPr>
                <w:color w:val="000000"/>
                <w:sz w:val="24"/>
              </w:rPr>
            </w:pPr>
            <w:r w:rsidRPr="00563CE7">
              <w:rPr>
                <w:color w:val="000000"/>
                <w:sz w:val="24"/>
              </w:rPr>
              <w:t>CATGCCGCGTGTATGAAGAA</w:t>
            </w:r>
          </w:p>
        </w:tc>
      </w:tr>
      <w:tr w:rsidR="00AF5D5D" w:rsidRPr="00D62E74" w:rsidTr="00DE6D51">
        <w:trPr>
          <w:trHeight w:hRule="exact" w:val="454"/>
        </w:trPr>
        <w:tc>
          <w:tcPr>
            <w:tcW w:w="1977" w:type="pct"/>
          </w:tcPr>
          <w:p w:rsidR="00AF5D5D" w:rsidRPr="0032466A" w:rsidRDefault="00AF5D5D" w:rsidP="00DE6D51">
            <w:pPr>
              <w:widowControl/>
              <w:spacing w:line="480" w:lineRule="exact"/>
              <w:ind w:firstLineChars="200" w:firstLine="480"/>
              <w:rPr>
                <w:color w:val="000000"/>
                <w:sz w:val="24"/>
              </w:rPr>
            </w:pPr>
            <w:r w:rsidRPr="00563CE7">
              <w:rPr>
                <w:i/>
                <w:color w:val="000000"/>
                <w:sz w:val="24"/>
              </w:rPr>
              <w:t>E</w:t>
            </w:r>
            <w:r w:rsidRPr="00563CE7">
              <w:rPr>
                <w:rFonts w:hint="eastAsia"/>
                <w:i/>
                <w:color w:val="000000"/>
                <w:sz w:val="24"/>
              </w:rPr>
              <w:t>.</w:t>
            </w:r>
            <w:r w:rsidRPr="00563CE7">
              <w:rPr>
                <w:i/>
                <w:color w:val="000000"/>
                <w:sz w:val="24"/>
              </w:rPr>
              <w:t>coli</w:t>
            </w:r>
            <w:r w:rsidRPr="000A4164">
              <w:rPr>
                <w:color w:val="000000"/>
                <w:sz w:val="24"/>
              </w:rPr>
              <w:t>-</w:t>
            </w:r>
            <w:r>
              <w:rPr>
                <w:color w:val="000000"/>
                <w:sz w:val="24"/>
              </w:rPr>
              <w:t>R</w:t>
            </w:r>
          </w:p>
        </w:tc>
        <w:tc>
          <w:tcPr>
            <w:tcW w:w="3023" w:type="pct"/>
          </w:tcPr>
          <w:p w:rsidR="00AF5D5D" w:rsidRPr="0032466A" w:rsidRDefault="00AF5D5D" w:rsidP="00AF5D5D">
            <w:pPr>
              <w:widowControl/>
              <w:spacing w:line="480" w:lineRule="exact"/>
              <w:ind w:firstLineChars="200" w:firstLine="480"/>
              <w:rPr>
                <w:color w:val="000000"/>
                <w:sz w:val="24"/>
              </w:rPr>
            </w:pPr>
            <w:r w:rsidRPr="00563CE7">
              <w:rPr>
                <w:color w:val="000000"/>
                <w:sz w:val="24"/>
              </w:rPr>
              <w:t>CGGGTAACGTCAATGAGCAAA</w:t>
            </w:r>
            <w:r>
              <w:rPr>
                <w:color w:val="000000"/>
                <w:sz w:val="24"/>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&lt;EndNote&gt;&lt;Cite&gt;&lt;Author&gt;Arthur&lt;/Author&gt;&lt;Year&gt;2012&lt;/Year&gt;&lt;RecNum&gt;422&lt;/RecNum&gt;&lt;DisplayText&gt;[2]&lt;/DisplayText&gt;&lt;record&gt;&lt;rec-number&gt;422&lt;/rec-number&gt;&lt;foreign-keys&gt;&lt;key app="EN" db-id="w0rx9swdca9sfbetsrnprze9fsx9v9z2dwt9" timestamp="1664027537"&gt;422&lt;/key&gt;&lt;/foreign-keys&gt;&lt;ref-type name="Journal Article"&gt;17&lt;/ref-type&gt;&lt;contributors&gt;&lt;authors&gt;&lt;author&gt;Arthur, JC&lt;/author&gt;&lt;author&gt;Perez-Chanona, E&lt;/author&gt;&lt;author&gt;Mühlbauer, M&lt;/author&gt;&lt;author&gt;Tomkovich, S&lt;/author&gt;&lt;author&gt;Uronis, JM&lt;/author&gt;&lt;author&gt;Fan, TJ&lt;/author&gt;&lt;author&gt;Campbell, BJ&lt;/author&gt;&lt;author&gt;Abujamel, T&lt;/author&gt;&lt;author&gt;Dogan, B&lt;/author&gt;&lt;author&gt;Rogers, AB&lt;/author&gt;&lt;author&gt;Rhodes, JM&lt;/author&gt;&lt;author&gt;Stintzi, A&lt;/author&gt;&lt;author&gt;Simpson, KW&lt;/author&gt;&lt;author&gt;Hansen, JJ&lt;/author&gt;&lt;author&gt;Keku, TO&lt;/author&gt;&lt;author&gt;Fodor, AA&lt;/author&gt;&lt;author&gt;Jobin, C&lt;/author&gt;&lt;/authors&gt;&lt;/contributors&gt;&lt;titles&gt;&lt;title&gt;Intestinal inflammation targets cancer-inducing activity of the microbiota&lt;/title&gt;&lt;secondary-title&gt;Science (New York, N.Y.)&lt;/secondary-title&gt;&lt;/titles&gt;&lt;periodical&gt;&lt;full-title&gt;Science (New York, N.Y.)&lt;/full-title&gt;&lt;/periodical&gt;&lt;pages&gt;120-3&lt;/pages&gt;&lt;volume&gt;338&lt;/volume&gt;&lt;number&gt;6103&lt;/number&gt;&lt;dates&gt;&lt;year&gt;2012&lt;/year&gt;&lt;/dates&gt;&lt;accession-num&gt;22903521&lt;/accession-num&gt;&lt;label&gt;41.845&lt;/label&gt;&lt;urls&gt;&lt;/urls&gt;&lt;electronic-resource-num&gt;10.1126/science.1224820&lt;/electronic-resource-num&gt;&lt;/record&gt;&lt;/Cite&gt;&lt;/EndNote&gt;</w:instrText>
            </w:r>
            <w:r w:rsidRPr="00A54C00">
              <w:rPr>
                <w:color w:val="000000"/>
                <w:sz w:val="24"/>
                <w:vertAlign w:val="superscript"/>
              </w:rPr>
              <w:fldChar w:fldCharType="separate"/>
            </w:r>
            <w:r>
              <w:rPr>
                <w:noProof/>
                <w:color w:val="000000"/>
                <w:sz w:val="24"/>
                <w:vertAlign w:val="superscript"/>
              </w:rPr>
              <w:t>[2]</w:t>
            </w:r>
            <w:r w:rsidRPr="00A54C00">
              <w:rPr>
                <w:color w:val="000000"/>
                <w:sz w:val="24"/>
                <w:vertAlign w:val="superscript"/>
              </w:rPr>
              <w:fldChar w:fldCharType="end"/>
            </w:r>
          </w:p>
        </w:tc>
      </w:tr>
      <w:tr w:rsidR="00AF5D5D" w:rsidRPr="00D62E74" w:rsidTr="00DE6D51">
        <w:trPr>
          <w:trHeight w:hRule="exact" w:val="454"/>
        </w:trPr>
        <w:tc>
          <w:tcPr>
            <w:tcW w:w="1977" w:type="pct"/>
          </w:tcPr>
          <w:p w:rsidR="00AF5D5D" w:rsidRPr="000A4164" w:rsidRDefault="00AF5D5D" w:rsidP="00DE6D51">
            <w:pPr>
              <w:widowControl/>
              <w:spacing w:line="480" w:lineRule="exact"/>
              <w:ind w:firstLineChars="200" w:firstLine="480"/>
              <w:rPr>
                <w:color w:val="000000"/>
                <w:sz w:val="24"/>
              </w:rPr>
            </w:pPr>
            <w:r w:rsidRPr="000A4164">
              <w:rPr>
                <w:color w:val="000000"/>
                <w:sz w:val="24"/>
              </w:rPr>
              <w:t>Fusobacterium spp-F</w:t>
            </w:r>
          </w:p>
        </w:tc>
        <w:tc>
          <w:tcPr>
            <w:tcW w:w="3023" w:type="pct"/>
          </w:tcPr>
          <w:p w:rsidR="00AF5D5D" w:rsidRPr="000A4164" w:rsidRDefault="00AF5D5D" w:rsidP="00DE6D51">
            <w:pPr>
              <w:widowControl/>
              <w:spacing w:line="480" w:lineRule="exact"/>
              <w:ind w:firstLineChars="200" w:firstLine="480"/>
              <w:rPr>
                <w:color w:val="000000"/>
                <w:sz w:val="24"/>
              </w:rPr>
            </w:pPr>
            <w:r w:rsidRPr="000A4164">
              <w:rPr>
                <w:color w:val="000000"/>
                <w:sz w:val="24"/>
              </w:rPr>
              <w:t>CGGGTGAGTAACG CGTAAAG</w:t>
            </w:r>
          </w:p>
        </w:tc>
      </w:tr>
      <w:tr w:rsidR="00AF5D5D" w:rsidRPr="00D62E74" w:rsidTr="00DE6D51">
        <w:trPr>
          <w:trHeight w:hRule="exact" w:val="454"/>
        </w:trPr>
        <w:tc>
          <w:tcPr>
            <w:tcW w:w="1977" w:type="pct"/>
          </w:tcPr>
          <w:p w:rsidR="00AF5D5D" w:rsidRPr="000A4164" w:rsidRDefault="00AF5D5D" w:rsidP="00DE6D51">
            <w:pPr>
              <w:widowControl/>
              <w:spacing w:line="480" w:lineRule="exact"/>
              <w:ind w:firstLineChars="200" w:firstLine="480"/>
              <w:rPr>
                <w:color w:val="000000"/>
                <w:sz w:val="24"/>
              </w:rPr>
            </w:pPr>
            <w:r w:rsidRPr="000A4164">
              <w:rPr>
                <w:color w:val="000000"/>
                <w:sz w:val="24"/>
              </w:rPr>
              <w:t>Fusobacterium spp-R</w:t>
            </w:r>
          </w:p>
        </w:tc>
        <w:tc>
          <w:tcPr>
            <w:tcW w:w="3023" w:type="pct"/>
          </w:tcPr>
          <w:p w:rsidR="00AF5D5D" w:rsidRPr="000A4164" w:rsidRDefault="00AF5D5D" w:rsidP="00AF5D5D">
            <w:pPr>
              <w:widowControl/>
              <w:spacing w:line="480" w:lineRule="exact"/>
              <w:ind w:firstLineChars="200" w:firstLine="480"/>
              <w:rPr>
                <w:color w:val="000000"/>
                <w:sz w:val="24"/>
              </w:rPr>
            </w:pPr>
            <w:r w:rsidRPr="000A4164">
              <w:rPr>
                <w:color w:val="000000"/>
                <w:sz w:val="24"/>
              </w:rPr>
              <w:t>ACATTGTGCCACG GACATCTTG</w:t>
            </w:r>
            <w:r>
              <w:rPr>
                <w:color w:val="000000"/>
                <w:sz w:val="24"/>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&lt;EndNote&gt;&lt;Cite&gt;&lt;Author&gt;Chen&lt;/Author&gt;&lt;Year&gt;2020&lt;/Year&gt;&lt;RecNum&gt;423&lt;/RecNum&gt;&lt;DisplayText&gt;[3]&lt;/DisplayText&gt;&lt;record&gt;&lt;rec-number&gt;423&lt;/rec-number&gt;&lt;foreign-keys&gt;&lt;key app="EN" db-id="w0rx9swdca9sfbetsrnprze9fsx9v9z2dwt9" timestamp="1664029735"&gt;423&lt;/key&gt;&lt;/foreign-keys&gt;&lt;ref-type name="Journal Article"&gt;17&lt;/ref-type&gt;&lt;contributors&gt;&lt;authors&gt;&lt;author&gt;Chen, S&lt;/author&gt;&lt;author&gt;Su, T&lt;/author&gt;&lt;author&gt;Zhang, Y&lt;/author&gt;&lt;author&gt;Lee, A&lt;/author&gt;&lt;author&gt;He, J&lt;/author&gt;&lt;author&gt;Ge, Q&lt;/author&gt;&lt;author&gt;Wang, L&lt;/author&gt;&lt;author&gt;Si, J&lt;/author&gt;&lt;author&gt;Zhuo, W&lt;/author&gt;&lt;author&gt;Wang, L&lt;/author&gt;&lt;/authors&gt;&lt;/contributors&gt;&lt;titles&gt;&lt;title&gt;Fusobacterium nucleatum promotes colorectal cancer metastasis by modulating /KRT7&lt;/title&gt;&lt;secondary-title&gt;Gut microbes&lt;/secondary-title&gt;&lt;/titles&gt;&lt;periodical&gt;&lt;full-title&gt;Gut microbes&lt;/full-title&gt;&lt;/periodical&gt;&lt;pages&gt;511-525&lt;/pages&gt;&lt;volume&gt;11&lt;/volume&gt;&lt;number&gt;3&lt;/number&gt;&lt;dates&gt;&lt;year&gt;2020&lt;/year&gt;&lt;/dates&gt;&lt;accession-num&gt;31910722&lt;/accession-num&gt;&lt;label&gt;7.74&lt;/label&gt;&lt;urls&gt;&lt;/urls&gt;&lt;electronic-resource-num&gt;10.1080/19490976.2019.1695494&lt;/electronic-resource-num&gt;&lt;/record&gt;&lt;/Cite&gt;&lt;/EndNote&gt;</w:instrText>
            </w:r>
            <w:r w:rsidRPr="00A54C00">
              <w:rPr>
                <w:color w:val="000000"/>
                <w:sz w:val="24"/>
                <w:vertAlign w:val="superscript"/>
              </w:rPr>
              <w:fldChar w:fldCharType="separate"/>
            </w:r>
            <w:r>
              <w:rPr>
                <w:noProof/>
                <w:color w:val="000000"/>
                <w:sz w:val="24"/>
                <w:vertAlign w:val="superscript"/>
              </w:rPr>
              <w:t>[3]</w:t>
            </w:r>
            <w:r w:rsidRPr="00A54C00">
              <w:rPr>
                <w:color w:val="000000"/>
                <w:sz w:val="24"/>
                <w:vertAlign w:val="superscript"/>
              </w:rPr>
              <w:fldChar w:fldCharType="end"/>
            </w:r>
          </w:p>
        </w:tc>
      </w:tr>
      <w:tr w:rsidR="00AF5D5D" w:rsidRPr="00D62E74" w:rsidTr="00DE6D51">
        <w:trPr>
          <w:trHeight w:hRule="exact" w:val="454"/>
        </w:trPr>
        <w:tc>
          <w:tcPr>
            <w:tcW w:w="1977" w:type="pct"/>
          </w:tcPr>
          <w:p w:rsidR="00AF5D5D" w:rsidRPr="000A4164" w:rsidRDefault="00AF5D5D" w:rsidP="00DE6D51">
            <w:pPr>
              <w:widowControl/>
              <w:spacing w:line="480" w:lineRule="exact"/>
              <w:ind w:firstLineChars="200" w:firstLine="480"/>
              <w:rPr>
                <w:color w:val="000000"/>
                <w:sz w:val="24"/>
              </w:rPr>
            </w:pPr>
            <w:r w:rsidRPr="000A4164">
              <w:rPr>
                <w:color w:val="000000"/>
                <w:sz w:val="24"/>
              </w:rPr>
              <w:t>PGT-F</w:t>
            </w:r>
          </w:p>
        </w:tc>
        <w:tc>
          <w:tcPr>
            <w:tcW w:w="3023" w:type="pct"/>
          </w:tcPr>
          <w:p w:rsidR="00AF5D5D" w:rsidRPr="000A4164" w:rsidRDefault="00AF5D5D" w:rsidP="00DE6D51">
            <w:pPr>
              <w:widowControl/>
              <w:spacing w:line="480" w:lineRule="exact"/>
              <w:ind w:firstLineChars="200" w:firstLine="480"/>
              <w:rPr>
                <w:color w:val="000000"/>
                <w:sz w:val="24"/>
              </w:rPr>
            </w:pPr>
            <w:r w:rsidRPr="000A4164">
              <w:rPr>
                <w:color w:val="000000"/>
                <w:sz w:val="24"/>
              </w:rPr>
              <w:t>ATCCCCAAAGCACCTGGTTT</w:t>
            </w:r>
          </w:p>
        </w:tc>
      </w:tr>
      <w:tr w:rsidR="00AF5D5D" w:rsidRPr="00D62E74" w:rsidTr="00DE6D51">
        <w:trPr>
          <w:trHeight w:hRule="exact" w:val="454"/>
        </w:trPr>
        <w:tc>
          <w:tcPr>
            <w:tcW w:w="1977" w:type="pct"/>
          </w:tcPr>
          <w:p w:rsidR="00AF5D5D" w:rsidRPr="000A4164" w:rsidRDefault="00AF5D5D" w:rsidP="00DE6D51">
            <w:pPr>
              <w:widowControl/>
              <w:spacing w:line="480" w:lineRule="exact"/>
              <w:ind w:firstLineChars="200" w:firstLine="480"/>
              <w:rPr>
                <w:color w:val="000000"/>
                <w:sz w:val="24"/>
              </w:rPr>
            </w:pPr>
            <w:r w:rsidRPr="000A4164">
              <w:rPr>
                <w:color w:val="000000"/>
                <w:sz w:val="24"/>
              </w:rPr>
              <w:t>PGT-R</w:t>
            </w:r>
          </w:p>
        </w:tc>
        <w:tc>
          <w:tcPr>
            <w:tcW w:w="3023" w:type="pct"/>
          </w:tcPr>
          <w:p w:rsidR="00AF5D5D" w:rsidRPr="000A4164" w:rsidRDefault="00AF5D5D" w:rsidP="00AF5D5D">
            <w:pPr>
              <w:widowControl/>
              <w:spacing w:line="480" w:lineRule="exact"/>
              <w:ind w:firstLineChars="200" w:firstLine="480"/>
              <w:rPr>
                <w:color w:val="000000"/>
                <w:sz w:val="24"/>
              </w:rPr>
            </w:pPr>
            <w:r w:rsidRPr="000A4164">
              <w:rPr>
                <w:color w:val="000000"/>
                <w:sz w:val="24"/>
              </w:rPr>
              <w:t>AGAGGCCAAGATAGTCCTGGTAA</w:t>
            </w:r>
            <w:r w:rsidRPr="00A54C00">
              <w:rPr>
                <w:color w:val="000000"/>
                <w:sz w:val="24"/>
                <w:vertAlign w:val="superscript"/>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&lt;EndNote&gt;&lt;Cite&gt;&lt;Author&gt;Castellarin&lt;/Author&gt;&lt;Year&gt;2012&lt;/Year&gt;&lt;RecNum&gt;424&lt;/RecNum&gt;&lt;DisplayText&gt;[4]&lt;/DisplayText&gt;&lt;record&gt;&lt;rec-number&gt;424&lt;/rec-number&gt;&lt;foreign-keys&gt;&lt;key app="EN" db-id="w0rx9swdca9sfbetsrnprze9fsx9v9z2dwt9" timestamp="1664029936"&gt;424&lt;/key&gt;&lt;/foreign-keys&gt;&lt;ref-type name="Journal Article"&gt;17&lt;/ref-type&gt;&lt;contributors&gt;&lt;authors&gt;&lt;author&gt;Castellarin, M&lt;/author&gt;&lt;author&gt;Warren, RL&lt;/author&gt;&lt;author&gt;Freeman, JD&lt;/author&gt;&lt;author&gt;Dreolini, L&lt;/author&gt;&lt;author&gt;Krzywinski, M&lt;/author&gt;&lt;author&gt;Strauss, J&lt;/author&gt;&lt;author&gt;Barnes, R&lt;/author&gt;&lt;author&gt;Watson, P&lt;/author&gt;&lt;author&gt;Allen-Vercoe, E&lt;/author&gt;&lt;author&gt;Moore, RA&lt;/author&gt;&lt;author&gt;Holt, RA&lt;/author&gt;&lt;/authors&gt;&lt;/contributors&gt;&lt;titles&gt;&lt;title&gt;Fusobacterium nucleatum infection is prevalent in human colorectal carcinoma&lt;/title&gt;&lt;secondary-title&gt;Genome research&lt;/secondary-title&gt;&lt;/titles&gt;&lt;periodical&gt;&lt;full-title&gt;Genome research&lt;/full-title&gt;&lt;/periodical&gt;&lt;pages&gt;299-306&lt;/pages&gt;&lt;volume&gt;22&lt;/volume&gt;&lt;number&gt;2&lt;/number&gt;&lt;dates&gt;&lt;year&gt;2012&lt;/year&gt;&lt;/dates&gt;&lt;accession-num&gt;22009989&lt;/accession-num&gt;&lt;label&gt;11.093&lt;/label&gt;&lt;urls&gt;&lt;/urls&gt;&lt;electronic-resource-num&gt;10.1101/gr.126516.111&lt;/electronic-resource-num&gt;&lt;/record&gt;&lt;/Cite&gt;&lt;/EndNote&gt;</w:instrText>
            </w:r>
            <w:r w:rsidRPr="00A54C00">
              <w:rPr>
                <w:color w:val="000000"/>
                <w:sz w:val="24"/>
                <w:vertAlign w:val="superscript"/>
              </w:rPr>
              <w:fldChar w:fldCharType="separate"/>
            </w:r>
            <w:r>
              <w:rPr>
                <w:noProof/>
                <w:color w:val="000000"/>
                <w:sz w:val="24"/>
                <w:vertAlign w:val="superscript"/>
              </w:rPr>
              <w:t>[4]</w:t>
            </w:r>
            <w:r w:rsidRPr="00A54C00">
              <w:rPr>
                <w:color w:val="000000"/>
                <w:sz w:val="24"/>
                <w:vertAlign w:val="superscript"/>
              </w:rPr>
              <w:fldChar w:fldCharType="end"/>
            </w:r>
          </w:p>
        </w:tc>
      </w:tr>
      <w:tr w:rsidR="00AF5D5D" w:rsidRPr="00D62E74" w:rsidTr="00DE6D51">
        <w:trPr>
          <w:trHeight w:hRule="exact" w:val="454"/>
        </w:trPr>
        <w:tc>
          <w:tcPr>
            <w:tcW w:w="1977" w:type="pct"/>
          </w:tcPr>
          <w:p w:rsidR="00AF5D5D" w:rsidRPr="000A4164" w:rsidRDefault="00AF5D5D" w:rsidP="00DE6D51">
            <w:pPr>
              <w:widowControl/>
              <w:spacing w:line="480" w:lineRule="exact"/>
              <w:ind w:firstLineChars="200" w:firstLine="480"/>
              <w:rPr>
                <w:color w:val="000000"/>
                <w:sz w:val="24"/>
              </w:rPr>
            </w:pPr>
            <w:r>
              <w:rPr>
                <w:rFonts w:hint="eastAsia"/>
                <w:color w:val="000000"/>
                <w:sz w:val="24"/>
              </w:rPr>
              <w:t>1</w:t>
            </w:r>
            <w:r>
              <w:rPr>
                <w:color w:val="000000"/>
                <w:sz w:val="24"/>
              </w:rPr>
              <w:t>6S-F</w:t>
            </w:r>
          </w:p>
        </w:tc>
        <w:tc>
          <w:tcPr>
            <w:tcW w:w="3023" w:type="pct"/>
          </w:tcPr>
          <w:p w:rsidR="00AF5D5D" w:rsidRPr="000A4164" w:rsidRDefault="00AF5D5D" w:rsidP="00DE6D51">
            <w:pPr>
              <w:widowControl/>
              <w:spacing w:line="480" w:lineRule="exact"/>
              <w:ind w:firstLineChars="200" w:firstLine="480"/>
              <w:rPr>
                <w:color w:val="000000"/>
                <w:sz w:val="24"/>
              </w:rPr>
            </w:pPr>
            <w:r w:rsidRPr="00E126F4">
              <w:rPr>
                <w:color w:val="000000"/>
                <w:sz w:val="24"/>
              </w:rPr>
              <w:t>GTGSTGCAYGGYTGTCGTCA</w:t>
            </w:r>
          </w:p>
        </w:tc>
      </w:tr>
      <w:tr w:rsidR="00AF5D5D" w:rsidRPr="00D62E74" w:rsidTr="00DE6D51">
        <w:trPr>
          <w:trHeight w:hRule="exact" w:val="454"/>
        </w:trPr>
        <w:tc>
          <w:tcPr>
            <w:tcW w:w="1977" w:type="pct"/>
          </w:tcPr>
          <w:p w:rsidR="00AF5D5D" w:rsidRPr="000A4164" w:rsidRDefault="00AF5D5D" w:rsidP="00DE6D51">
            <w:pPr>
              <w:widowControl/>
              <w:spacing w:line="480" w:lineRule="exact"/>
              <w:ind w:firstLineChars="200" w:firstLine="480"/>
              <w:rPr>
                <w:color w:val="000000"/>
                <w:sz w:val="24"/>
              </w:rPr>
            </w:pPr>
            <w:r>
              <w:rPr>
                <w:rFonts w:hint="eastAsia"/>
                <w:color w:val="000000"/>
                <w:sz w:val="24"/>
              </w:rPr>
              <w:t>1</w:t>
            </w:r>
            <w:r>
              <w:rPr>
                <w:color w:val="000000"/>
                <w:sz w:val="24"/>
              </w:rPr>
              <w:t>6S-R</w:t>
            </w:r>
          </w:p>
        </w:tc>
        <w:tc>
          <w:tcPr>
            <w:tcW w:w="3023" w:type="pct"/>
          </w:tcPr>
          <w:p w:rsidR="00AF5D5D" w:rsidRPr="000A4164" w:rsidRDefault="00AF5D5D" w:rsidP="00AF5D5D">
            <w:pPr>
              <w:widowControl/>
              <w:spacing w:line="480" w:lineRule="exact"/>
              <w:ind w:firstLineChars="200" w:firstLine="480"/>
              <w:rPr>
                <w:color w:val="000000"/>
                <w:sz w:val="24"/>
              </w:rPr>
            </w:pPr>
            <w:r>
              <w:rPr>
                <w:color w:val="000000"/>
                <w:sz w:val="24"/>
              </w:rPr>
              <w:t>ACGTCRTCCMCACCTTCC</w:t>
            </w:r>
            <w:r w:rsidRPr="00E126F4">
              <w:rPr>
                <w:color w:val="000000"/>
                <w:sz w:val="24"/>
              </w:rPr>
              <w:t>C</w:t>
            </w:r>
            <w:r>
              <w:rPr>
                <w:color w:val="000000"/>
                <w:sz w:val="24"/>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&lt;EndNote&gt;&lt;Cite&gt;&lt;Author&gt;Arthur&lt;/Author&gt;&lt;Year&gt;2012&lt;/Year&gt;&lt;RecNum&gt;422&lt;/RecNum&gt;&lt;DisplayText&gt;[2]&lt;/DisplayText&gt;&lt;record&gt;&lt;rec-number&gt;422&lt;/rec-number&gt;&lt;foreign-keys&gt;&lt;key app="EN" db-id="w0rx9swdca9sfbetsrnprze9fsx9v9z2dwt9" timestamp="1664027537"&gt;422&lt;/key&gt;&lt;/foreign-keys&gt;&lt;ref-type name="Journal Article"&gt;17&lt;/ref-type&gt;&lt;contributors&gt;&lt;authors&gt;&lt;author&gt;Arthur, JC&lt;/author&gt;&lt;author&gt;Perez-Chanona, E&lt;/author&gt;&lt;author&gt;Mühlbauer, M&lt;/author&gt;&lt;author&gt;Tomkovich, S&lt;/author&gt;&lt;author&gt;Uronis, JM&lt;/author&gt;&lt;author&gt;Fan, TJ&lt;/author&gt;&lt;author&gt;Campbell, BJ&lt;/author&gt;&lt;author&gt;Abujamel, T&lt;/author&gt;&lt;author&gt;Dogan, B&lt;/author&gt;&lt;author&gt;Rogers, AB&lt;/author&gt;&lt;author&gt;Rhodes, JM&lt;/author&gt;&lt;author&gt;Stintzi, A&lt;/author&gt;&lt;author&gt;Simpson, KW&lt;/author&gt;&lt;author&gt;Hansen, JJ&lt;/author&gt;&lt;author&gt;Keku, TO&lt;/author&gt;&lt;author&gt;Fodor, AA&lt;/author&gt;&lt;author&gt;Jobin, C&lt;/author&gt;&lt;/authors&gt;&lt;/contributors&gt;&lt;titles&gt;&lt;title&gt;Intestinal inflammation targets cancer-inducing activity of the microbiota&lt;/title&gt;&lt;secondary-title&gt;Science (New York, N.Y.)&lt;/secondary-title&gt;&lt;/titles&gt;&lt;periodical&gt;&lt;full-title&gt;Science (New York, N.Y.)&lt;/full-title&gt;&lt;/periodical&gt;&lt;pages&gt;120-3&lt;/pages&gt;&lt;volume&gt;338&lt;/volume&gt;&lt;number&gt;6103&lt;/number&gt;&lt;dates&gt;&lt;year&gt;2012&lt;/year&gt;&lt;/dates&gt;&lt;accession-num&gt;22903521&lt;/accession-num&gt;&lt;label&gt;41.845&lt;/label&gt;&lt;urls&gt;&lt;/urls&gt;&lt;electronic-resource-num&gt;10.1126/science.1224820&lt;/electronic-resource-num&gt;&lt;/record&gt;&lt;/Cite&gt;&lt;/EndNote&gt;</w:instrText>
            </w:r>
            <w:r w:rsidRPr="00A54C00">
              <w:rPr>
                <w:color w:val="000000"/>
                <w:sz w:val="24"/>
                <w:vertAlign w:val="superscript"/>
              </w:rPr>
              <w:fldChar w:fldCharType="separate"/>
            </w:r>
            <w:r>
              <w:rPr>
                <w:noProof/>
                <w:color w:val="000000"/>
                <w:sz w:val="24"/>
                <w:vertAlign w:val="superscript"/>
              </w:rPr>
              <w:t>[2]</w:t>
            </w:r>
            <w:r w:rsidRPr="00A54C00">
              <w:rPr>
                <w:color w:val="000000"/>
                <w:sz w:val="24"/>
                <w:vertAlign w:val="superscript"/>
              </w:rPr>
              <w:fldChar w:fldCharType="end"/>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Collagen I-F</w:t>
            </w:r>
          </w:p>
        </w:tc>
        <w:tc>
          <w:tcPr>
            <w:tcW w:w="3023"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CAATGCTGCCCTTTCTGCTCCTTT</w:t>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Collagen I-R</w:t>
            </w:r>
          </w:p>
        </w:tc>
        <w:tc>
          <w:tcPr>
            <w:tcW w:w="3023" w:type="pct"/>
          </w:tcPr>
          <w:p w:rsidR="00AF5D5D" w:rsidRPr="00196350" w:rsidRDefault="00AF5D5D" w:rsidP="00AF5D5D">
            <w:pPr>
              <w:widowControl/>
              <w:spacing w:line="480" w:lineRule="exact"/>
              <w:ind w:firstLineChars="200" w:firstLine="480"/>
              <w:rPr>
                <w:color w:val="000000"/>
                <w:sz w:val="24"/>
              </w:rPr>
            </w:pPr>
            <w:r w:rsidRPr="00196350">
              <w:rPr>
                <w:color w:val="000000"/>
                <w:sz w:val="24"/>
              </w:rPr>
              <w:t>ATTGCCTTTGATTGCTGGGCAGAC</w:t>
            </w:r>
            <w:r>
              <w:rPr>
                <w:color w:val="000000"/>
                <w:sz w:val="24"/>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&lt;EndNote&gt;&lt;Cite&gt;&lt;Author&gt;Jin&lt;/Author&gt;&lt;Year&gt;2022&lt;/Year&gt;&lt;RecNum&gt;439&lt;/RecNum&gt;&lt;DisplayText&gt;[1]&lt;/DisplayText&gt;&lt;record&gt;&lt;rec-number&gt;439&lt;/rec-number&gt;&lt;foreign-keys&gt;&lt;key app="EN" db-id="w0rx9swdca9sfbetsrnprze9fsx9v9z2dwt9" timestamp="1665236177"&gt;439&lt;/key&gt;&lt;/foreign-keys&gt;&lt;ref-type name="Journal Article"&gt;17&lt;/ref-type&gt;&lt;contributors&gt;&lt;authors&gt;&lt;author&gt;Jin, X&lt;/author&gt;&lt;author&gt;Liu, Y&lt;/author&gt;&lt;author&gt;Yan, W&lt;/author&gt;&lt;author&gt;Shi, S&lt;/author&gt;&lt;author&gt;Liu, L&lt;/author&gt;&lt;author&gt;Lin, B&lt;/author&gt;&lt;author&gt;Guo, X&lt;/author&gt;&lt;author&gt;Cai, T&lt;/author&gt;&lt;author&gt;Wei, Y&lt;/author&gt;&lt;/authors&gt;&lt;/contributors&gt;&lt;titles&gt;&lt;title&gt;Gut microbiota from nCAL patients promotes colon anastomotic healing by inducing collagen synthesis in epithelial cells&lt;/title&gt;&lt;secondary-title&gt;Journal of gastroenterology and hepatology&lt;/secondary-title&gt;&lt;/titles&gt;&lt;periodical&gt;&lt;full-title&gt;Journal of gastroenterology and hepatology&lt;/full-title&gt;&lt;/periodical&gt;&lt;pages&gt;1756-1767&lt;/pages&gt;&lt;volume&gt;37&lt;/volume&gt;&lt;number&gt;9&lt;/number&gt;&lt;dates&gt;&lt;year&gt;2022&lt;/year&gt;&lt;/dates&gt;&lt;accession-num&gt;35849493&lt;/accession-num&gt;&lt;label&gt;3.437&lt;/label&gt;&lt;urls&gt;&lt;/urls&gt;&lt;electronic-resource-num&gt;10.1111/jgh.15946&lt;/electronic-resource-num&gt;&lt;/record&gt;&lt;/Cite&gt;&lt;/EndNote&gt;</w:instrText>
            </w:r>
            <w:r w:rsidRPr="00A54C00">
              <w:rPr>
                <w:color w:val="000000"/>
                <w:sz w:val="24"/>
                <w:vertAlign w:val="superscript"/>
              </w:rPr>
              <w:fldChar w:fldCharType="separate"/>
            </w:r>
            <w:r>
              <w:rPr>
                <w:noProof/>
                <w:color w:val="000000"/>
                <w:sz w:val="24"/>
                <w:vertAlign w:val="superscript"/>
              </w:rPr>
              <w:t>[1]</w:t>
            </w:r>
            <w:r w:rsidRPr="00A54C00">
              <w:rPr>
                <w:color w:val="000000"/>
                <w:sz w:val="24"/>
                <w:vertAlign w:val="superscript"/>
              </w:rPr>
              <w:fldChar w:fldCharType="end"/>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Collagen III-F</w:t>
            </w:r>
          </w:p>
        </w:tc>
        <w:tc>
          <w:tcPr>
            <w:tcW w:w="3023"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ACTGGTGAACGTGGCTCTAA</w:t>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Collagen III-R</w:t>
            </w:r>
          </w:p>
        </w:tc>
        <w:tc>
          <w:tcPr>
            <w:tcW w:w="3023" w:type="pct"/>
          </w:tcPr>
          <w:p w:rsidR="00AF5D5D" w:rsidRPr="00196350" w:rsidRDefault="00AF5D5D" w:rsidP="00AF5D5D">
            <w:pPr>
              <w:widowControl/>
              <w:spacing w:line="480" w:lineRule="exact"/>
              <w:ind w:firstLineChars="200" w:firstLine="480"/>
              <w:rPr>
                <w:color w:val="000000"/>
                <w:sz w:val="24"/>
              </w:rPr>
            </w:pPr>
            <w:r w:rsidRPr="00196350">
              <w:rPr>
                <w:color w:val="000000"/>
                <w:sz w:val="24"/>
              </w:rPr>
              <w:t>GGACCTGGATGTCCACTTGA</w:t>
            </w:r>
            <w:r>
              <w:rPr>
                <w:color w:val="000000"/>
                <w:sz w:val="24"/>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&lt;EndNote&gt;&lt;Cite&gt;&lt;Author&gt;Wang&lt;/Author&gt;&lt;Year&gt;2020&lt;/Year&gt;&lt;RecNum&gt;438&lt;/RecNum&gt;&lt;DisplayText&gt;[5]&lt;/DisplayText&gt;&lt;record&gt;&lt;rec-number&gt;438&lt;/rec-number&gt;&lt;foreign-keys&gt;&lt;key app="EN" db-id="w0rx9swdca9sfbetsrnprze9fsx9v9z2dwt9" timestamp="1665235867"&gt;438&lt;/key&gt;&lt;/foreign-keys&gt;&lt;ref-type name="Journal Article"&gt;17&lt;/ref-type&gt;&lt;contributors&gt;&lt;authors&gt;&lt;author&gt;Wang, T&lt;/author&gt;&lt;author&gt;Sun, X&lt;/author&gt;&lt;author&gt;Cui, H&lt;/author&gt;&lt;author&gt;Liu, K&lt;/author&gt;&lt;author&gt;Zhao, J&lt;/author&gt;&lt;/authors&gt;&lt;/contributors&gt;&lt;titles&gt;&lt;title&gt;The peptide compound urantide regulates collagen metabolism in atherosclerotic rat hearts and inhibits the JAK2/STAT3 pathway&lt;/title&gt;&lt;secondary-title&gt;Molecular medicine reports&lt;/secondary-title&gt;&lt;/titles&gt;&lt;periodical&gt;&lt;full-title&gt;Molecular medicine reports&lt;/full-title&gt;&lt;/periodical&gt;&lt;pages&gt;1097-1106&lt;/pages&gt;&lt;volume&gt;21&lt;/volume&gt;&lt;number&gt;3&lt;/number&gt;&lt;dates&gt;&lt;year&gt;2020&lt;/year&gt;&lt;/dates&gt;&lt;accession-num&gt;32016456&lt;/accession-num&gt;&lt;label&gt;2.1&lt;/label&gt;&lt;urls&gt;&lt;/urls&gt;&lt;electronic-resource-num&gt;10.3892/mmr.2020.10934&lt;/electronic-resource-num&gt;&lt;/record&gt;&lt;/Cite&gt;&lt;/EndNote&gt;</w:instrText>
            </w:r>
            <w:r w:rsidRPr="00A54C00">
              <w:rPr>
                <w:color w:val="000000"/>
                <w:sz w:val="24"/>
                <w:vertAlign w:val="superscript"/>
              </w:rPr>
              <w:fldChar w:fldCharType="separate"/>
            </w:r>
            <w:r>
              <w:rPr>
                <w:noProof/>
                <w:color w:val="000000"/>
                <w:sz w:val="24"/>
                <w:vertAlign w:val="superscript"/>
              </w:rPr>
              <w:t>[5]</w:t>
            </w:r>
            <w:r w:rsidRPr="00A54C00">
              <w:rPr>
                <w:color w:val="000000"/>
                <w:sz w:val="24"/>
                <w:vertAlign w:val="superscript"/>
              </w:rPr>
              <w:fldChar w:fldCharType="end"/>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MMP9-F</w:t>
            </w:r>
          </w:p>
        </w:tc>
        <w:tc>
          <w:tcPr>
            <w:tcW w:w="3023"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AGGTGCCTCGGATGGTTATCG</w:t>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MMP9 -R</w:t>
            </w:r>
          </w:p>
        </w:tc>
        <w:tc>
          <w:tcPr>
            <w:tcW w:w="3023" w:type="pct"/>
          </w:tcPr>
          <w:p w:rsidR="00AF5D5D" w:rsidRPr="00196350" w:rsidRDefault="00AF5D5D" w:rsidP="00AF5D5D">
            <w:pPr>
              <w:widowControl/>
              <w:spacing w:line="480" w:lineRule="exact"/>
              <w:ind w:firstLineChars="200" w:firstLine="480"/>
              <w:rPr>
                <w:color w:val="000000"/>
                <w:sz w:val="24"/>
              </w:rPr>
            </w:pPr>
            <w:r w:rsidRPr="00196350">
              <w:rPr>
                <w:color w:val="000000"/>
                <w:sz w:val="24"/>
              </w:rPr>
              <w:t>TGCTTGCCCAGGAAGACGAA</w:t>
            </w:r>
            <w:r>
              <w:rPr>
                <w:color w:val="000000"/>
                <w:sz w:val="24"/>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&lt;EndNote&gt;&lt;Cite&gt;&lt;Author&gt;Wołosowicz&lt;/Author&gt;&lt;Year&gt;2022&lt;/Year&gt;&lt;RecNum&gt;437&lt;/RecNum&gt;&lt;DisplayText&gt;[6]&lt;/DisplayText&gt;&lt;record&gt;&lt;rec-number&gt;437&lt;/rec-number&gt;&lt;foreign-keys&gt;&lt;key app="EN" db-id="w0rx9swdca9sfbetsrnprze9fsx9v9z2dwt9" timestamp="1665234635"&gt;437&lt;/key&gt;&lt;/foreign-keys&gt;&lt;ref-type name="Journal Article"&gt;17&lt;/ref-type&gt;&lt;contributors&gt;&lt;authors&gt;&lt;author&gt;Wołosowicz, M&lt;/author&gt;&lt;author&gt;Łukaszuk, B&lt;/author&gt;&lt;author&gt;Kasacka, I&lt;/author&gt;&lt;author&gt;Chabowski, A&lt;/author&gt;&lt;/authors&gt;&lt;/contributors&gt;&lt;titles&gt;&lt;title&gt;Diverse Impact of N-Acetylcysteine or Alpha-Lipoic Acid Supplementation during High-Fat Diet Regime on Matrix Metalloproteinase-2 and Matrix Metalloproteinase-9 in Visceral and Subcutaneous Adipose Tissue&lt;/title&gt;&lt;secondary-title&gt;Cellular physiology and biochemistry : international journal of experimental cellular physiology, biochemistry, and pharmacology&lt;/secondary-title&gt;&lt;/titles&gt;&lt;periodical&gt;&lt;full-title&gt;Cellular physiology and biochemistry : international journal of experimental cellular physiology, biochemistry, and pharmacology&lt;/full-title&gt;&lt;/periodical&gt;&lt;pages&gt;166-179&lt;/pages&gt;&lt;volume&gt;56&lt;/volume&gt;&lt;number&gt;2&lt;/number&gt;&lt;dates&gt;&lt;year&gt;2022&lt;/year&gt;&lt;/dates&gt;&lt;accession-num&gt;35420738&lt;/accession-num&gt;&lt;label&gt;5.5&lt;/label&gt;&lt;urls&gt;&lt;/urls&gt;&lt;electronic-resource-num&gt;10.33594/000000511&lt;/electronic-resource-num&gt;&lt;/record&gt;&lt;/Cite&gt;&lt;/EndNote&gt;</w:instrText>
            </w:r>
            <w:r w:rsidRPr="00A54C00">
              <w:rPr>
                <w:color w:val="000000"/>
                <w:sz w:val="24"/>
                <w:vertAlign w:val="superscript"/>
              </w:rPr>
              <w:fldChar w:fldCharType="separate"/>
            </w:r>
            <w:r>
              <w:rPr>
                <w:noProof/>
                <w:color w:val="000000"/>
                <w:sz w:val="24"/>
                <w:vertAlign w:val="superscript"/>
              </w:rPr>
              <w:t>[6]</w:t>
            </w:r>
            <w:r w:rsidRPr="00A54C00">
              <w:rPr>
                <w:color w:val="000000"/>
                <w:sz w:val="24"/>
                <w:vertAlign w:val="superscript"/>
              </w:rPr>
              <w:fldChar w:fldCharType="end"/>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GAPDH-F</w:t>
            </w:r>
          </w:p>
        </w:tc>
        <w:tc>
          <w:tcPr>
            <w:tcW w:w="3023"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GAGCGTGGCTATTCCTTCGTG</w:t>
            </w:r>
          </w:p>
        </w:tc>
      </w:tr>
      <w:tr w:rsidR="00AF5D5D" w:rsidRPr="00D62E74" w:rsidTr="00DE6D51">
        <w:trPr>
          <w:trHeight w:hRule="exact" w:val="454"/>
        </w:trPr>
        <w:tc>
          <w:tcPr>
            <w:tcW w:w="1977" w:type="pct"/>
          </w:tcPr>
          <w:p w:rsidR="00AF5D5D" w:rsidRPr="00196350" w:rsidRDefault="00AF5D5D" w:rsidP="00DE6D51">
            <w:pPr>
              <w:widowControl/>
              <w:spacing w:line="480" w:lineRule="exact"/>
              <w:ind w:firstLineChars="200" w:firstLine="480"/>
              <w:rPr>
                <w:color w:val="000000"/>
                <w:sz w:val="24"/>
              </w:rPr>
            </w:pPr>
            <w:r w:rsidRPr="00196350">
              <w:rPr>
                <w:color w:val="000000"/>
                <w:sz w:val="24"/>
              </w:rPr>
              <w:t>Rat GAPDH-R</w:t>
            </w:r>
          </w:p>
        </w:tc>
        <w:tc>
          <w:tcPr>
            <w:tcW w:w="3023" w:type="pct"/>
          </w:tcPr>
          <w:p w:rsidR="00AF5D5D" w:rsidRPr="00196350" w:rsidRDefault="00AF5D5D" w:rsidP="00AF5D5D">
            <w:pPr>
              <w:widowControl/>
              <w:spacing w:line="480" w:lineRule="exact"/>
              <w:ind w:firstLineChars="200" w:firstLine="480"/>
              <w:rPr>
                <w:color w:val="000000"/>
                <w:sz w:val="24"/>
              </w:rPr>
            </w:pPr>
            <w:r w:rsidRPr="00196350">
              <w:rPr>
                <w:color w:val="000000"/>
                <w:sz w:val="24"/>
              </w:rPr>
              <w:t>CAGTGGCCATCTCATTTTCAAAGT</w:t>
            </w:r>
            <w:r>
              <w:rPr>
                <w:color w:val="000000"/>
                <w:sz w:val="24"/>
              </w:rPr>
              <w:t xml:space="preserve"> </w:t>
            </w:r>
            <w:r w:rsidRPr="00A54C00">
              <w:rPr>
                <w:color w:val="000000"/>
                <w:sz w:val="24"/>
                <w:vertAlign w:val="superscript"/>
              </w:rPr>
              <w:fldChar w:fldCharType="begin"/>
            </w:r>
            <w:r>
              <w:rPr>
                <w:color w:val="000000"/>
                <w:sz w:val="24"/>
                <w:vertAlign w:val="superscript"/>
              </w:rPr>
              <w:instrText xml:space="preserve"> ADDIN EN.CITE &lt;EndNote&gt;&lt;Cite&gt;&lt;Author&gt;Jin&lt;/Author&gt;&lt;Year&gt;2022&lt;/Year&gt;&lt;RecNum&gt;439&lt;/RecNum&gt;&lt;DisplayText&gt;[1]&lt;/DisplayText&gt;&lt;record&gt;&lt;rec-number&gt;439&lt;/rec-number&gt;&lt;foreign-keys&gt;&lt;key app="EN" db-id="w0rx9swdca9sfbetsrnprze9fsx9v9z2dwt9" timestamp="1665236177"&gt;439&lt;/key&gt;&lt;/foreign-keys&gt;&lt;ref-type name="Journal Article"&gt;17&lt;/ref-type&gt;&lt;contributors&gt;&lt;authors&gt;&lt;author&gt;Jin, X&lt;/author&gt;&lt;author&gt;Liu, Y&lt;/author&gt;&lt;author&gt;Yan, W&lt;/author&gt;&lt;author&gt;Shi, S&lt;/author&gt;&lt;author&gt;Liu, L&lt;/author&gt;&lt;author&gt;Lin, B&lt;/author&gt;&lt;author&gt;Guo, X&lt;/author&gt;&lt;author&gt;Cai, T&lt;/author&gt;&lt;author&gt;Wei, Y&lt;/author&gt;&lt;/authors&gt;&lt;/contributors&gt;&lt;titles&gt;&lt;title&gt;Gut microbiota from nCAL patients promotes colon anastomotic healing by inducing collagen synthesis in epithelial cells&lt;/title&gt;&lt;secondary-title&gt;Journal of gastroenterology and hepatology&lt;/secondary-title&gt;&lt;/titles&gt;&lt;periodical&gt;&lt;full-title&gt;Journal of gastroenterology and hepatology&lt;/full-title&gt;&lt;/periodical&gt;&lt;pages&gt;1756-1767&lt;/pages&gt;&lt;volume&gt;37&lt;/volume&gt;&lt;number&gt;9&lt;/number&gt;&lt;dates&gt;&lt;year&gt;2022&lt;/year&gt;&lt;/dates&gt;&lt;accession-num&gt;35849493&lt;/accession-num&gt;&lt;label&gt;3.437&lt;/label&gt;&lt;urls&gt;&lt;/urls&gt;&lt;electronic-resource-num&gt;10.1111/jgh.15946&lt;/electronic-resource-num&gt;&lt;/record&gt;&lt;/Cite&gt;&lt;/EndNote&gt;</w:instrText>
            </w:r>
            <w:r w:rsidRPr="00A54C00">
              <w:rPr>
                <w:color w:val="000000"/>
                <w:sz w:val="24"/>
                <w:vertAlign w:val="superscript"/>
              </w:rPr>
              <w:fldChar w:fldCharType="separate"/>
            </w:r>
            <w:r>
              <w:rPr>
                <w:noProof/>
                <w:color w:val="000000"/>
                <w:sz w:val="24"/>
                <w:vertAlign w:val="superscript"/>
              </w:rPr>
              <w:t>[1]</w:t>
            </w:r>
            <w:r w:rsidRPr="00A54C00">
              <w:rPr>
                <w:color w:val="000000"/>
                <w:sz w:val="24"/>
                <w:vertAlign w:val="superscript"/>
              </w:rPr>
              <w:fldChar w:fldCharType="end"/>
            </w:r>
          </w:p>
        </w:tc>
      </w:tr>
    </w:tbl>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iCs/>
          <w:sz w:val="24"/>
        </w:rPr>
      </w:pPr>
    </w:p>
    <w:p w:rsidR="00001B84" w:rsidRDefault="00001B84" w:rsidP="00AF5D5D">
      <w:pPr>
        <w:tabs>
          <w:tab w:val="left" w:pos="1457"/>
        </w:tabs>
        <w:rPr>
          <w:rFonts w:ascii="Times New Roman" w:hAnsi="Times New Roman" w:cs="Times New Roman"/>
          <w:iCs/>
          <w:sz w:val="24"/>
        </w:rPr>
      </w:pPr>
    </w:p>
    <w:p w:rsidR="00001B84" w:rsidRDefault="00001B84" w:rsidP="00AF5D5D">
      <w:pPr>
        <w:tabs>
          <w:tab w:val="left" w:pos="1457"/>
        </w:tabs>
        <w:rPr>
          <w:rFonts w:ascii="Times New Roman" w:hAnsi="Times New Roman" w:cs="Times New Roman"/>
          <w:iCs/>
          <w:sz w:val="24"/>
        </w:rPr>
      </w:pPr>
    </w:p>
    <w:p w:rsidR="00001B84" w:rsidRDefault="00001B84" w:rsidP="00AF5D5D">
      <w:pPr>
        <w:tabs>
          <w:tab w:val="left" w:pos="1457"/>
        </w:tabs>
        <w:rPr>
          <w:rFonts w:ascii="Times New Roman" w:hAnsi="Times New Roman" w:cs="Times New Roman"/>
          <w:iCs/>
          <w:sz w:val="24"/>
        </w:rPr>
      </w:pPr>
    </w:p>
    <w:p w:rsidR="00001B84" w:rsidRDefault="00001B84" w:rsidP="00AF5D5D">
      <w:pPr>
        <w:tabs>
          <w:tab w:val="left" w:pos="1457"/>
        </w:tabs>
        <w:rPr>
          <w:rFonts w:ascii="Times New Roman" w:hAnsi="Times New Roman" w:cs="Times New Roman"/>
          <w:iCs/>
          <w:sz w:val="24"/>
        </w:rPr>
      </w:pPr>
    </w:p>
    <w:p w:rsidR="00001B84" w:rsidRDefault="00001B84" w:rsidP="00AF5D5D">
      <w:pPr>
        <w:tabs>
          <w:tab w:val="left" w:pos="1457"/>
        </w:tabs>
        <w:rPr>
          <w:rFonts w:ascii="Times New Roman" w:hAnsi="Times New Roman" w:cs="Times New Roman"/>
          <w:iCs/>
          <w:sz w:val="24"/>
        </w:rPr>
      </w:pPr>
    </w:p>
    <w:p w:rsidR="00001B84" w:rsidRDefault="00001B84" w:rsidP="00AF5D5D">
      <w:pPr>
        <w:tabs>
          <w:tab w:val="left" w:pos="1457"/>
        </w:tabs>
        <w:rPr>
          <w:rFonts w:ascii="Times New Roman" w:hAnsi="Times New Roman" w:cs="Times New Roman"/>
          <w:iCs/>
          <w:sz w:val="24"/>
        </w:rPr>
      </w:pPr>
    </w:p>
    <w:p w:rsidR="00001B84" w:rsidRDefault="00001B84" w:rsidP="00AF5D5D">
      <w:pPr>
        <w:tabs>
          <w:tab w:val="left" w:pos="1457"/>
        </w:tabs>
        <w:rPr>
          <w:rFonts w:ascii="Times New Roman" w:hAnsi="Times New Roman" w:cs="Times New Roman" w:hint="eastAsia"/>
          <w:iCs/>
          <w:sz w:val="24"/>
        </w:rPr>
      </w:pPr>
      <w:bookmarkStart w:id="1" w:name="_GoBack"/>
      <w:bookmarkEnd w:id="1"/>
    </w:p>
    <w:p w:rsidR="00AF5D5D" w:rsidRDefault="00AF5D5D" w:rsidP="00AF5D5D">
      <w:pPr>
        <w:tabs>
          <w:tab w:val="left" w:pos="1457"/>
        </w:tabs>
        <w:rPr>
          <w:rFonts w:ascii="Times New Roman" w:hAnsi="Times New Roman" w:cs="Times New Roman"/>
          <w:iCs/>
          <w:sz w:val="24"/>
        </w:rPr>
      </w:pPr>
    </w:p>
    <w:p w:rsidR="00AF5D5D" w:rsidRDefault="00AF5D5D" w:rsidP="00AF5D5D">
      <w:pPr>
        <w:tabs>
          <w:tab w:val="left" w:pos="1457"/>
        </w:tabs>
        <w:rPr>
          <w:rFonts w:ascii="Times New Roman" w:hAnsi="Times New Roman" w:cs="Times New Roman"/>
          <w:sz w:val="24"/>
        </w:rPr>
      </w:pPr>
      <w:r w:rsidRPr="0036021D">
        <w:rPr>
          <w:rFonts w:ascii="Times New Roman" w:hAnsi="Times New Roman" w:cs="Times New Roman"/>
          <w:iCs/>
          <w:sz w:val="24"/>
        </w:rPr>
        <w:lastRenderedPageBreak/>
        <w:t xml:space="preserve">Table </w:t>
      </w:r>
      <w:r>
        <w:rPr>
          <w:rFonts w:ascii="Times New Roman" w:hAnsi="Times New Roman" w:cs="Times New Roman"/>
          <w:iCs/>
          <w:sz w:val="24"/>
        </w:rPr>
        <w:t>S2</w:t>
      </w:r>
      <w:r w:rsidRPr="002551B1">
        <w:rPr>
          <w:rFonts w:ascii="Times New Roman" w:hAnsi="Times New Roman" w:cs="Times New Roman"/>
          <w:iCs/>
          <w:sz w:val="24"/>
        </w:rPr>
        <w:t xml:space="preserve"> baseline characteristics</w:t>
      </w:r>
      <w:r>
        <w:rPr>
          <w:rFonts w:ascii="Times New Roman" w:hAnsi="Times New Roman" w:cs="Times New Roman"/>
          <w:iCs/>
          <w:sz w:val="24"/>
        </w:rPr>
        <w:t xml:space="preserve"> of all </w:t>
      </w:r>
      <w:r w:rsidRPr="002551B1">
        <w:rPr>
          <w:rFonts w:ascii="Times New Roman" w:hAnsi="Times New Roman" w:cs="Times New Roman"/>
          <w:iCs/>
          <w:sz w:val="24"/>
        </w:rPr>
        <w:t>patients</w:t>
      </w:r>
    </w:p>
    <w:tbl>
      <w:tblPr>
        <w:tblW w:w="3969" w:type="dxa"/>
        <w:tblLook w:val="04A0" w:firstRow="1" w:lastRow="0" w:firstColumn="1" w:lastColumn="0" w:noHBand="0" w:noVBand="1"/>
      </w:tblPr>
      <w:tblGrid>
        <w:gridCol w:w="2127"/>
        <w:gridCol w:w="1842"/>
      </w:tblGrid>
      <w:tr w:rsidR="00AF5D5D" w:rsidRPr="00BA036D" w:rsidTr="00DE6D51">
        <w:trPr>
          <w:trHeight w:val="290"/>
        </w:trPr>
        <w:tc>
          <w:tcPr>
            <w:tcW w:w="2127" w:type="dxa"/>
            <w:tcBorders>
              <w:top w:val="single" w:sz="4" w:space="0" w:color="auto"/>
              <w:bottom w:val="single" w:sz="4" w:space="0" w:color="auto"/>
            </w:tcBorders>
            <w:shd w:val="clear" w:color="auto" w:fill="auto"/>
            <w:noWrap/>
            <w:vAlign w:val="bottom"/>
            <w:hideMark/>
          </w:tcPr>
          <w:p w:rsidR="00AF5D5D" w:rsidRPr="00BA036D" w:rsidRDefault="00AF5D5D" w:rsidP="00DE6D51">
            <w:pPr>
              <w:widowControl/>
              <w:jc w:val="left"/>
              <w:rPr>
                <w:rFonts w:ascii="Times New Roman" w:eastAsia="等线" w:hAnsi="Times New Roman" w:cs="Times New Roman"/>
                <w:b/>
                <w:bCs/>
                <w:color w:val="000000"/>
                <w:kern w:val="0"/>
                <w:sz w:val="18"/>
                <w:szCs w:val="18"/>
              </w:rPr>
            </w:pPr>
            <w:r w:rsidRPr="00BA036D">
              <w:rPr>
                <w:rFonts w:ascii="Times New Roman" w:eastAsia="等线" w:hAnsi="Times New Roman" w:cs="Times New Roman"/>
                <w:b/>
                <w:bCs/>
                <w:color w:val="000000"/>
                <w:kern w:val="0"/>
                <w:sz w:val="18"/>
                <w:szCs w:val="18"/>
              </w:rPr>
              <w:t>Factor category</w:t>
            </w:r>
          </w:p>
        </w:tc>
        <w:tc>
          <w:tcPr>
            <w:tcW w:w="1842" w:type="dxa"/>
            <w:tcBorders>
              <w:top w:val="single" w:sz="4" w:space="0" w:color="auto"/>
              <w:bottom w:val="single" w:sz="4" w:space="0" w:color="auto"/>
            </w:tcBorders>
            <w:shd w:val="clear" w:color="auto" w:fill="auto"/>
            <w:noWrap/>
            <w:vAlign w:val="center"/>
            <w:hideMark/>
          </w:tcPr>
          <w:p w:rsidR="00AF5D5D" w:rsidRPr="00BA036D" w:rsidRDefault="00AF5D5D" w:rsidP="00DE6D51">
            <w:pPr>
              <w:widowControl/>
              <w:jc w:val="center"/>
              <w:rPr>
                <w:rFonts w:ascii="Times New Roman" w:eastAsia="等线" w:hAnsi="Times New Roman" w:cs="Times New Roman"/>
                <w:b/>
                <w:bCs/>
                <w:color w:val="000000"/>
                <w:kern w:val="0"/>
                <w:sz w:val="18"/>
                <w:szCs w:val="18"/>
              </w:rPr>
            </w:pPr>
            <w:r w:rsidRPr="00BA036D">
              <w:rPr>
                <w:rFonts w:ascii="Times New Roman" w:eastAsia="等线" w:hAnsi="Times New Roman" w:cs="Times New Roman"/>
                <w:b/>
                <w:bCs/>
                <w:color w:val="000000"/>
                <w:kern w:val="0"/>
                <w:sz w:val="18"/>
                <w:szCs w:val="18"/>
              </w:rPr>
              <w:t xml:space="preserve">N= 45 </w:t>
            </w:r>
          </w:p>
        </w:tc>
      </w:tr>
      <w:tr w:rsidR="00AF5D5D" w:rsidRPr="00BA036D" w:rsidTr="00DE6D51">
        <w:trPr>
          <w:trHeight w:val="280"/>
        </w:trPr>
        <w:tc>
          <w:tcPr>
            <w:tcW w:w="2127" w:type="dxa"/>
            <w:tcBorders>
              <w:top w:val="single" w:sz="4" w:space="0" w:color="auto"/>
            </w:tcBorders>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Sex</w:t>
            </w:r>
          </w:p>
        </w:tc>
        <w:tc>
          <w:tcPr>
            <w:tcW w:w="1842" w:type="dxa"/>
            <w:tcBorders>
              <w:top w:val="single" w:sz="4" w:space="0" w:color="auto"/>
            </w:tcBorders>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Male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21(46.7)</w:t>
            </w:r>
          </w:p>
        </w:tc>
      </w:tr>
      <w:tr w:rsidR="00AF5D5D" w:rsidRPr="00BA036D" w:rsidTr="00DE6D51">
        <w:trPr>
          <w:trHeight w:val="29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Female</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24(53.3)</w:t>
            </w:r>
          </w:p>
        </w:tc>
      </w:tr>
      <w:tr w:rsidR="00AF5D5D" w:rsidRPr="00BA036D" w:rsidTr="00DE6D51">
        <w:trPr>
          <w:trHeight w:val="290"/>
        </w:trPr>
        <w:tc>
          <w:tcPr>
            <w:tcW w:w="2127" w:type="dxa"/>
            <w:shd w:val="clear" w:color="auto" w:fill="auto"/>
            <w:noWrap/>
            <w:vAlign w:val="center"/>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Age</w:t>
            </w:r>
          </w:p>
        </w:tc>
        <w:tc>
          <w:tcPr>
            <w:tcW w:w="1842" w:type="dxa"/>
            <w:shd w:val="clear" w:color="000000" w:fill="FFFFFF"/>
            <w:noWrap/>
            <w:vAlign w:val="center"/>
          </w:tcPr>
          <w:p w:rsidR="00AF5D5D" w:rsidRPr="00BA036D" w:rsidRDefault="00AF5D5D" w:rsidP="00DE6D51">
            <w:pPr>
              <w:widowControl/>
              <w:jc w:val="center"/>
              <w:rPr>
                <w:rFonts w:ascii="Times New Roman" w:eastAsia="等线" w:hAnsi="Times New Roman" w:cs="Times New Roman"/>
                <w:color w:val="000000"/>
                <w:kern w:val="0"/>
                <w:sz w:val="18"/>
                <w:szCs w:val="18"/>
              </w:rPr>
            </w:pP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w:t>
            </w:r>
            <w:r w:rsidRPr="00BA036D">
              <w:rPr>
                <w:rFonts w:ascii="Times New Roman" w:eastAsia="等线" w:hAnsi="Times New Roman" w:cs="Times New Roman"/>
                <w:color w:val="000000"/>
                <w:kern w:val="0"/>
                <w:sz w:val="18"/>
                <w:szCs w:val="18"/>
              </w:rPr>
              <w:t xml:space="preserve">60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14(31.1)</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≥60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31(68.9)</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ASA score</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Ⅰ-Ⅱ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21(46.7)</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Ⅲ-Ⅳ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24(53.3)</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BMI</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33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w:t>
            </w:r>
            <w:r w:rsidRPr="00BA036D">
              <w:rPr>
                <w:rFonts w:ascii="Times New Roman" w:eastAsia="等线" w:hAnsi="Times New Roman" w:cs="Times New Roman"/>
                <w:color w:val="000000"/>
                <w:kern w:val="0"/>
                <w:sz w:val="18"/>
                <w:szCs w:val="18"/>
              </w:rPr>
              <w:t>28 kg/m</w:t>
            </w:r>
            <w:r w:rsidRPr="00BA036D">
              <w:rPr>
                <w:rFonts w:ascii="Times New Roman" w:eastAsia="等线" w:hAnsi="Times New Roman" w:cs="Times New Roman"/>
                <w:color w:val="000000"/>
                <w:kern w:val="0"/>
                <w:sz w:val="18"/>
                <w:szCs w:val="18"/>
                <w:vertAlign w:val="superscript"/>
              </w:rPr>
              <w:t>2</w:t>
            </w:r>
            <w:r w:rsidRPr="00BA036D">
              <w:rPr>
                <w:rFonts w:ascii="Times New Roman" w:eastAsia="等线" w:hAnsi="Times New Roman" w:cs="Times New Roman"/>
                <w:color w:val="000000"/>
                <w:kern w:val="0"/>
                <w:sz w:val="18"/>
                <w:szCs w:val="18"/>
              </w:rPr>
              <w:t xml:space="preserve">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39(86.7)</w:t>
            </w:r>
          </w:p>
        </w:tc>
      </w:tr>
      <w:tr w:rsidR="00AF5D5D" w:rsidRPr="00BA036D" w:rsidTr="00DE6D51">
        <w:trPr>
          <w:trHeight w:val="33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≥28 kg/m</w:t>
            </w:r>
            <w:r w:rsidRPr="00BA036D">
              <w:rPr>
                <w:rFonts w:ascii="Times New Roman" w:eastAsia="等线" w:hAnsi="Times New Roman" w:cs="Times New Roman"/>
                <w:color w:val="000000"/>
                <w:kern w:val="0"/>
                <w:sz w:val="18"/>
                <w:szCs w:val="18"/>
                <w:vertAlign w:val="superscript"/>
              </w:rPr>
              <w:t>2</w:t>
            </w:r>
            <w:r w:rsidRPr="00BA036D">
              <w:rPr>
                <w:rFonts w:ascii="Times New Roman" w:eastAsia="等线" w:hAnsi="Times New Roman" w:cs="Times New Roman"/>
                <w:color w:val="000000"/>
                <w:kern w:val="0"/>
                <w:sz w:val="18"/>
                <w:szCs w:val="18"/>
              </w:rPr>
              <w:t xml:space="preserve">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6(13.3)</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Smoker</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Nonsmoker</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35(77.8)</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Smoker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10(22.2)</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Diabetic</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Nondiabetic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40(88.9)</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Diabetic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5(11.1)</w:t>
            </w:r>
          </w:p>
        </w:tc>
      </w:tr>
      <w:tr w:rsidR="00AF5D5D" w:rsidRPr="00BA036D" w:rsidTr="00DE6D51">
        <w:trPr>
          <w:trHeight w:val="560"/>
        </w:trPr>
        <w:tc>
          <w:tcPr>
            <w:tcW w:w="2127" w:type="dxa"/>
            <w:shd w:val="clear" w:color="auto" w:fill="auto"/>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Tumor height from anal verge on rigid sigmoidoscopy</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≤7 cm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7(15.6)</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w:t>
            </w:r>
            <w:r w:rsidRPr="00BA036D">
              <w:rPr>
                <w:rFonts w:ascii="Times New Roman" w:eastAsia="等线" w:hAnsi="Times New Roman" w:cs="Times New Roman"/>
                <w:color w:val="000000"/>
                <w:kern w:val="0"/>
                <w:sz w:val="18"/>
                <w:szCs w:val="18"/>
              </w:rPr>
              <w:t xml:space="preserve">7 cm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38(84.4)</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Tumor size, (cm)</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≤5 cm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35(77.8)</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w:t>
            </w:r>
            <w:r w:rsidRPr="00BA036D">
              <w:rPr>
                <w:rFonts w:ascii="Times New Roman" w:eastAsia="等线" w:hAnsi="Times New Roman" w:cs="Times New Roman"/>
                <w:color w:val="000000"/>
                <w:kern w:val="0"/>
                <w:sz w:val="18"/>
                <w:szCs w:val="18"/>
              </w:rPr>
              <w:t xml:space="preserve">5 cm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10(22.2)</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Preoperative albumin</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w:t>
            </w:r>
            <w:r w:rsidRPr="00BA036D">
              <w:rPr>
                <w:rFonts w:ascii="Times New Roman" w:eastAsia="等线" w:hAnsi="Times New Roman" w:cs="Times New Roman"/>
                <w:color w:val="000000"/>
                <w:kern w:val="0"/>
                <w:sz w:val="18"/>
                <w:szCs w:val="18"/>
              </w:rPr>
              <w:t xml:space="preserve">34 g/dL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7(15.6)</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≥34 g/dL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38(84.4)</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Preoperative carcinoembryonic antigen</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≤3.4 ng/mL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19(42.2)</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w:t>
            </w:r>
            <w:r w:rsidRPr="00BA036D">
              <w:rPr>
                <w:rFonts w:ascii="Times New Roman" w:eastAsia="等线" w:hAnsi="Times New Roman" w:cs="Times New Roman"/>
                <w:color w:val="000000"/>
                <w:kern w:val="0"/>
                <w:sz w:val="18"/>
                <w:szCs w:val="18"/>
              </w:rPr>
              <w:t xml:space="preserve">3.4 ng/mL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26(57.8)</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Anemia</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Nonanemia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32(71.1)</w:t>
            </w:r>
          </w:p>
        </w:tc>
      </w:tr>
      <w:tr w:rsidR="00AF5D5D" w:rsidRPr="00BA036D" w:rsidTr="00DE6D51">
        <w:trPr>
          <w:trHeight w:val="29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anemia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13(28.9)</w:t>
            </w:r>
          </w:p>
        </w:tc>
      </w:tr>
      <w:tr w:rsidR="00AF5D5D" w:rsidRPr="00BA036D" w:rsidTr="00DE6D51">
        <w:trPr>
          <w:trHeight w:val="280"/>
        </w:trPr>
        <w:tc>
          <w:tcPr>
            <w:tcW w:w="2127" w:type="dxa"/>
            <w:shd w:val="clear" w:color="auto" w:fill="auto"/>
            <w:noWrap/>
            <w:vAlign w:val="center"/>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Fusobacterium nucleatum</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　</w:t>
            </w:r>
          </w:p>
        </w:tc>
      </w:tr>
      <w:tr w:rsidR="00AF5D5D" w:rsidRPr="00BA036D" w:rsidTr="00DE6D51">
        <w:trPr>
          <w:trHeight w:val="280"/>
        </w:trPr>
        <w:tc>
          <w:tcPr>
            <w:tcW w:w="2127" w:type="dxa"/>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Negative </w:t>
            </w:r>
          </w:p>
        </w:tc>
        <w:tc>
          <w:tcPr>
            <w:tcW w:w="1842" w:type="dxa"/>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17(37.8)</w:t>
            </w:r>
          </w:p>
        </w:tc>
      </w:tr>
      <w:tr w:rsidR="00AF5D5D" w:rsidRPr="00BA036D" w:rsidTr="00DE6D51">
        <w:trPr>
          <w:trHeight w:val="280"/>
        </w:trPr>
        <w:tc>
          <w:tcPr>
            <w:tcW w:w="2127" w:type="dxa"/>
            <w:tcBorders>
              <w:bottom w:val="single" w:sz="4" w:space="0" w:color="auto"/>
            </w:tcBorders>
            <w:shd w:val="clear" w:color="auto" w:fill="auto"/>
            <w:noWrap/>
            <w:vAlign w:val="bottom"/>
            <w:hideMark/>
          </w:tcPr>
          <w:p w:rsidR="00AF5D5D" w:rsidRPr="00BA036D" w:rsidRDefault="00AF5D5D" w:rsidP="00DE6D51">
            <w:pPr>
              <w:widowControl/>
              <w:jc w:val="left"/>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 xml:space="preserve">Positive </w:t>
            </w:r>
          </w:p>
        </w:tc>
        <w:tc>
          <w:tcPr>
            <w:tcW w:w="1842" w:type="dxa"/>
            <w:tcBorders>
              <w:bottom w:val="single" w:sz="4" w:space="0" w:color="auto"/>
            </w:tcBorders>
            <w:shd w:val="clear" w:color="000000" w:fill="FFFFFF"/>
            <w:noWrap/>
            <w:vAlign w:val="center"/>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28(62.2)</w:t>
            </w:r>
          </w:p>
        </w:tc>
      </w:tr>
      <w:tr w:rsidR="00AF5D5D" w:rsidRPr="00BA036D" w:rsidTr="00DE6D51">
        <w:trPr>
          <w:trHeight w:val="280"/>
        </w:trPr>
        <w:tc>
          <w:tcPr>
            <w:tcW w:w="3969" w:type="dxa"/>
            <w:gridSpan w:val="2"/>
            <w:tcBorders>
              <w:top w:val="single" w:sz="4" w:space="0" w:color="auto"/>
              <w:bottom w:val="single" w:sz="4" w:space="0" w:color="auto"/>
            </w:tcBorders>
            <w:shd w:val="clear" w:color="auto" w:fill="auto"/>
            <w:noWrap/>
            <w:vAlign w:val="bottom"/>
            <w:hideMark/>
          </w:tcPr>
          <w:p w:rsidR="00AF5D5D" w:rsidRPr="00BA036D" w:rsidRDefault="00AF5D5D" w:rsidP="00DE6D51">
            <w:pPr>
              <w:widowControl/>
              <w:jc w:val="center"/>
              <w:rPr>
                <w:rFonts w:ascii="Times New Roman" w:eastAsia="等线" w:hAnsi="Times New Roman" w:cs="Times New Roman"/>
                <w:color w:val="000000"/>
                <w:kern w:val="0"/>
                <w:sz w:val="18"/>
                <w:szCs w:val="18"/>
              </w:rPr>
            </w:pPr>
            <w:r w:rsidRPr="00BA036D">
              <w:rPr>
                <w:rFonts w:ascii="Times New Roman" w:eastAsia="等线" w:hAnsi="Times New Roman" w:cs="Times New Roman"/>
                <w:color w:val="000000"/>
                <w:kern w:val="0"/>
                <w:sz w:val="18"/>
                <w:szCs w:val="18"/>
              </w:rPr>
              <w:t>Data are expressed as number of patients (%)</w:t>
            </w:r>
          </w:p>
        </w:tc>
      </w:tr>
    </w:tbl>
    <w:p w:rsidR="00AF5D5D" w:rsidRPr="007A0D4F" w:rsidRDefault="00AF5D5D" w:rsidP="00AF5D5D">
      <w:pPr>
        <w:tabs>
          <w:tab w:val="left" w:pos="1457"/>
        </w:tabs>
        <w:rPr>
          <w:rFonts w:ascii="Times New Roman" w:hAnsi="Times New Roman" w:cs="Times New Roman"/>
          <w:sz w:val="24"/>
        </w:rPr>
      </w:pPr>
    </w:p>
    <w:p w:rsidR="00AF5D5D" w:rsidRDefault="00AF5D5D" w:rsidP="00AF5D5D">
      <w:pPr>
        <w:tabs>
          <w:tab w:val="left" w:pos="1457"/>
        </w:tabs>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44DE7A14" wp14:editId="25FE324D">
            <wp:extent cx="5274310" cy="3689985"/>
            <wp:effectExtent l="0" t="0" r="254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S.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689985"/>
                    </a:xfrm>
                    <a:prstGeom prst="rect">
                      <a:avLst/>
                    </a:prstGeom>
                  </pic:spPr>
                </pic:pic>
              </a:graphicData>
            </a:graphic>
          </wp:inline>
        </w:drawing>
      </w:r>
    </w:p>
    <w:p w:rsidR="00AF5D5D" w:rsidRPr="000F7AEA" w:rsidRDefault="00AF5D5D" w:rsidP="00AF5D5D">
      <w:pPr>
        <w:tabs>
          <w:tab w:val="left" w:pos="1457"/>
        </w:tabs>
        <w:rPr>
          <w:rFonts w:ascii="Times New Roman" w:eastAsia="宋体" w:hAnsi="Times New Roman" w:cs="Times New Roman"/>
          <w:i/>
          <w:sz w:val="24"/>
          <w:shd w:val="clear" w:color="auto" w:fill="FFFFFF"/>
        </w:rPr>
      </w:pPr>
      <w:r w:rsidRPr="00AA0D1F">
        <w:rPr>
          <w:rFonts w:ascii="Times New Roman" w:hAnsi="Times New Roman" w:cs="Times New Roman"/>
          <w:sz w:val="24"/>
        </w:rPr>
        <w:t>Figu</w:t>
      </w:r>
      <w:r w:rsidRPr="000F7AEA">
        <w:rPr>
          <w:rFonts w:ascii="Times New Roman" w:hAnsi="Times New Roman" w:cs="Times New Roman"/>
          <w:sz w:val="24"/>
        </w:rPr>
        <w:t xml:space="preserve">re S1. The blood agar plate inoculated with </w:t>
      </w:r>
      <w:r w:rsidRPr="000F7AEA">
        <w:rPr>
          <w:rFonts w:ascii="Times New Roman" w:eastAsia="宋体" w:hAnsi="Times New Roman" w:cs="Times New Roman"/>
          <w:sz w:val="24"/>
          <w:shd w:val="clear" w:color="auto" w:fill="FFFFFF"/>
        </w:rPr>
        <w:t xml:space="preserve">heat-killed </w:t>
      </w:r>
      <w:r w:rsidRPr="000F7AEA">
        <w:rPr>
          <w:rFonts w:ascii="Times New Roman" w:eastAsia="宋体" w:hAnsi="Times New Roman" w:cs="Times New Roman"/>
          <w:i/>
          <w:sz w:val="24"/>
          <w:shd w:val="clear" w:color="auto" w:fill="FFFFFF"/>
        </w:rPr>
        <w:t>Fn.</w:t>
      </w:r>
    </w:p>
    <w:p w:rsidR="00AF5D5D" w:rsidRPr="000F7AEA" w:rsidRDefault="00AF5D5D" w:rsidP="00AF5D5D">
      <w:pPr>
        <w:tabs>
          <w:tab w:val="left" w:pos="1457"/>
        </w:tabs>
        <w:jc w:val="left"/>
        <w:rPr>
          <w:rFonts w:ascii="Times New Roman" w:hAnsi="Times New Roman" w:cs="Times New Roman"/>
          <w:sz w:val="24"/>
        </w:rPr>
      </w:pPr>
      <w:r w:rsidRPr="000F7AEA">
        <w:rPr>
          <w:rFonts w:ascii="Times New Roman" w:hAnsi="Times New Roman" w:cs="Times New Roman"/>
          <w:sz w:val="24"/>
        </w:rPr>
        <w:t>Figure S2. The ANOSIM analyses based on BrayCurtis distance.</w:t>
      </w:r>
    </w:p>
    <w:p w:rsidR="00AF5D5D" w:rsidRPr="000F7AEA" w:rsidRDefault="00AF5D5D" w:rsidP="00AF5D5D">
      <w:pPr>
        <w:tabs>
          <w:tab w:val="left" w:pos="1457"/>
        </w:tabs>
        <w:jc w:val="left"/>
        <w:rPr>
          <w:rFonts w:ascii="Times New Roman" w:hAnsi="Times New Roman" w:cs="Times New Roman"/>
          <w:sz w:val="24"/>
        </w:rPr>
      </w:pPr>
      <w:r w:rsidRPr="000F7AEA">
        <w:rPr>
          <w:rFonts w:ascii="Times New Roman" w:hAnsi="Times New Roman" w:cs="Times New Roman"/>
          <w:sz w:val="24"/>
        </w:rPr>
        <w:t>Figure S3. The betadisper analyses based on BrayCurtis distance.</w:t>
      </w:r>
    </w:p>
    <w:p w:rsidR="00AF5D5D" w:rsidRPr="00AA0D1F" w:rsidRDefault="00AF5D5D" w:rsidP="00AF5D5D">
      <w:pPr>
        <w:tabs>
          <w:tab w:val="left" w:pos="1457"/>
        </w:tabs>
        <w:rPr>
          <w:rFonts w:ascii="Times New Roman" w:hAnsi="Times New Roman" w:cs="Times New Roman"/>
          <w:sz w:val="24"/>
        </w:rPr>
      </w:pPr>
      <w:r w:rsidRPr="000F7AEA">
        <w:rPr>
          <w:rFonts w:ascii="Times New Roman" w:hAnsi="Times New Roman" w:cs="Times New Roman"/>
          <w:sz w:val="24"/>
        </w:rPr>
        <w:t>Figure S4. T</w:t>
      </w:r>
      <w:r w:rsidRPr="000F7AEA">
        <w:rPr>
          <w:rFonts w:ascii="Times New Roman" w:hAnsi="Times New Roman" w:cs="Times New Roman" w:hint="eastAsia"/>
          <w:sz w:val="24"/>
        </w:rPr>
        <w:t>he</w:t>
      </w:r>
      <w:r w:rsidRPr="000F7AEA">
        <w:rPr>
          <w:rFonts w:ascii="Times New Roman" w:hAnsi="Times New Roman" w:cs="Times New Roman"/>
          <w:sz w:val="24"/>
        </w:rPr>
        <w:t xml:space="preserve"> protein</w:t>
      </w:r>
      <w:r w:rsidRPr="000F7AEA">
        <w:rPr>
          <w:rFonts w:ascii="Times New Roman" w:hAnsi="Times New Roman" w:cs="Times New Roman" w:hint="eastAsia"/>
          <w:sz w:val="24"/>
        </w:rPr>
        <w:t xml:space="preserve"> </w:t>
      </w:r>
      <w:r w:rsidRPr="000F7AEA">
        <w:rPr>
          <w:rFonts w:ascii="Times New Roman" w:hAnsi="Times New Roman" w:cs="Times New Roman"/>
          <w:sz w:val="24"/>
        </w:rPr>
        <w:t xml:space="preserve">expression level of MMP1 and MMP2 in </w:t>
      </w:r>
      <w:r w:rsidRPr="006D55A0">
        <w:rPr>
          <w:rFonts w:ascii="Times New Roman" w:hAnsi="Times New Roman" w:cs="Times New Roman"/>
          <w:sz w:val="24"/>
        </w:rPr>
        <w:t>anastomotic tissues</w:t>
      </w:r>
      <w:r>
        <w:rPr>
          <w:rFonts w:ascii="Times New Roman" w:hAnsi="Times New Roman" w:cs="Times New Roman"/>
          <w:sz w:val="24"/>
        </w:rPr>
        <w:t>.</w:t>
      </w:r>
    </w:p>
    <w:p w:rsidR="00AF5D5D" w:rsidRDefault="00AF5D5D" w:rsidP="00AF5D5D">
      <w:pPr>
        <w:tabs>
          <w:tab w:val="left" w:pos="1457"/>
        </w:tabs>
        <w:rPr>
          <w:rFonts w:ascii="Times New Roman" w:hAnsi="Times New Roman" w:cs="Times New Roman"/>
          <w:sz w:val="24"/>
        </w:rPr>
      </w:pPr>
      <w:r w:rsidRPr="00AA0D1F">
        <w:rPr>
          <w:rFonts w:ascii="Times New Roman" w:hAnsi="Times New Roman" w:cs="Times New Roman"/>
          <w:sz w:val="24"/>
        </w:rPr>
        <w:t>Figure S</w:t>
      </w:r>
      <w:r>
        <w:rPr>
          <w:rFonts w:ascii="Times New Roman" w:hAnsi="Times New Roman" w:cs="Times New Roman"/>
          <w:sz w:val="24"/>
        </w:rPr>
        <w:t>5. T</w:t>
      </w:r>
      <w:r w:rsidRPr="00AB3503">
        <w:rPr>
          <w:rFonts w:ascii="Times New Roman" w:hAnsi="Times New Roman" w:cs="Times New Roman"/>
          <w:sz w:val="24"/>
        </w:rPr>
        <w:t xml:space="preserve">he </w:t>
      </w:r>
      <w:r w:rsidRPr="000E47FD">
        <w:rPr>
          <w:rFonts w:ascii="Times New Roman" w:hAnsi="Times New Roman" w:cs="Times New Roman"/>
          <w:sz w:val="24"/>
        </w:rPr>
        <w:t>amount</w:t>
      </w:r>
      <w:r w:rsidRPr="00AB3503">
        <w:rPr>
          <w:rFonts w:ascii="Times New Roman" w:hAnsi="Times New Roman" w:cs="Times New Roman"/>
          <w:sz w:val="24"/>
        </w:rPr>
        <w:t xml:space="preserve"> </w:t>
      </w:r>
      <w:r>
        <w:rPr>
          <w:rFonts w:ascii="Times New Roman" w:hAnsi="Times New Roman" w:cs="Times New Roman"/>
          <w:sz w:val="24"/>
        </w:rPr>
        <w:t xml:space="preserve">of </w:t>
      </w:r>
      <w:r w:rsidRPr="00AB3503">
        <w:rPr>
          <w:rFonts w:ascii="Times New Roman" w:hAnsi="Times New Roman" w:cs="Times New Roman"/>
          <w:sz w:val="24"/>
        </w:rPr>
        <w:t xml:space="preserve">attached </w:t>
      </w:r>
      <w:r>
        <w:rPr>
          <w:rFonts w:ascii="Times New Roman" w:hAnsi="Times New Roman" w:cs="Times New Roman"/>
          <w:i/>
          <w:sz w:val="24"/>
        </w:rPr>
        <w:t>F</w:t>
      </w:r>
      <w:r w:rsidRPr="00BC3C6C">
        <w:rPr>
          <w:rFonts w:ascii="Times New Roman" w:hAnsi="Times New Roman" w:cs="Times New Roman"/>
          <w:i/>
          <w:sz w:val="24"/>
        </w:rPr>
        <w:t>n</w:t>
      </w:r>
      <w:r>
        <w:rPr>
          <w:rFonts w:ascii="Times New Roman" w:hAnsi="Times New Roman" w:cs="Times New Roman"/>
          <w:i/>
          <w:sz w:val="24"/>
        </w:rPr>
        <w:t xml:space="preserve"> </w:t>
      </w:r>
      <w:r w:rsidRPr="00BC3C6C">
        <w:rPr>
          <w:rFonts w:ascii="Times New Roman" w:hAnsi="Times New Roman" w:cs="Times New Roman"/>
          <w:sz w:val="24"/>
        </w:rPr>
        <w:t>and</w:t>
      </w:r>
      <w:r>
        <w:rPr>
          <w:rFonts w:ascii="Times New Roman" w:hAnsi="Times New Roman" w:cs="Times New Roman"/>
          <w:sz w:val="24"/>
        </w:rPr>
        <w:t xml:space="preserve"> </w:t>
      </w:r>
      <w:r w:rsidRPr="00BC3C6C">
        <w:rPr>
          <w:rFonts w:ascii="Times New Roman" w:hAnsi="Times New Roman" w:cs="Times New Roman"/>
          <w:i/>
          <w:sz w:val="24"/>
        </w:rPr>
        <w:t>E.coli</w:t>
      </w:r>
      <w:r w:rsidRPr="00BC3C6C">
        <w:rPr>
          <w:rFonts w:ascii="Times New Roman" w:hAnsi="Times New Roman" w:cs="Times New Roman"/>
          <w:sz w:val="24"/>
        </w:rPr>
        <w:t>.</w:t>
      </w:r>
    </w:p>
    <w:p w:rsidR="00AF5D5D" w:rsidRPr="00BC3C6C" w:rsidRDefault="00AF5D5D" w:rsidP="00AF5D5D">
      <w:pPr>
        <w:tabs>
          <w:tab w:val="left" w:pos="1457"/>
        </w:tabs>
        <w:rPr>
          <w:rFonts w:ascii="Times New Roman" w:hAnsi="Times New Roman" w:cs="Times New Roman"/>
          <w:sz w:val="24"/>
        </w:rPr>
      </w:pPr>
      <w:r w:rsidRPr="00AA0D1F">
        <w:rPr>
          <w:rFonts w:ascii="Times New Roman" w:hAnsi="Times New Roman" w:cs="Times New Roman"/>
          <w:sz w:val="24"/>
        </w:rPr>
        <w:t>Figure S</w:t>
      </w:r>
      <w:r>
        <w:rPr>
          <w:rFonts w:ascii="Times New Roman" w:hAnsi="Times New Roman" w:cs="Times New Roman"/>
          <w:sz w:val="24"/>
        </w:rPr>
        <w:t>6. T</w:t>
      </w:r>
      <w:r w:rsidRPr="00AB3503">
        <w:rPr>
          <w:rFonts w:ascii="Times New Roman" w:hAnsi="Times New Roman" w:cs="Times New Roman"/>
          <w:sz w:val="24"/>
        </w:rPr>
        <w:t xml:space="preserve">he </w:t>
      </w:r>
      <w:r w:rsidRPr="000E47FD">
        <w:rPr>
          <w:rFonts w:ascii="Times New Roman" w:hAnsi="Times New Roman" w:cs="Times New Roman"/>
          <w:sz w:val="24"/>
        </w:rPr>
        <w:t>amount</w:t>
      </w:r>
      <w:r w:rsidRPr="00AB3503">
        <w:rPr>
          <w:rFonts w:ascii="Times New Roman" w:hAnsi="Times New Roman" w:cs="Times New Roman"/>
          <w:sz w:val="24"/>
        </w:rPr>
        <w:t xml:space="preserve"> </w:t>
      </w:r>
      <w:r>
        <w:rPr>
          <w:rFonts w:ascii="Times New Roman" w:hAnsi="Times New Roman" w:cs="Times New Roman"/>
          <w:sz w:val="24"/>
        </w:rPr>
        <w:t xml:space="preserve">of </w:t>
      </w:r>
      <w:r w:rsidRPr="00AB3503">
        <w:rPr>
          <w:rFonts w:ascii="Times New Roman" w:hAnsi="Times New Roman" w:cs="Times New Roman"/>
          <w:sz w:val="24"/>
        </w:rPr>
        <w:t xml:space="preserve">attached </w:t>
      </w:r>
      <w:r>
        <w:rPr>
          <w:rFonts w:ascii="Times New Roman" w:hAnsi="Times New Roman" w:cs="Times New Roman"/>
          <w:i/>
          <w:sz w:val="24"/>
        </w:rPr>
        <w:t>F</w:t>
      </w:r>
      <w:r w:rsidRPr="00BC3C6C">
        <w:rPr>
          <w:rFonts w:ascii="Times New Roman" w:hAnsi="Times New Roman" w:cs="Times New Roman"/>
          <w:i/>
          <w:sz w:val="24"/>
        </w:rPr>
        <w:t>n</w:t>
      </w:r>
      <w:r>
        <w:rPr>
          <w:rFonts w:ascii="Times New Roman" w:hAnsi="Times New Roman" w:cs="Times New Roman"/>
          <w:i/>
          <w:sz w:val="24"/>
        </w:rPr>
        <w:t xml:space="preserve"> </w:t>
      </w:r>
      <w:r w:rsidRPr="00BC3C6C">
        <w:rPr>
          <w:rFonts w:ascii="Times New Roman" w:hAnsi="Times New Roman" w:cs="Times New Roman"/>
          <w:sz w:val="24"/>
        </w:rPr>
        <w:t>after</w:t>
      </w:r>
      <w:r>
        <w:rPr>
          <w:rFonts w:ascii="Times New Roman" w:hAnsi="Times New Roman" w:cs="Times New Roman"/>
          <w:sz w:val="24"/>
        </w:rPr>
        <w:t xml:space="preserve"> g</w:t>
      </w:r>
      <w:r w:rsidRPr="00414311">
        <w:rPr>
          <w:rFonts w:ascii="Times New Roman" w:hAnsi="Times New Roman" w:cs="Times New Roman"/>
          <w:sz w:val="24"/>
        </w:rPr>
        <w:t>enistein</w:t>
      </w:r>
      <w:r>
        <w:rPr>
          <w:rFonts w:ascii="Times New Roman" w:hAnsi="Times New Roman" w:cs="Times New Roman"/>
          <w:sz w:val="24"/>
        </w:rPr>
        <w:t xml:space="preserve"> treatment. </w:t>
      </w:r>
    </w:p>
    <w:p w:rsidR="00AF5D5D" w:rsidRDefault="00AF5D5D"/>
    <w:p w:rsidR="00AF5D5D" w:rsidRDefault="00AF5D5D"/>
    <w:p w:rsidR="00AF5D5D" w:rsidRPr="00AF5D5D" w:rsidRDefault="00AF5D5D" w:rsidP="00AF5D5D">
      <w:pPr>
        <w:pStyle w:val="EndNoteBibliography"/>
        <w:ind w:left="720" w:hanging="720"/>
      </w:pPr>
      <w:r>
        <w:fldChar w:fldCharType="begin"/>
      </w:r>
      <w:r>
        <w:instrText xml:space="preserve"> ADDIN EN.REFLIST </w:instrText>
      </w:r>
      <w:r>
        <w:fldChar w:fldCharType="separate"/>
      </w:r>
      <w:r w:rsidRPr="00AF5D5D">
        <w:t>1.</w:t>
      </w:r>
      <w:r w:rsidRPr="00AF5D5D">
        <w:tab/>
        <w:t xml:space="preserve">Jin X, Liu Y, Yan W, Shi S, Liu L, Lin B, Guo X, Cai T, Wei Y: </w:t>
      </w:r>
      <w:r w:rsidRPr="00AF5D5D">
        <w:rPr>
          <w:b/>
        </w:rPr>
        <w:t>Gut microbiota from nCAL patients promotes colon anastomotic healing by inducing collagen synthesis in epithelial cells</w:t>
      </w:r>
      <w:r w:rsidRPr="00AF5D5D">
        <w:t xml:space="preserve">. </w:t>
      </w:r>
      <w:r w:rsidRPr="00AF5D5D">
        <w:rPr>
          <w:i/>
        </w:rPr>
        <w:t xml:space="preserve">Journal of gastroenterology and hepatology </w:t>
      </w:r>
      <w:r w:rsidRPr="00AF5D5D">
        <w:t xml:space="preserve">2022, </w:t>
      </w:r>
      <w:r w:rsidRPr="00AF5D5D">
        <w:rPr>
          <w:b/>
        </w:rPr>
        <w:t>37</w:t>
      </w:r>
      <w:r w:rsidRPr="00AF5D5D">
        <w:t>(9):1756-1767.</w:t>
      </w:r>
    </w:p>
    <w:p w:rsidR="00AF5D5D" w:rsidRPr="00AF5D5D" w:rsidRDefault="00AF5D5D" w:rsidP="00AF5D5D">
      <w:pPr>
        <w:pStyle w:val="EndNoteBibliography"/>
        <w:ind w:left="720" w:hanging="720"/>
      </w:pPr>
      <w:r w:rsidRPr="00AF5D5D">
        <w:t>2.</w:t>
      </w:r>
      <w:r w:rsidRPr="00AF5D5D">
        <w:tab/>
        <w:t>Arthur J, Perez-Chanona E, Mühlbauer M, Tomkovich S, Uronis J, Fan T, Campbell B, Abujamel T, Dogan B, Rogers A</w:t>
      </w:r>
      <w:r w:rsidRPr="00AF5D5D">
        <w:rPr>
          <w:i/>
        </w:rPr>
        <w:t xml:space="preserve"> et al</w:t>
      </w:r>
      <w:r w:rsidRPr="00AF5D5D">
        <w:t xml:space="preserve">: </w:t>
      </w:r>
      <w:r w:rsidRPr="00AF5D5D">
        <w:rPr>
          <w:b/>
        </w:rPr>
        <w:t>Intestinal inflammation targets cancer-inducing activity of the microbiota</w:t>
      </w:r>
      <w:r w:rsidRPr="00AF5D5D">
        <w:t xml:space="preserve">. </w:t>
      </w:r>
      <w:r w:rsidRPr="00AF5D5D">
        <w:rPr>
          <w:i/>
        </w:rPr>
        <w:t xml:space="preserve">Science (New York, NY) </w:t>
      </w:r>
      <w:r w:rsidRPr="00AF5D5D">
        <w:t xml:space="preserve">2012, </w:t>
      </w:r>
      <w:r w:rsidRPr="00AF5D5D">
        <w:rPr>
          <w:b/>
        </w:rPr>
        <w:t>338</w:t>
      </w:r>
      <w:r w:rsidRPr="00AF5D5D">
        <w:t>(6103):120-123.</w:t>
      </w:r>
    </w:p>
    <w:p w:rsidR="00AF5D5D" w:rsidRPr="00AF5D5D" w:rsidRDefault="00AF5D5D" w:rsidP="00AF5D5D">
      <w:pPr>
        <w:pStyle w:val="EndNoteBibliography"/>
        <w:ind w:left="720" w:hanging="720"/>
      </w:pPr>
      <w:r w:rsidRPr="00AF5D5D">
        <w:t>3.</w:t>
      </w:r>
      <w:r w:rsidRPr="00AF5D5D">
        <w:tab/>
        <w:t xml:space="preserve">Chen S, Su T, Zhang Y, Lee A, He J, Ge Q, Wang L, Si J, Zhuo W, Wang L: </w:t>
      </w:r>
      <w:r w:rsidRPr="00AF5D5D">
        <w:rPr>
          <w:b/>
        </w:rPr>
        <w:t>Fusobacterium nucleatum promotes colorectal cancer metastasis by modulating /KRT7</w:t>
      </w:r>
      <w:r w:rsidRPr="00AF5D5D">
        <w:t xml:space="preserve">. </w:t>
      </w:r>
      <w:r w:rsidRPr="00AF5D5D">
        <w:rPr>
          <w:i/>
        </w:rPr>
        <w:t xml:space="preserve">Gut microbes </w:t>
      </w:r>
      <w:r w:rsidRPr="00AF5D5D">
        <w:t xml:space="preserve">2020, </w:t>
      </w:r>
      <w:r w:rsidRPr="00AF5D5D">
        <w:rPr>
          <w:b/>
        </w:rPr>
        <w:t>11</w:t>
      </w:r>
      <w:r w:rsidRPr="00AF5D5D">
        <w:t>(3):511-525.</w:t>
      </w:r>
    </w:p>
    <w:p w:rsidR="00AF5D5D" w:rsidRPr="00AF5D5D" w:rsidRDefault="00AF5D5D" w:rsidP="00AF5D5D">
      <w:pPr>
        <w:pStyle w:val="EndNoteBibliography"/>
        <w:ind w:left="720" w:hanging="720"/>
      </w:pPr>
      <w:r w:rsidRPr="00AF5D5D">
        <w:t>4.</w:t>
      </w:r>
      <w:r w:rsidRPr="00AF5D5D">
        <w:tab/>
        <w:t>Castellarin M, Warren R, Freeman J, Dreolini L, Krzywinski M, Strauss J, Barnes R, Watson P, Allen-Vercoe E, Moore R</w:t>
      </w:r>
      <w:r w:rsidRPr="00AF5D5D">
        <w:rPr>
          <w:i/>
        </w:rPr>
        <w:t xml:space="preserve"> et al</w:t>
      </w:r>
      <w:r w:rsidRPr="00AF5D5D">
        <w:t xml:space="preserve">: </w:t>
      </w:r>
      <w:r w:rsidRPr="00AF5D5D">
        <w:rPr>
          <w:b/>
        </w:rPr>
        <w:t>Fusobacterium nucleatum infection is prevalent in human colorectal carcinoma</w:t>
      </w:r>
      <w:r w:rsidRPr="00AF5D5D">
        <w:t xml:space="preserve">. </w:t>
      </w:r>
      <w:r w:rsidRPr="00AF5D5D">
        <w:rPr>
          <w:i/>
        </w:rPr>
        <w:t xml:space="preserve">Genome research </w:t>
      </w:r>
      <w:r w:rsidRPr="00AF5D5D">
        <w:t xml:space="preserve">2012, </w:t>
      </w:r>
      <w:r w:rsidRPr="00AF5D5D">
        <w:rPr>
          <w:b/>
        </w:rPr>
        <w:t>22</w:t>
      </w:r>
      <w:r w:rsidRPr="00AF5D5D">
        <w:t>(2):299-306.</w:t>
      </w:r>
    </w:p>
    <w:p w:rsidR="00AF5D5D" w:rsidRPr="00AF5D5D" w:rsidRDefault="00AF5D5D" w:rsidP="00AF5D5D">
      <w:pPr>
        <w:pStyle w:val="EndNoteBibliography"/>
        <w:ind w:left="720" w:hanging="720"/>
      </w:pPr>
      <w:r w:rsidRPr="00AF5D5D">
        <w:t>5.</w:t>
      </w:r>
      <w:r w:rsidRPr="00AF5D5D">
        <w:tab/>
        <w:t xml:space="preserve">Wang T, Sun X, Cui H, Liu K, Zhao J: </w:t>
      </w:r>
      <w:r w:rsidRPr="00AF5D5D">
        <w:rPr>
          <w:b/>
        </w:rPr>
        <w:t>The peptide compound urantide regulates collagen metabolism in atherosclerotic rat hearts and inhibits the JAK2/STAT3 pathway</w:t>
      </w:r>
      <w:r w:rsidRPr="00AF5D5D">
        <w:t xml:space="preserve">. </w:t>
      </w:r>
      <w:r w:rsidRPr="00AF5D5D">
        <w:rPr>
          <w:i/>
        </w:rPr>
        <w:t xml:space="preserve">Molecular medicine reports </w:t>
      </w:r>
      <w:r w:rsidRPr="00AF5D5D">
        <w:t xml:space="preserve">2020, </w:t>
      </w:r>
      <w:r w:rsidRPr="00AF5D5D">
        <w:rPr>
          <w:b/>
        </w:rPr>
        <w:t>21</w:t>
      </w:r>
      <w:r w:rsidRPr="00AF5D5D">
        <w:t>(3):1097-1106.</w:t>
      </w:r>
    </w:p>
    <w:p w:rsidR="00AF5D5D" w:rsidRPr="00AF5D5D" w:rsidRDefault="00AF5D5D" w:rsidP="00AF5D5D">
      <w:pPr>
        <w:pStyle w:val="EndNoteBibliography"/>
        <w:ind w:left="720" w:hanging="720"/>
      </w:pPr>
      <w:r w:rsidRPr="00AF5D5D">
        <w:t>6.</w:t>
      </w:r>
      <w:r w:rsidRPr="00AF5D5D">
        <w:tab/>
        <w:t>Wo</w:t>
      </w:r>
      <w:r w:rsidRPr="00AF5D5D">
        <w:rPr>
          <w:rFonts w:ascii="Cambria" w:hAnsi="Cambria" w:cs="Cambria"/>
        </w:rPr>
        <w:t>ł</w:t>
      </w:r>
      <w:r w:rsidRPr="00AF5D5D">
        <w:t xml:space="preserve">osowicz M, </w:t>
      </w:r>
      <w:r w:rsidRPr="00AF5D5D">
        <w:rPr>
          <w:rFonts w:ascii="Cambria" w:hAnsi="Cambria" w:cs="Cambria"/>
        </w:rPr>
        <w:t>Ł</w:t>
      </w:r>
      <w:r w:rsidRPr="00AF5D5D">
        <w:t xml:space="preserve">ukaszuk B, Kasacka I, Chabowski A: </w:t>
      </w:r>
      <w:r w:rsidRPr="00AF5D5D">
        <w:rPr>
          <w:b/>
        </w:rPr>
        <w:t xml:space="preserve">Diverse Impact of N-Acetylcysteine or Alpha-Lipoic Acid Supplementation during High-Fat Diet Regime on Matrix </w:t>
      </w:r>
      <w:r w:rsidRPr="00AF5D5D">
        <w:rPr>
          <w:b/>
        </w:rPr>
        <w:lastRenderedPageBreak/>
        <w:t>Metalloproteinase-2 and Matrix Metalloproteinase-9 in Visceral and Subcutaneous Adipose Tissue</w:t>
      </w:r>
      <w:r w:rsidRPr="00AF5D5D">
        <w:t xml:space="preserve">. </w:t>
      </w:r>
      <w:r w:rsidRPr="00AF5D5D">
        <w:rPr>
          <w:i/>
        </w:rPr>
        <w:t xml:space="preserve">Cellular physiology and biochemistry : international journal of experimental cellular physiology, biochemistry, and pharmacology </w:t>
      </w:r>
      <w:r w:rsidRPr="00AF5D5D">
        <w:t xml:space="preserve">2022, </w:t>
      </w:r>
      <w:r w:rsidRPr="00AF5D5D">
        <w:rPr>
          <w:b/>
        </w:rPr>
        <w:t>56</w:t>
      </w:r>
      <w:r w:rsidRPr="00AF5D5D">
        <w:t>(2):166-179.</w:t>
      </w:r>
    </w:p>
    <w:p w:rsidR="001B58DF" w:rsidRPr="00AF5D5D" w:rsidRDefault="00AF5D5D">
      <w:r>
        <w:fldChar w:fldCharType="end"/>
      </w:r>
    </w:p>
    <w:sectPr w:rsidR="001B58DF" w:rsidRPr="00AF5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C7" w:rsidRDefault="003842C7" w:rsidP="00AF5D5D">
      <w:r>
        <w:separator/>
      </w:r>
    </w:p>
  </w:endnote>
  <w:endnote w:type="continuationSeparator" w:id="0">
    <w:p w:rsidR="003842C7" w:rsidRDefault="003842C7" w:rsidP="00AF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C7" w:rsidRDefault="003842C7" w:rsidP="00AF5D5D">
      <w:r>
        <w:separator/>
      </w:r>
    </w:p>
  </w:footnote>
  <w:footnote w:type="continuationSeparator" w:id="0">
    <w:p w:rsidR="003842C7" w:rsidRDefault="003842C7" w:rsidP="00AF5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BMC Medical Res Metho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rx9swdca9sfbetsrnprze9fsx9v9z2dwt9&quot;&gt;My EndNote Library&lt;record-ids&gt;&lt;item&gt;422&lt;/item&gt;&lt;item&gt;423&lt;/item&gt;&lt;item&gt;424&lt;/item&gt;&lt;item&gt;437&lt;/item&gt;&lt;item&gt;438&lt;/item&gt;&lt;item&gt;439&lt;/item&gt;&lt;/record-ids&gt;&lt;/item&gt;&lt;/Libraries&gt;"/>
  </w:docVars>
  <w:rsids>
    <w:rsidRoot w:val="00DC5AC3"/>
    <w:rsid w:val="00001B84"/>
    <w:rsid w:val="00062C20"/>
    <w:rsid w:val="001B58DF"/>
    <w:rsid w:val="003842C7"/>
    <w:rsid w:val="00AF5D5D"/>
    <w:rsid w:val="00DC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A81F7"/>
  <w15:chartTrackingRefBased/>
  <w15:docId w15:val="{9583B90B-B3A7-47C4-A876-1462A60E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D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5D5D"/>
    <w:rPr>
      <w:sz w:val="18"/>
      <w:szCs w:val="18"/>
    </w:rPr>
  </w:style>
  <w:style w:type="paragraph" w:styleId="a5">
    <w:name w:val="footer"/>
    <w:basedOn w:val="a"/>
    <w:link w:val="a6"/>
    <w:uiPriority w:val="99"/>
    <w:unhideWhenUsed/>
    <w:rsid w:val="00AF5D5D"/>
    <w:pPr>
      <w:tabs>
        <w:tab w:val="center" w:pos="4153"/>
        <w:tab w:val="right" w:pos="8306"/>
      </w:tabs>
      <w:snapToGrid w:val="0"/>
      <w:jc w:val="left"/>
    </w:pPr>
    <w:rPr>
      <w:sz w:val="18"/>
      <w:szCs w:val="18"/>
    </w:rPr>
  </w:style>
  <w:style w:type="character" w:customStyle="1" w:styleId="a6">
    <w:name w:val="页脚 字符"/>
    <w:basedOn w:val="a0"/>
    <w:link w:val="a5"/>
    <w:uiPriority w:val="99"/>
    <w:rsid w:val="00AF5D5D"/>
    <w:rPr>
      <w:sz w:val="18"/>
      <w:szCs w:val="18"/>
    </w:rPr>
  </w:style>
  <w:style w:type="paragraph" w:styleId="a7">
    <w:name w:val="annotation text"/>
    <w:basedOn w:val="a"/>
    <w:link w:val="a8"/>
    <w:uiPriority w:val="99"/>
    <w:unhideWhenUsed/>
    <w:rsid w:val="00AF5D5D"/>
    <w:pPr>
      <w:jc w:val="left"/>
    </w:pPr>
  </w:style>
  <w:style w:type="character" w:customStyle="1" w:styleId="a8">
    <w:name w:val="批注文字 字符"/>
    <w:basedOn w:val="a0"/>
    <w:link w:val="a7"/>
    <w:uiPriority w:val="99"/>
    <w:rsid w:val="00AF5D5D"/>
    <w:rPr>
      <w:szCs w:val="24"/>
    </w:rPr>
  </w:style>
  <w:style w:type="table" w:styleId="a9">
    <w:name w:val="Table Grid"/>
    <w:basedOn w:val="a1"/>
    <w:uiPriority w:val="59"/>
    <w:qFormat/>
    <w:rsid w:val="00AF5D5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AF5D5D"/>
    <w:pPr>
      <w:jc w:val="center"/>
    </w:pPr>
    <w:rPr>
      <w:rFonts w:ascii="等线" w:eastAsia="等线" w:hAnsi="等线"/>
      <w:noProof/>
      <w:sz w:val="20"/>
    </w:rPr>
  </w:style>
  <w:style w:type="character" w:customStyle="1" w:styleId="EndNoteBibliographyTitle0">
    <w:name w:val="EndNote Bibliography Title 字符"/>
    <w:basedOn w:val="a8"/>
    <w:link w:val="EndNoteBibliographyTitle"/>
    <w:rsid w:val="00AF5D5D"/>
    <w:rPr>
      <w:rFonts w:ascii="等线" w:eastAsia="等线" w:hAnsi="等线"/>
      <w:noProof/>
      <w:sz w:val="20"/>
      <w:szCs w:val="24"/>
    </w:rPr>
  </w:style>
  <w:style w:type="paragraph" w:customStyle="1" w:styleId="EndNoteBibliography">
    <w:name w:val="EndNote Bibliography"/>
    <w:basedOn w:val="a"/>
    <w:link w:val="EndNoteBibliography0"/>
    <w:rsid w:val="00AF5D5D"/>
    <w:rPr>
      <w:rFonts w:ascii="等线" w:eastAsia="等线" w:hAnsi="等线"/>
      <w:noProof/>
      <w:sz w:val="20"/>
    </w:rPr>
  </w:style>
  <w:style w:type="character" w:customStyle="1" w:styleId="EndNoteBibliography0">
    <w:name w:val="EndNote Bibliography 字符"/>
    <w:basedOn w:val="a8"/>
    <w:link w:val="EndNoteBibliography"/>
    <w:rsid w:val="00AF5D5D"/>
    <w:rPr>
      <w:rFonts w:ascii="等线" w:eastAsia="等线" w:hAnsi="等线"/>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Moon907</dc:creator>
  <cp:keywords/>
  <dc:description/>
  <cp:lastModifiedBy>Moon907</cp:lastModifiedBy>
  <cp:revision>3</cp:revision>
  <dcterms:created xsi:type="dcterms:W3CDTF">2022-11-22T05:05:00Z</dcterms:created>
  <dcterms:modified xsi:type="dcterms:W3CDTF">2022-11-22T05:22:00Z</dcterms:modified>
</cp:coreProperties>
</file>