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6E9" w:rsidRPr="00C76552" w:rsidRDefault="003E66E9" w:rsidP="003E66E9">
      <w:pPr>
        <w:spacing w:line="360" w:lineRule="auto"/>
        <w:jc w:val="center"/>
        <w:rPr>
          <w:sz w:val="36"/>
          <w:lang w:val="en-US"/>
        </w:rPr>
      </w:pPr>
      <w:bookmarkStart w:id="0" w:name="_GoBack"/>
      <w:bookmarkEnd w:id="0"/>
      <w:r w:rsidRPr="00C76552">
        <w:rPr>
          <w:sz w:val="36"/>
          <w:lang w:val="en-US"/>
        </w:rPr>
        <w:t xml:space="preserve">Supplement </w:t>
      </w:r>
      <w:proofErr w:type="gramStart"/>
      <w:r w:rsidRPr="00C76552">
        <w:rPr>
          <w:sz w:val="36"/>
          <w:lang w:val="en-US"/>
        </w:rPr>
        <w:t>1</w:t>
      </w:r>
      <w:proofErr w:type="gramEnd"/>
    </w:p>
    <w:p w:rsidR="008A41D8" w:rsidRDefault="008A41D8" w:rsidP="0050187D">
      <w:pPr>
        <w:spacing w:line="360" w:lineRule="auto"/>
        <w:jc w:val="both"/>
        <w:rPr>
          <w:sz w:val="28"/>
          <w:lang w:val="en-US"/>
        </w:rPr>
      </w:pPr>
      <w:r>
        <w:rPr>
          <w:sz w:val="28"/>
          <w:lang w:val="en-US"/>
        </w:rPr>
        <w:t xml:space="preserve">Differentiation protocol </w:t>
      </w:r>
    </w:p>
    <w:p w:rsidR="008A41D8" w:rsidRPr="008A41D8" w:rsidRDefault="008A41D8" w:rsidP="008A41D8">
      <w:pPr>
        <w:pStyle w:val="Kuvaotsikko"/>
        <w:keepNext/>
        <w:rPr>
          <w:b/>
          <w:color w:val="auto"/>
          <w:sz w:val="24"/>
          <w:lang w:val="en-US"/>
        </w:rPr>
      </w:pPr>
      <w:r w:rsidRPr="008A41D8">
        <w:rPr>
          <w:b/>
          <w:color w:val="auto"/>
          <w:sz w:val="24"/>
          <w:lang w:val="en-US"/>
        </w:rPr>
        <w:t>Table 1. Differentiation protocol of fibroblasts</w:t>
      </w:r>
    </w:p>
    <w:tbl>
      <w:tblPr>
        <w:tblStyle w:val="TaulukkoRuudukko"/>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1638"/>
        <w:gridCol w:w="1086"/>
        <w:gridCol w:w="1130"/>
        <w:gridCol w:w="1299"/>
      </w:tblGrid>
      <w:tr w:rsidR="008A41D8" w:rsidTr="00DC01F5">
        <w:tc>
          <w:tcPr>
            <w:tcW w:w="4486" w:type="dxa"/>
            <w:tcBorders>
              <w:top w:val="single" w:sz="4" w:space="0" w:color="auto"/>
              <w:left w:val="single" w:sz="4" w:space="0" w:color="auto"/>
            </w:tcBorders>
          </w:tcPr>
          <w:p w:rsidR="008A41D8" w:rsidRPr="007327BB" w:rsidRDefault="008A41D8" w:rsidP="00DC01F5">
            <w:pPr>
              <w:spacing w:line="360" w:lineRule="auto"/>
              <w:jc w:val="both"/>
              <w:rPr>
                <w:b/>
                <w:sz w:val="24"/>
                <w:lang w:val="en-US"/>
              </w:rPr>
            </w:pPr>
          </w:p>
        </w:tc>
        <w:tc>
          <w:tcPr>
            <w:tcW w:w="1638" w:type="dxa"/>
            <w:tcBorders>
              <w:top w:val="single" w:sz="4" w:space="0" w:color="auto"/>
              <w:bottom w:val="single" w:sz="4" w:space="0" w:color="auto"/>
            </w:tcBorders>
            <w:vAlign w:val="center"/>
          </w:tcPr>
          <w:p w:rsidR="008A41D8" w:rsidRPr="007327BB" w:rsidRDefault="008A41D8" w:rsidP="00DC01F5">
            <w:pPr>
              <w:spacing w:line="360" w:lineRule="auto"/>
              <w:jc w:val="center"/>
              <w:rPr>
                <w:b/>
                <w:sz w:val="24"/>
                <w:lang w:val="en-US"/>
              </w:rPr>
            </w:pPr>
            <w:r w:rsidRPr="007327BB">
              <w:rPr>
                <w:b/>
                <w:sz w:val="24"/>
                <w:lang w:val="en-US"/>
              </w:rPr>
              <w:t>Concentration</w:t>
            </w:r>
          </w:p>
        </w:tc>
        <w:tc>
          <w:tcPr>
            <w:tcW w:w="1086" w:type="dxa"/>
            <w:tcBorders>
              <w:top w:val="single" w:sz="4" w:space="0" w:color="auto"/>
              <w:bottom w:val="single" w:sz="4" w:space="0" w:color="auto"/>
            </w:tcBorders>
            <w:vAlign w:val="center"/>
          </w:tcPr>
          <w:p w:rsidR="008A41D8" w:rsidRPr="007327BB" w:rsidRDefault="008A41D8" w:rsidP="00DC01F5">
            <w:pPr>
              <w:spacing w:line="360" w:lineRule="auto"/>
              <w:jc w:val="center"/>
              <w:rPr>
                <w:b/>
                <w:sz w:val="24"/>
                <w:lang w:val="en-US"/>
              </w:rPr>
            </w:pPr>
            <w:r w:rsidRPr="007327BB">
              <w:rPr>
                <w:b/>
                <w:sz w:val="24"/>
                <w:lang w:val="en-US"/>
              </w:rPr>
              <w:t>Day 0-7</w:t>
            </w:r>
          </w:p>
        </w:tc>
        <w:tc>
          <w:tcPr>
            <w:tcW w:w="1130" w:type="dxa"/>
            <w:tcBorders>
              <w:top w:val="single" w:sz="4" w:space="0" w:color="auto"/>
              <w:bottom w:val="single" w:sz="4" w:space="0" w:color="auto"/>
            </w:tcBorders>
            <w:vAlign w:val="center"/>
          </w:tcPr>
          <w:p w:rsidR="008A41D8" w:rsidRPr="007327BB" w:rsidRDefault="008A41D8" w:rsidP="00DC01F5">
            <w:pPr>
              <w:spacing w:line="360" w:lineRule="auto"/>
              <w:jc w:val="center"/>
              <w:rPr>
                <w:b/>
                <w:sz w:val="24"/>
                <w:lang w:val="en-US"/>
              </w:rPr>
            </w:pPr>
            <w:r w:rsidRPr="007327BB">
              <w:rPr>
                <w:b/>
                <w:sz w:val="24"/>
                <w:lang w:val="en-US"/>
              </w:rPr>
              <w:t>Day 7-35</w:t>
            </w:r>
          </w:p>
        </w:tc>
        <w:tc>
          <w:tcPr>
            <w:tcW w:w="1299" w:type="dxa"/>
            <w:tcBorders>
              <w:top w:val="single" w:sz="4" w:space="0" w:color="auto"/>
              <w:bottom w:val="single" w:sz="4" w:space="0" w:color="auto"/>
              <w:right w:val="single" w:sz="4" w:space="0" w:color="auto"/>
            </w:tcBorders>
          </w:tcPr>
          <w:p w:rsidR="008A41D8" w:rsidRPr="007327BB" w:rsidRDefault="008A41D8" w:rsidP="00DC01F5">
            <w:pPr>
              <w:spacing w:line="360" w:lineRule="auto"/>
              <w:jc w:val="center"/>
              <w:rPr>
                <w:b/>
                <w:sz w:val="24"/>
                <w:lang w:val="en-US"/>
              </w:rPr>
            </w:pPr>
            <w:r>
              <w:rPr>
                <w:b/>
                <w:sz w:val="24"/>
                <w:lang w:val="en-US"/>
              </w:rPr>
              <w:t>Product</w:t>
            </w:r>
          </w:p>
        </w:tc>
      </w:tr>
      <w:tr w:rsidR="008A41D8" w:rsidTr="00DC01F5">
        <w:tc>
          <w:tcPr>
            <w:tcW w:w="4486" w:type="dxa"/>
            <w:tcBorders>
              <w:left w:val="single" w:sz="4" w:space="0" w:color="auto"/>
              <w:bottom w:val="single" w:sz="4" w:space="0" w:color="auto"/>
            </w:tcBorders>
            <w:vAlign w:val="center"/>
          </w:tcPr>
          <w:p w:rsidR="008A41D8" w:rsidRPr="009E4B28" w:rsidRDefault="008A41D8" w:rsidP="00DC01F5">
            <w:pPr>
              <w:spacing w:line="360" w:lineRule="auto"/>
              <w:rPr>
                <w:sz w:val="24"/>
                <w:lang w:val="en-US"/>
              </w:rPr>
            </w:pPr>
            <w:r w:rsidRPr="007327BB">
              <w:rPr>
                <w:sz w:val="24"/>
                <w:lang w:val="en-US"/>
              </w:rPr>
              <w:t>Advance</w:t>
            </w:r>
            <w:r>
              <w:rPr>
                <w:sz w:val="24"/>
                <w:lang w:val="en-US"/>
              </w:rPr>
              <w:t>d MEM (minimum essential media)</w:t>
            </w:r>
          </w:p>
        </w:tc>
        <w:tc>
          <w:tcPr>
            <w:tcW w:w="1638"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w:t>
            </w:r>
          </w:p>
        </w:tc>
        <w:tc>
          <w:tcPr>
            <w:tcW w:w="1086"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x</w:t>
            </w:r>
          </w:p>
        </w:tc>
        <w:tc>
          <w:tcPr>
            <w:tcW w:w="1130"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x</w:t>
            </w:r>
          </w:p>
        </w:tc>
        <w:tc>
          <w:tcPr>
            <w:tcW w:w="1299" w:type="dxa"/>
            <w:tcBorders>
              <w:top w:val="single" w:sz="4" w:space="0" w:color="auto"/>
              <w:bottom w:val="single" w:sz="4" w:space="0" w:color="auto"/>
              <w:right w:val="single" w:sz="4" w:space="0" w:color="auto"/>
            </w:tcBorders>
            <w:vAlign w:val="center"/>
          </w:tcPr>
          <w:p w:rsidR="008A41D8" w:rsidRDefault="008A41D8" w:rsidP="00DC01F5">
            <w:pPr>
              <w:spacing w:line="360" w:lineRule="auto"/>
              <w:jc w:val="center"/>
              <w:rPr>
                <w:sz w:val="24"/>
                <w:lang w:val="en-US"/>
              </w:rPr>
            </w:pPr>
            <w:r w:rsidRPr="00A9325A">
              <w:rPr>
                <w:i/>
                <w:sz w:val="20"/>
                <w:lang w:val="en-US"/>
              </w:rPr>
              <w:t xml:space="preserve">12492013, </w:t>
            </w:r>
            <w:proofErr w:type="spellStart"/>
            <w:r w:rsidRPr="00A9325A">
              <w:rPr>
                <w:i/>
                <w:sz w:val="20"/>
                <w:lang w:val="en-US"/>
              </w:rPr>
              <w:t>Gibco</w:t>
            </w:r>
            <w:proofErr w:type="spellEnd"/>
          </w:p>
        </w:tc>
      </w:tr>
      <w:tr w:rsidR="008A41D8" w:rsidTr="00DC01F5">
        <w:tc>
          <w:tcPr>
            <w:tcW w:w="4486" w:type="dxa"/>
            <w:tcBorders>
              <w:top w:val="single" w:sz="4" w:space="0" w:color="auto"/>
              <w:left w:val="single" w:sz="4" w:space="0" w:color="auto"/>
              <w:bottom w:val="single" w:sz="4" w:space="0" w:color="auto"/>
            </w:tcBorders>
            <w:vAlign w:val="center"/>
          </w:tcPr>
          <w:p w:rsidR="008A41D8" w:rsidRPr="009E4B28" w:rsidRDefault="008A41D8" w:rsidP="00DC01F5">
            <w:pPr>
              <w:spacing w:line="360" w:lineRule="auto"/>
              <w:rPr>
                <w:sz w:val="24"/>
                <w:lang w:val="en-US"/>
              </w:rPr>
            </w:pPr>
            <w:proofErr w:type="spellStart"/>
            <w:r>
              <w:rPr>
                <w:sz w:val="24"/>
                <w:lang w:val="en-US"/>
              </w:rPr>
              <w:t>Glutamax</w:t>
            </w:r>
            <w:proofErr w:type="spellEnd"/>
          </w:p>
        </w:tc>
        <w:tc>
          <w:tcPr>
            <w:tcW w:w="1638"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1 %</w:t>
            </w:r>
          </w:p>
        </w:tc>
        <w:tc>
          <w:tcPr>
            <w:tcW w:w="1086"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x</w:t>
            </w:r>
          </w:p>
        </w:tc>
        <w:tc>
          <w:tcPr>
            <w:tcW w:w="1130"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x</w:t>
            </w:r>
          </w:p>
        </w:tc>
        <w:tc>
          <w:tcPr>
            <w:tcW w:w="1299" w:type="dxa"/>
            <w:tcBorders>
              <w:top w:val="single" w:sz="4" w:space="0" w:color="auto"/>
              <w:bottom w:val="single" w:sz="4" w:space="0" w:color="auto"/>
              <w:right w:val="single" w:sz="4" w:space="0" w:color="auto"/>
            </w:tcBorders>
            <w:vAlign w:val="center"/>
          </w:tcPr>
          <w:p w:rsidR="008A41D8" w:rsidRDefault="008A41D8" w:rsidP="00DC01F5">
            <w:pPr>
              <w:spacing w:line="360" w:lineRule="auto"/>
              <w:jc w:val="center"/>
              <w:rPr>
                <w:sz w:val="24"/>
                <w:lang w:val="en-US"/>
              </w:rPr>
            </w:pPr>
            <w:r w:rsidRPr="00A9325A">
              <w:rPr>
                <w:i/>
                <w:sz w:val="20"/>
                <w:lang w:val="en-US"/>
              </w:rPr>
              <w:t xml:space="preserve">35050-038, </w:t>
            </w:r>
            <w:proofErr w:type="spellStart"/>
            <w:r w:rsidRPr="00A9325A">
              <w:rPr>
                <w:i/>
                <w:sz w:val="20"/>
                <w:lang w:val="en-US"/>
              </w:rPr>
              <w:t>Gibco</w:t>
            </w:r>
            <w:proofErr w:type="spellEnd"/>
          </w:p>
        </w:tc>
      </w:tr>
      <w:tr w:rsidR="008A41D8" w:rsidTr="00DC01F5">
        <w:tc>
          <w:tcPr>
            <w:tcW w:w="4486" w:type="dxa"/>
            <w:tcBorders>
              <w:top w:val="single" w:sz="4" w:space="0" w:color="auto"/>
              <w:left w:val="single" w:sz="4" w:space="0" w:color="auto"/>
              <w:bottom w:val="single" w:sz="4" w:space="0" w:color="auto"/>
            </w:tcBorders>
            <w:vAlign w:val="center"/>
          </w:tcPr>
          <w:p w:rsidR="008A41D8" w:rsidRPr="009E4B28" w:rsidRDefault="008A41D8" w:rsidP="00DC01F5">
            <w:pPr>
              <w:spacing w:line="360" w:lineRule="auto"/>
              <w:rPr>
                <w:sz w:val="24"/>
                <w:lang w:val="en-US"/>
              </w:rPr>
            </w:pPr>
            <w:r>
              <w:rPr>
                <w:sz w:val="24"/>
                <w:lang w:val="en-US"/>
              </w:rPr>
              <w:t>Penicillin/streptomycin</w:t>
            </w:r>
          </w:p>
        </w:tc>
        <w:tc>
          <w:tcPr>
            <w:tcW w:w="1638"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1 %</w:t>
            </w:r>
          </w:p>
        </w:tc>
        <w:tc>
          <w:tcPr>
            <w:tcW w:w="1086"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x</w:t>
            </w:r>
          </w:p>
        </w:tc>
        <w:tc>
          <w:tcPr>
            <w:tcW w:w="1130"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x</w:t>
            </w:r>
          </w:p>
        </w:tc>
        <w:tc>
          <w:tcPr>
            <w:tcW w:w="1299" w:type="dxa"/>
            <w:tcBorders>
              <w:top w:val="single" w:sz="4" w:space="0" w:color="auto"/>
              <w:bottom w:val="single" w:sz="4" w:space="0" w:color="auto"/>
              <w:right w:val="single" w:sz="4" w:space="0" w:color="auto"/>
            </w:tcBorders>
            <w:vAlign w:val="center"/>
          </w:tcPr>
          <w:p w:rsidR="008A41D8" w:rsidRDefault="008A41D8" w:rsidP="00DC01F5">
            <w:pPr>
              <w:spacing w:line="360" w:lineRule="auto"/>
              <w:jc w:val="center"/>
              <w:rPr>
                <w:sz w:val="24"/>
                <w:lang w:val="en-US"/>
              </w:rPr>
            </w:pPr>
            <w:r w:rsidRPr="00A9325A">
              <w:rPr>
                <w:i/>
                <w:sz w:val="20"/>
                <w:lang w:val="en-US"/>
              </w:rPr>
              <w:t xml:space="preserve">15140122, </w:t>
            </w:r>
            <w:proofErr w:type="spellStart"/>
            <w:r w:rsidRPr="00A9325A">
              <w:rPr>
                <w:i/>
                <w:sz w:val="20"/>
                <w:lang w:val="en-US"/>
              </w:rPr>
              <w:t>Gibco</w:t>
            </w:r>
            <w:proofErr w:type="spellEnd"/>
          </w:p>
        </w:tc>
      </w:tr>
      <w:tr w:rsidR="008A41D8" w:rsidTr="00DC01F5">
        <w:tc>
          <w:tcPr>
            <w:tcW w:w="4486" w:type="dxa"/>
            <w:tcBorders>
              <w:top w:val="single" w:sz="4" w:space="0" w:color="auto"/>
              <w:left w:val="single" w:sz="4" w:space="0" w:color="auto"/>
              <w:bottom w:val="single" w:sz="4" w:space="0" w:color="auto"/>
            </w:tcBorders>
            <w:vAlign w:val="center"/>
          </w:tcPr>
          <w:p w:rsidR="008A41D8" w:rsidRPr="009E4B28" w:rsidRDefault="008A41D8" w:rsidP="00DC01F5">
            <w:pPr>
              <w:spacing w:line="360" w:lineRule="auto"/>
              <w:rPr>
                <w:sz w:val="24"/>
                <w:lang w:val="en-US"/>
              </w:rPr>
            </w:pPr>
            <w:r>
              <w:rPr>
                <w:sz w:val="24"/>
                <w:lang w:val="en-US"/>
              </w:rPr>
              <w:t>FBS</w:t>
            </w:r>
          </w:p>
        </w:tc>
        <w:tc>
          <w:tcPr>
            <w:tcW w:w="1638"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10 %</w:t>
            </w:r>
          </w:p>
        </w:tc>
        <w:tc>
          <w:tcPr>
            <w:tcW w:w="1086"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x</w:t>
            </w:r>
          </w:p>
        </w:tc>
        <w:tc>
          <w:tcPr>
            <w:tcW w:w="1130"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x</w:t>
            </w:r>
          </w:p>
        </w:tc>
        <w:tc>
          <w:tcPr>
            <w:tcW w:w="1299" w:type="dxa"/>
            <w:tcBorders>
              <w:top w:val="single" w:sz="4" w:space="0" w:color="auto"/>
              <w:bottom w:val="single" w:sz="4" w:space="0" w:color="auto"/>
              <w:right w:val="single" w:sz="4" w:space="0" w:color="auto"/>
            </w:tcBorders>
            <w:vAlign w:val="center"/>
          </w:tcPr>
          <w:p w:rsidR="008A41D8" w:rsidRPr="00A9325A" w:rsidRDefault="008A41D8" w:rsidP="00DC01F5">
            <w:pPr>
              <w:spacing w:line="360" w:lineRule="auto"/>
              <w:jc w:val="center"/>
              <w:rPr>
                <w:i/>
                <w:sz w:val="20"/>
                <w:lang w:val="en-US"/>
              </w:rPr>
            </w:pPr>
            <w:r w:rsidRPr="00A9325A">
              <w:rPr>
                <w:i/>
                <w:sz w:val="20"/>
                <w:lang w:val="en-US"/>
              </w:rPr>
              <w:t>S-FEB-SA-015</w:t>
            </w:r>
          </w:p>
          <w:p w:rsidR="008A41D8" w:rsidRDefault="008A41D8" w:rsidP="00DC01F5">
            <w:pPr>
              <w:spacing w:line="360" w:lineRule="auto"/>
              <w:jc w:val="center"/>
              <w:rPr>
                <w:sz w:val="24"/>
                <w:lang w:val="en-US"/>
              </w:rPr>
            </w:pPr>
            <w:proofErr w:type="spellStart"/>
            <w:r w:rsidRPr="00A9325A">
              <w:rPr>
                <w:i/>
                <w:sz w:val="20"/>
                <w:lang w:val="en-US"/>
              </w:rPr>
              <w:t>Serana</w:t>
            </w:r>
            <w:proofErr w:type="spellEnd"/>
          </w:p>
        </w:tc>
      </w:tr>
      <w:tr w:rsidR="008A41D8" w:rsidTr="00DC01F5">
        <w:tc>
          <w:tcPr>
            <w:tcW w:w="4486" w:type="dxa"/>
            <w:tcBorders>
              <w:top w:val="single" w:sz="4" w:space="0" w:color="auto"/>
              <w:left w:val="single" w:sz="4" w:space="0" w:color="auto"/>
              <w:bottom w:val="single" w:sz="4" w:space="0" w:color="auto"/>
            </w:tcBorders>
            <w:vAlign w:val="center"/>
          </w:tcPr>
          <w:p w:rsidR="008A41D8" w:rsidRPr="009E4B28" w:rsidRDefault="008A41D8" w:rsidP="00DC01F5">
            <w:pPr>
              <w:spacing w:line="360" w:lineRule="auto"/>
              <w:rPr>
                <w:sz w:val="24"/>
                <w:lang w:val="en-US"/>
              </w:rPr>
            </w:pPr>
            <w:r>
              <w:rPr>
                <w:sz w:val="24"/>
                <w:lang w:val="en-US"/>
              </w:rPr>
              <w:t>L-ascorbic acid</w:t>
            </w:r>
          </w:p>
        </w:tc>
        <w:tc>
          <w:tcPr>
            <w:tcW w:w="1638" w:type="dxa"/>
            <w:tcBorders>
              <w:top w:val="single" w:sz="4" w:space="0" w:color="auto"/>
              <w:bottom w:val="single" w:sz="4" w:space="0" w:color="auto"/>
            </w:tcBorders>
            <w:vAlign w:val="center"/>
          </w:tcPr>
          <w:p w:rsidR="008A41D8" w:rsidRDefault="00E33BFF" w:rsidP="00DC01F5">
            <w:pPr>
              <w:spacing w:line="360" w:lineRule="auto"/>
              <w:jc w:val="center"/>
              <w:rPr>
                <w:sz w:val="24"/>
                <w:lang w:val="en-US"/>
              </w:rPr>
            </w:pPr>
            <w:r>
              <w:rPr>
                <w:sz w:val="24"/>
                <w:lang w:val="en-US"/>
              </w:rPr>
              <w:t>0.</w:t>
            </w:r>
            <w:r w:rsidR="00435BAF">
              <w:rPr>
                <w:sz w:val="24"/>
                <w:lang w:val="en-US"/>
              </w:rPr>
              <w:t xml:space="preserve">3 </w:t>
            </w:r>
            <w:proofErr w:type="spellStart"/>
            <w:r w:rsidR="00435BAF">
              <w:rPr>
                <w:sz w:val="24"/>
                <w:lang w:val="en-US"/>
              </w:rPr>
              <w:t>mM</w:t>
            </w:r>
            <w:proofErr w:type="spellEnd"/>
          </w:p>
        </w:tc>
        <w:tc>
          <w:tcPr>
            <w:tcW w:w="1086"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x</w:t>
            </w:r>
          </w:p>
        </w:tc>
        <w:tc>
          <w:tcPr>
            <w:tcW w:w="1130"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x</w:t>
            </w:r>
          </w:p>
        </w:tc>
        <w:tc>
          <w:tcPr>
            <w:tcW w:w="1299" w:type="dxa"/>
            <w:tcBorders>
              <w:top w:val="single" w:sz="4" w:space="0" w:color="auto"/>
              <w:bottom w:val="single" w:sz="4" w:space="0" w:color="auto"/>
              <w:right w:val="single" w:sz="4" w:space="0" w:color="auto"/>
            </w:tcBorders>
            <w:vAlign w:val="center"/>
          </w:tcPr>
          <w:p w:rsidR="008A41D8" w:rsidRDefault="008A41D8" w:rsidP="00DC01F5">
            <w:pPr>
              <w:spacing w:line="360" w:lineRule="auto"/>
              <w:jc w:val="center"/>
              <w:rPr>
                <w:sz w:val="24"/>
                <w:lang w:val="en-US"/>
              </w:rPr>
            </w:pPr>
            <w:r w:rsidRPr="00A9325A">
              <w:rPr>
                <w:i/>
                <w:sz w:val="20"/>
                <w:lang w:val="en-US"/>
              </w:rPr>
              <w:t>A4544-25g, Sigma</w:t>
            </w:r>
          </w:p>
        </w:tc>
      </w:tr>
      <w:tr w:rsidR="008A41D8" w:rsidRPr="00A9325A" w:rsidTr="00DC01F5">
        <w:tc>
          <w:tcPr>
            <w:tcW w:w="4486" w:type="dxa"/>
            <w:tcBorders>
              <w:top w:val="single" w:sz="4" w:space="0" w:color="auto"/>
              <w:left w:val="single" w:sz="4" w:space="0" w:color="auto"/>
              <w:bottom w:val="single" w:sz="4" w:space="0" w:color="auto"/>
            </w:tcBorders>
            <w:vAlign w:val="center"/>
          </w:tcPr>
          <w:p w:rsidR="008A41D8" w:rsidRPr="009E4B28" w:rsidRDefault="008A41D8" w:rsidP="00DC01F5">
            <w:pPr>
              <w:spacing w:line="360" w:lineRule="auto"/>
              <w:rPr>
                <w:sz w:val="24"/>
                <w:lang w:val="en-US"/>
              </w:rPr>
            </w:pPr>
            <w:r>
              <w:rPr>
                <w:sz w:val="24"/>
                <w:lang w:val="en-US"/>
              </w:rPr>
              <w:t>β-</w:t>
            </w:r>
            <w:proofErr w:type="spellStart"/>
            <w:r>
              <w:rPr>
                <w:sz w:val="24"/>
                <w:lang w:val="en-US"/>
              </w:rPr>
              <w:t>glycerophosphate</w:t>
            </w:r>
            <w:proofErr w:type="spellEnd"/>
          </w:p>
        </w:tc>
        <w:tc>
          <w:tcPr>
            <w:tcW w:w="1638"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 xml:space="preserve">10 </w:t>
            </w:r>
            <w:proofErr w:type="spellStart"/>
            <w:r>
              <w:rPr>
                <w:sz w:val="24"/>
                <w:lang w:val="en-US"/>
              </w:rPr>
              <w:t>mM</w:t>
            </w:r>
            <w:proofErr w:type="spellEnd"/>
          </w:p>
        </w:tc>
        <w:tc>
          <w:tcPr>
            <w:tcW w:w="1086"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x</w:t>
            </w:r>
          </w:p>
        </w:tc>
        <w:tc>
          <w:tcPr>
            <w:tcW w:w="1130"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x</w:t>
            </w:r>
          </w:p>
        </w:tc>
        <w:tc>
          <w:tcPr>
            <w:tcW w:w="1299" w:type="dxa"/>
            <w:tcBorders>
              <w:top w:val="single" w:sz="4" w:space="0" w:color="auto"/>
              <w:bottom w:val="single" w:sz="4" w:space="0" w:color="auto"/>
              <w:right w:val="single" w:sz="4" w:space="0" w:color="auto"/>
            </w:tcBorders>
            <w:vAlign w:val="center"/>
          </w:tcPr>
          <w:p w:rsidR="008A41D8" w:rsidRPr="00A9325A" w:rsidRDefault="008A41D8" w:rsidP="00DC01F5">
            <w:pPr>
              <w:spacing w:line="360" w:lineRule="auto"/>
              <w:jc w:val="center"/>
              <w:rPr>
                <w:sz w:val="28"/>
                <w:lang w:val="en-US"/>
              </w:rPr>
            </w:pPr>
            <w:r w:rsidRPr="00A9325A">
              <w:rPr>
                <w:i/>
                <w:sz w:val="20"/>
                <w:lang w:val="en-US"/>
              </w:rPr>
              <w:t>G9422-50g, Sigma</w:t>
            </w:r>
          </w:p>
        </w:tc>
      </w:tr>
      <w:tr w:rsidR="008A41D8" w:rsidTr="00DC01F5">
        <w:tc>
          <w:tcPr>
            <w:tcW w:w="4486" w:type="dxa"/>
            <w:vMerge w:val="restart"/>
            <w:tcBorders>
              <w:top w:val="single" w:sz="4" w:space="0" w:color="auto"/>
              <w:left w:val="single" w:sz="4" w:space="0" w:color="auto"/>
            </w:tcBorders>
            <w:vAlign w:val="center"/>
          </w:tcPr>
          <w:p w:rsidR="008A41D8" w:rsidRPr="009E4B28" w:rsidRDefault="008A41D8" w:rsidP="00DC01F5">
            <w:pPr>
              <w:spacing w:line="360" w:lineRule="auto"/>
              <w:rPr>
                <w:sz w:val="24"/>
                <w:lang w:val="sv-SE"/>
              </w:rPr>
            </w:pPr>
            <w:proofErr w:type="spellStart"/>
            <w:r w:rsidRPr="009E4B28">
              <w:rPr>
                <w:sz w:val="24"/>
                <w:lang w:val="sv-SE"/>
              </w:rPr>
              <w:t>Dexamethasone</w:t>
            </w:r>
            <w:proofErr w:type="spellEnd"/>
          </w:p>
        </w:tc>
        <w:tc>
          <w:tcPr>
            <w:tcW w:w="1638"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 xml:space="preserve">100 </w:t>
            </w:r>
            <w:proofErr w:type="spellStart"/>
            <w:r>
              <w:rPr>
                <w:sz w:val="24"/>
                <w:lang w:val="en-US"/>
              </w:rPr>
              <w:t>nM</w:t>
            </w:r>
            <w:proofErr w:type="spellEnd"/>
          </w:p>
        </w:tc>
        <w:tc>
          <w:tcPr>
            <w:tcW w:w="1086"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x</w:t>
            </w:r>
          </w:p>
        </w:tc>
        <w:tc>
          <w:tcPr>
            <w:tcW w:w="1130"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p>
        </w:tc>
        <w:tc>
          <w:tcPr>
            <w:tcW w:w="1299" w:type="dxa"/>
            <w:vMerge w:val="restart"/>
            <w:tcBorders>
              <w:top w:val="single" w:sz="4" w:space="0" w:color="auto"/>
              <w:right w:val="single" w:sz="4" w:space="0" w:color="auto"/>
            </w:tcBorders>
            <w:vAlign w:val="center"/>
          </w:tcPr>
          <w:p w:rsidR="008A41D8" w:rsidRDefault="008A41D8" w:rsidP="00DC01F5">
            <w:pPr>
              <w:spacing w:line="360" w:lineRule="auto"/>
              <w:jc w:val="center"/>
              <w:rPr>
                <w:sz w:val="24"/>
                <w:lang w:val="en-US"/>
              </w:rPr>
            </w:pPr>
            <w:r w:rsidRPr="00A9325A">
              <w:rPr>
                <w:i/>
                <w:sz w:val="20"/>
                <w:lang w:val="sv-SE"/>
              </w:rPr>
              <w:t xml:space="preserve">D8893-1MG, Sigma </w:t>
            </w:r>
            <w:proofErr w:type="spellStart"/>
            <w:r w:rsidRPr="00A9325A">
              <w:rPr>
                <w:i/>
                <w:sz w:val="20"/>
                <w:lang w:val="sv-SE"/>
              </w:rPr>
              <w:t>Aldrich</w:t>
            </w:r>
            <w:proofErr w:type="spellEnd"/>
          </w:p>
        </w:tc>
      </w:tr>
      <w:tr w:rsidR="008A41D8" w:rsidTr="00DC01F5">
        <w:tc>
          <w:tcPr>
            <w:tcW w:w="4486" w:type="dxa"/>
            <w:vMerge/>
            <w:tcBorders>
              <w:top w:val="single" w:sz="4" w:space="0" w:color="auto"/>
              <w:left w:val="single" w:sz="4" w:space="0" w:color="auto"/>
              <w:bottom w:val="single" w:sz="4" w:space="0" w:color="auto"/>
            </w:tcBorders>
          </w:tcPr>
          <w:p w:rsidR="008A41D8" w:rsidRDefault="008A41D8" w:rsidP="00DC01F5">
            <w:pPr>
              <w:spacing w:line="360" w:lineRule="auto"/>
              <w:jc w:val="both"/>
              <w:rPr>
                <w:sz w:val="24"/>
                <w:lang w:val="en-US"/>
              </w:rPr>
            </w:pPr>
          </w:p>
        </w:tc>
        <w:tc>
          <w:tcPr>
            <w:tcW w:w="1638"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 xml:space="preserve">10 </w:t>
            </w:r>
            <w:proofErr w:type="spellStart"/>
            <w:r>
              <w:rPr>
                <w:sz w:val="24"/>
                <w:lang w:val="en-US"/>
              </w:rPr>
              <w:t>nM</w:t>
            </w:r>
            <w:proofErr w:type="spellEnd"/>
          </w:p>
        </w:tc>
        <w:tc>
          <w:tcPr>
            <w:tcW w:w="1086"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p>
        </w:tc>
        <w:tc>
          <w:tcPr>
            <w:tcW w:w="1130" w:type="dxa"/>
            <w:tcBorders>
              <w:top w:val="single" w:sz="4" w:space="0" w:color="auto"/>
              <w:bottom w:val="single" w:sz="4" w:space="0" w:color="auto"/>
            </w:tcBorders>
            <w:vAlign w:val="center"/>
          </w:tcPr>
          <w:p w:rsidR="008A41D8" w:rsidRDefault="008A41D8" w:rsidP="00DC01F5">
            <w:pPr>
              <w:spacing w:line="360" w:lineRule="auto"/>
              <w:jc w:val="center"/>
              <w:rPr>
                <w:sz w:val="24"/>
                <w:lang w:val="en-US"/>
              </w:rPr>
            </w:pPr>
            <w:r>
              <w:rPr>
                <w:sz w:val="24"/>
                <w:lang w:val="en-US"/>
              </w:rPr>
              <w:t>x</w:t>
            </w:r>
          </w:p>
        </w:tc>
        <w:tc>
          <w:tcPr>
            <w:tcW w:w="1299" w:type="dxa"/>
            <w:vMerge/>
            <w:tcBorders>
              <w:bottom w:val="single" w:sz="4" w:space="0" w:color="auto"/>
              <w:right w:val="single" w:sz="4" w:space="0" w:color="auto"/>
            </w:tcBorders>
          </w:tcPr>
          <w:p w:rsidR="008A41D8" w:rsidRDefault="008A41D8" w:rsidP="00DC01F5">
            <w:pPr>
              <w:spacing w:line="360" w:lineRule="auto"/>
              <w:jc w:val="center"/>
              <w:rPr>
                <w:sz w:val="24"/>
                <w:lang w:val="en-US"/>
              </w:rPr>
            </w:pPr>
          </w:p>
        </w:tc>
      </w:tr>
    </w:tbl>
    <w:p w:rsidR="008A41D8" w:rsidRDefault="008A41D8" w:rsidP="008A41D8">
      <w:pPr>
        <w:pStyle w:val="Kuvaotsikko"/>
        <w:keepNext/>
        <w:rPr>
          <w:b/>
          <w:color w:val="auto"/>
          <w:sz w:val="24"/>
          <w:szCs w:val="24"/>
          <w:lang w:val="en-US"/>
        </w:rPr>
      </w:pPr>
    </w:p>
    <w:p w:rsidR="008A41D8" w:rsidRDefault="008A41D8" w:rsidP="008A41D8">
      <w:pPr>
        <w:rPr>
          <w:lang w:val="en-US"/>
        </w:rPr>
      </w:pPr>
    </w:p>
    <w:p w:rsidR="008A41D8" w:rsidRDefault="008A41D8" w:rsidP="008A41D8">
      <w:pPr>
        <w:rPr>
          <w:lang w:val="en-US"/>
        </w:rPr>
      </w:pPr>
    </w:p>
    <w:p w:rsidR="008A41D8" w:rsidRDefault="008A41D8" w:rsidP="008A41D8">
      <w:pPr>
        <w:rPr>
          <w:lang w:val="en-US"/>
        </w:rPr>
      </w:pPr>
    </w:p>
    <w:p w:rsidR="008A41D8" w:rsidRDefault="008A41D8" w:rsidP="008A41D8">
      <w:pPr>
        <w:rPr>
          <w:lang w:val="en-US"/>
        </w:rPr>
      </w:pPr>
    </w:p>
    <w:p w:rsidR="008A41D8" w:rsidRDefault="008A41D8" w:rsidP="008A41D8">
      <w:pPr>
        <w:rPr>
          <w:lang w:val="en-US"/>
        </w:rPr>
      </w:pPr>
    </w:p>
    <w:p w:rsidR="008A41D8" w:rsidRDefault="008A41D8" w:rsidP="008A41D8">
      <w:pPr>
        <w:rPr>
          <w:lang w:val="en-US"/>
        </w:rPr>
      </w:pPr>
    </w:p>
    <w:p w:rsidR="008A41D8" w:rsidRDefault="008A41D8" w:rsidP="008A41D8">
      <w:pPr>
        <w:rPr>
          <w:lang w:val="en-US"/>
        </w:rPr>
      </w:pPr>
    </w:p>
    <w:p w:rsidR="008A41D8" w:rsidRDefault="008A41D8" w:rsidP="008A41D8">
      <w:pPr>
        <w:rPr>
          <w:lang w:val="en-US"/>
        </w:rPr>
      </w:pPr>
    </w:p>
    <w:p w:rsidR="008A41D8" w:rsidRDefault="008A41D8" w:rsidP="008A41D8">
      <w:pPr>
        <w:rPr>
          <w:lang w:val="en-US"/>
        </w:rPr>
      </w:pPr>
    </w:p>
    <w:p w:rsidR="008A41D8" w:rsidRDefault="008A41D8" w:rsidP="008A41D8">
      <w:pPr>
        <w:rPr>
          <w:lang w:val="en-US"/>
        </w:rPr>
      </w:pPr>
    </w:p>
    <w:p w:rsidR="008A41D8" w:rsidRPr="008A41D8" w:rsidRDefault="008A41D8" w:rsidP="008A41D8">
      <w:pPr>
        <w:rPr>
          <w:lang w:val="en-US"/>
        </w:rPr>
      </w:pPr>
    </w:p>
    <w:p w:rsidR="008A41D8" w:rsidRPr="008A41D8" w:rsidRDefault="008A41D8" w:rsidP="008A41D8">
      <w:pPr>
        <w:pStyle w:val="Kuvaotsikko"/>
        <w:keepNext/>
        <w:rPr>
          <w:b/>
          <w:color w:val="auto"/>
          <w:sz w:val="24"/>
          <w:szCs w:val="24"/>
          <w:lang w:val="en-US"/>
        </w:rPr>
      </w:pPr>
      <w:r w:rsidRPr="008A41D8">
        <w:rPr>
          <w:b/>
          <w:color w:val="auto"/>
          <w:sz w:val="24"/>
          <w:szCs w:val="24"/>
          <w:lang w:val="en-US"/>
        </w:rPr>
        <w:lastRenderedPageBreak/>
        <w:t>Table</w:t>
      </w:r>
      <w:r w:rsidRPr="008A41D8">
        <w:rPr>
          <w:b/>
          <w:color w:val="auto"/>
          <w:sz w:val="24"/>
          <w:szCs w:val="24"/>
        </w:rPr>
        <w:t xml:space="preserve"> 2</w:t>
      </w:r>
      <w:r w:rsidRPr="008A41D8">
        <w:rPr>
          <w:b/>
          <w:color w:val="auto"/>
          <w:sz w:val="24"/>
          <w:szCs w:val="24"/>
          <w:lang w:val="en-US"/>
        </w:rPr>
        <w:t>. Differentiation protocol of MSCs</w:t>
      </w:r>
    </w:p>
    <w:tbl>
      <w:tblPr>
        <w:tblStyle w:val="TaulukkoRuudukko"/>
        <w:tblW w:w="9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1638"/>
        <w:gridCol w:w="1089"/>
        <w:gridCol w:w="1089"/>
        <w:gridCol w:w="1298"/>
      </w:tblGrid>
      <w:tr w:rsidR="008A41D8" w:rsidTr="00DC01F5">
        <w:tc>
          <w:tcPr>
            <w:tcW w:w="4484" w:type="dxa"/>
            <w:tcBorders>
              <w:top w:val="single" w:sz="4" w:space="0" w:color="auto"/>
              <w:left w:val="single" w:sz="4" w:space="0" w:color="auto"/>
            </w:tcBorders>
            <w:shd w:val="clear" w:color="auto" w:fill="auto"/>
            <w:vAlign w:val="center"/>
          </w:tcPr>
          <w:p w:rsidR="008A41D8" w:rsidRDefault="008A41D8" w:rsidP="00DC01F5">
            <w:pPr>
              <w:spacing w:line="360" w:lineRule="auto"/>
              <w:rPr>
                <w:sz w:val="24"/>
                <w:lang w:val="en-US"/>
              </w:rPr>
            </w:pPr>
          </w:p>
        </w:tc>
        <w:tc>
          <w:tcPr>
            <w:tcW w:w="1638" w:type="dxa"/>
            <w:tcBorders>
              <w:top w:val="single" w:sz="4" w:space="0" w:color="auto"/>
              <w:bottom w:val="single" w:sz="4" w:space="0" w:color="auto"/>
            </w:tcBorders>
            <w:shd w:val="clear" w:color="auto" w:fill="auto"/>
          </w:tcPr>
          <w:p w:rsidR="008A41D8" w:rsidRPr="0039701E" w:rsidRDefault="008A41D8" w:rsidP="00DC01F5">
            <w:pPr>
              <w:spacing w:line="360" w:lineRule="auto"/>
              <w:jc w:val="both"/>
              <w:rPr>
                <w:b/>
                <w:sz w:val="24"/>
                <w:lang w:val="en-US"/>
              </w:rPr>
            </w:pPr>
            <w:r w:rsidRPr="0039701E">
              <w:rPr>
                <w:b/>
                <w:sz w:val="24"/>
                <w:lang w:val="en-US"/>
              </w:rPr>
              <w:t>Concentration</w:t>
            </w:r>
          </w:p>
        </w:tc>
        <w:tc>
          <w:tcPr>
            <w:tcW w:w="1089" w:type="dxa"/>
            <w:tcBorders>
              <w:top w:val="single" w:sz="4" w:space="0" w:color="auto"/>
              <w:bottom w:val="single" w:sz="4" w:space="0" w:color="auto"/>
            </w:tcBorders>
            <w:shd w:val="clear" w:color="auto" w:fill="auto"/>
          </w:tcPr>
          <w:p w:rsidR="008A41D8" w:rsidRPr="0039701E" w:rsidRDefault="008A41D8" w:rsidP="00DC01F5">
            <w:pPr>
              <w:spacing w:line="360" w:lineRule="auto"/>
              <w:jc w:val="both"/>
              <w:rPr>
                <w:b/>
                <w:sz w:val="24"/>
                <w:lang w:val="en-US"/>
              </w:rPr>
            </w:pPr>
            <w:r w:rsidRPr="0039701E">
              <w:rPr>
                <w:b/>
                <w:sz w:val="24"/>
                <w:lang w:val="en-US"/>
              </w:rPr>
              <w:t>Day 1-7</w:t>
            </w:r>
          </w:p>
        </w:tc>
        <w:tc>
          <w:tcPr>
            <w:tcW w:w="1089" w:type="dxa"/>
            <w:tcBorders>
              <w:top w:val="single" w:sz="4" w:space="0" w:color="auto"/>
              <w:bottom w:val="single" w:sz="4" w:space="0" w:color="auto"/>
            </w:tcBorders>
            <w:shd w:val="clear" w:color="auto" w:fill="auto"/>
          </w:tcPr>
          <w:p w:rsidR="008A41D8" w:rsidRPr="0039701E" w:rsidRDefault="008A41D8" w:rsidP="00DC01F5">
            <w:pPr>
              <w:spacing w:line="360" w:lineRule="auto"/>
              <w:jc w:val="both"/>
              <w:rPr>
                <w:b/>
                <w:sz w:val="24"/>
                <w:lang w:val="en-US"/>
              </w:rPr>
            </w:pPr>
            <w:r w:rsidRPr="0039701E">
              <w:rPr>
                <w:b/>
                <w:sz w:val="24"/>
                <w:lang w:val="en-US"/>
              </w:rPr>
              <w:t>Day 7-28</w:t>
            </w:r>
          </w:p>
        </w:tc>
        <w:tc>
          <w:tcPr>
            <w:tcW w:w="1298" w:type="dxa"/>
            <w:tcBorders>
              <w:top w:val="single" w:sz="4" w:space="0" w:color="auto"/>
              <w:bottom w:val="single" w:sz="4" w:space="0" w:color="auto"/>
              <w:right w:val="single" w:sz="4" w:space="0" w:color="auto"/>
            </w:tcBorders>
            <w:shd w:val="clear" w:color="auto" w:fill="auto"/>
          </w:tcPr>
          <w:p w:rsidR="008A41D8" w:rsidRPr="00C179FD" w:rsidRDefault="008A41D8" w:rsidP="00DC01F5">
            <w:pPr>
              <w:spacing w:line="360" w:lineRule="auto"/>
              <w:jc w:val="center"/>
              <w:rPr>
                <w:b/>
                <w:sz w:val="24"/>
                <w:lang w:val="en-US"/>
              </w:rPr>
            </w:pPr>
            <w:r w:rsidRPr="00C179FD">
              <w:rPr>
                <w:b/>
                <w:sz w:val="24"/>
                <w:lang w:val="en-US"/>
              </w:rPr>
              <w:t>Product</w:t>
            </w:r>
          </w:p>
        </w:tc>
      </w:tr>
      <w:tr w:rsidR="008A41D8" w:rsidTr="00DC01F5">
        <w:tc>
          <w:tcPr>
            <w:tcW w:w="4484" w:type="dxa"/>
            <w:tcBorders>
              <w:left w:val="single" w:sz="4" w:space="0" w:color="auto"/>
              <w:bottom w:val="single" w:sz="4" w:space="0" w:color="auto"/>
            </w:tcBorders>
            <w:shd w:val="clear" w:color="auto" w:fill="auto"/>
            <w:vAlign w:val="center"/>
          </w:tcPr>
          <w:p w:rsidR="008A41D8" w:rsidRDefault="008A41D8" w:rsidP="00DC01F5">
            <w:pPr>
              <w:spacing w:line="360" w:lineRule="auto"/>
              <w:rPr>
                <w:sz w:val="24"/>
                <w:lang w:val="en-US"/>
              </w:rPr>
            </w:pPr>
            <w:r w:rsidRPr="00AD017F">
              <w:rPr>
                <w:sz w:val="24"/>
                <w:lang w:val="en-US"/>
              </w:rPr>
              <w:t>α-MEM ( alpha-minimum essential media)</w:t>
            </w:r>
          </w:p>
          <w:p w:rsidR="008A41D8" w:rsidRPr="00AD017F" w:rsidRDefault="008A41D8" w:rsidP="00DC01F5">
            <w:pPr>
              <w:spacing w:line="360" w:lineRule="auto"/>
              <w:rPr>
                <w:sz w:val="20"/>
                <w:lang w:val="en-US"/>
              </w:rPr>
            </w:pPr>
            <w:r w:rsidRPr="00AD017F">
              <w:rPr>
                <w:sz w:val="20"/>
                <w:lang w:val="en-US"/>
              </w:rPr>
              <w:t>- L-glutamine</w:t>
            </w:r>
          </w:p>
          <w:p w:rsidR="008A41D8" w:rsidRPr="00AD017F" w:rsidRDefault="008A41D8" w:rsidP="00DC01F5">
            <w:pPr>
              <w:spacing w:line="360" w:lineRule="auto"/>
              <w:rPr>
                <w:sz w:val="20"/>
                <w:lang w:val="en-US"/>
              </w:rPr>
            </w:pPr>
            <w:r w:rsidRPr="00AD017F">
              <w:rPr>
                <w:sz w:val="20"/>
                <w:lang w:val="en-US"/>
              </w:rPr>
              <w:t xml:space="preserve">- </w:t>
            </w:r>
            <w:proofErr w:type="spellStart"/>
            <w:r w:rsidRPr="00AD017F">
              <w:rPr>
                <w:sz w:val="20"/>
                <w:lang w:val="en-US"/>
              </w:rPr>
              <w:t>ribonucleosides</w:t>
            </w:r>
            <w:proofErr w:type="spellEnd"/>
          </w:p>
          <w:p w:rsidR="008A41D8" w:rsidRDefault="008A41D8" w:rsidP="00DC01F5">
            <w:pPr>
              <w:spacing w:line="360" w:lineRule="auto"/>
              <w:rPr>
                <w:sz w:val="24"/>
                <w:lang w:val="en-US"/>
              </w:rPr>
            </w:pPr>
            <w:r w:rsidRPr="00AD017F">
              <w:rPr>
                <w:sz w:val="20"/>
                <w:lang w:val="en-US"/>
              </w:rPr>
              <w:t>-</w:t>
            </w:r>
            <w:proofErr w:type="spellStart"/>
            <w:r w:rsidRPr="00AD017F">
              <w:rPr>
                <w:sz w:val="20"/>
                <w:lang w:val="en-US"/>
              </w:rPr>
              <w:t>deoxyribonucleosides</w:t>
            </w:r>
            <w:proofErr w:type="spellEnd"/>
          </w:p>
        </w:tc>
        <w:tc>
          <w:tcPr>
            <w:tcW w:w="1638"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Pr>
                <w:sz w:val="24"/>
                <w:lang w:val="en-US"/>
              </w:rPr>
              <w:t>-</w:t>
            </w:r>
          </w:p>
        </w:tc>
        <w:tc>
          <w:tcPr>
            <w:tcW w:w="1089"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Pr>
                <w:sz w:val="24"/>
                <w:lang w:val="en-US"/>
              </w:rPr>
              <w:t>x</w:t>
            </w:r>
          </w:p>
        </w:tc>
        <w:tc>
          <w:tcPr>
            <w:tcW w:w="1089"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Pr>
                <w:sz w:val="24"/>
                <w:lang w:val="en-US"/>
              </w:rPr>
              <w:t>x</w:t>
            </w:r>
          </w:p>
        </w:tc>
        <w:tc>
          <w:tcPr>
            <w:tcW w:w="1298" w:type="dxa"/>
            <w:tcBorders>
              <w:top w:val="single" w:sz="4" w:space="0" w:color="auto"/>
              <w:bottom w:val="single" w:sz="4" w:space="0" w:color="auto"/>
              <w:right w:val="single" w:sz="4" w:space="0" w:color="auto"/>
            </w:tcBorders>
            <w:shd w:val="clear" w:color="auto" w:fill="auto"/>
            <w:vAlign w:val="center"/>
          </w:tcPr>
          <w:p w:rsidR="008A41D8" w:rsidRPr="00A9325A" w:rsidRDefault="008A41D8" w:rsidP="00DC01F5">
            <w:pPr>
              <w:spacing w:line="360" w:lineRule="auto"/>
              <w:jc w:val="center"/>
              <w:rPr>
                <w:i/>
                <w:sz w:val="20"/>
                <w:lang w:val="en-US"/>
              </w:rPr>
            </w:pPr>
            <w:r w:rsidRPr="00A9325A">
              <w:rPr>
                <w:i/>
                <w:sz w:val="20"/>
                <w:lang w:val="en-US"/>
              </w:rPr>
              <w:t xml:space="preserve">41061029, </w:t>
            </w:r>
            <w:proofErr w:type="spellStart"/>
            <w:r w:rsidRPr="00A9325A">
              <w:rPr>
                <w:i/>
                <w:sz w:val="20"/>
                <w:lang w:val="en-US"/>
              </w:rPr>
              <w:t>Gibco</w:t>
            </w:r>
            <w:proofErr w:type="spellEnd"/>
          </w:p>
        </w:tc>
      </w:tr>
      <w:tr w:rsidR="008A41D8" w:rsidTr="00DC01F5">
        <w:tc>
          <w:tcPr>
            <w:tcW w:w="4484" w:type="dxa"/>
            <w:tcBorders>
              <w:top w:val="single" w:sz="4" w:space="0" w:color="auto"/>
              <w:left w:val="single" w:sz="4" w:space="0" w:color="auto"/>
              <w:bottom w:val="single" w:sz="4" w:space="0" w:color="auto"/>
            </w:tcBorders>
            <w:shd w:val="clear" w:color="auto" w:fill="auto"/>
            <w:vAlign w:val="center"/>
          </w:tcPr>
          <w:p w:rsidR="008A41D8" w:rsidRDefault="008A41D8" w:rsidP="00DC01F5">
            <w:pPr>
              <w:spacing w:line="360" w:lineRule="auto"/>
              <w:rPr>
                <w:sz w:val="24"/>
                <w:lang w:val="en-US"/>
              </w:rPr>
            </w:pPr>
            <w:r w:rsidRPr="00AD017F">
              <w:rPr>
                <w:sz w:val="24"/>
                <w:lang w:val="en-US"/>
              </w:rPr>
              <w:t>Penicillin/streptomycin</w:t>
            </w:r>
          </w:p>
        </w:tc>
        <w:tc>
          <w:tcPr>
            <w:tcW w:w="1638"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sidRPr="0039701E">
              <w:rPr>
                <w:sz w:val="24"/>
                <w:lang w:val="en-US"/>
              </w:rPr>
              <w:t>1 %</w:t>
            </w:r>
          </w:p>
        </w:tc>
        <w:tc>
          <w:tcPr>
            <w:tcW w:w="1089"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Pr>
                <w:sz w:val="24"/>
                <w:lang w:val="en-US"/>
              </w:rPr>
              <w:t>x</w:t>
            </w:r>
          </w:p>
        </w:tc>
        <w:tc>
          <w:tcPr>
            <w:tcW w:w="1089"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Pr>
                <w:sz w:val="24"/>
                <w:lang w:val="en-US"/>
              </w:rPr>
              <w:t>x</w:t>
            </w:r>
          </w:p>
        </w:tc>
        <w:tc>
          <w:tcPr>
            <w:tcW w:w="1298" w:type="dxa"/>
            <w:tcBorders>
              <w:top w:val="single" w:sz="4" w:space="0" w:color="auto"/>
              <w:bottom w:val="single" w:sz="4" w:space="0" w:color="auto"/>
              <w:right w:val="single" w:sz="4" w:space="0" w:color="auto"/>
            </w:tcBorders>
            <w:shd w:val="clear" w:color="auto" w:fill="auto"/>
            <w:vAlign w:val="center"/>
          </w:tcPr>
          <w:p w:rsidR="008A41D8" w:rsidRPr="00A9325A" w:rsidRDefault="008A41D8" w:rsidP="00DC01F5">
            <w:pPr>
              <w:spacing w:line="360" w:lineRule="auto"/>
              <w:jc w:val="center"/>
              <w:rPr>
                <w:sz w:val="20"/>
                <w:lang w:val="en-US"/>
              </w:rPr>
            </w:pPr>
            <w:r w:rsidRPr="00A9325A">
              <w:rPr>
                <w:sz w:val="20"/>
                <w:lang w:val="en-US"/>
              </w:rPr>
              <w:t xml:space="preserve">15140122, </w:t>
            </w:r>
            <w:proofErr w:type="spellStart"/>
            <w:r w:rsidRPr="00A9325A">
              <w:rPr>
                <w:sz w:val="20"/>
                <w:lang w:val="en-US"/>
              </w:rPr>
              <w:t>Gibco</w:t>
            </w:r>
            <w:proofErr w:type="spellEnd"/>
          </w:p>
        </w:tc>
      </w:tr>
      <w:tr w:rsidR="008A41D8" w:rsidTr="00DC01F5">
        <w:tc>
          <w:tcPr>
            <w:tcW w:w="4484" w:type="dxa"/>
            <w:tcBorders>
              <w:top w:val="single" w:sz="4" w:space="0" w:color="auto"/>
              <w:left w:val="single" w:sz="4" w:space="0" w:color="auto"/>
              <w:bottom w:val="single" w:sz="4" w:space="0" w:color="auto"/>
            </w:tcBorders>
            <w:shd w:val="clear" w:color="auto" w:fill="auto"/>
            <w:vAlign w:val="center"/>
          </w:tcPr>
          <w:p w:rsidR="008A41D8" w:rsidRDefault="008A41D8" w:rsidP="00DC01F5">
            <w:pPr>
              <w:spacing w:line="360" w:lineRule="auto"/>
              <w:rPr>
                <w:sz w:val="24"/>
                <w:lang w:val="en-US"/>
              </w:rPr>
            </w:pPr>
            <w:r w:rsidRPr="00AD017F">
              <w:rPr>
                <w:sz w:val="24"/>
                <w:lang w:val="en-US"/>
              </w:rPr>
              <w:t>FBS</w:t>
            </w:r>
          </w:p>
        </w:tc>
        <w:tc>
          <w:tcPr>
            <w:tcW w:w="1638"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sidRPr="0039701E">
              <w:rPr>
                <w:sz w:val="24"/>
                <w:lang w:val="en-US"/>
              </w:rPr>
              <w:t>10 %</w:t>
            </w:r>
          </w:p>
        </w:tc>
        <w:tc>
          <w:tcPr>
            <w:tcW w:w="1089"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Pr>
                <w:sz w:val="24"/>
                <w:lang w:val="en-US"/>
              </w:rPr>
              <w:t>x</w:t>
            </w:r>
          </w:p>
        </w:tc>
        <w:tc>
          <w:tcPr>
            <w:tcW w:w="1089"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Pr>
                <w:sz w:val="24"/>
                <w:lang w:val="en-US"/>
              </w:rPr>
              <w:t>x</w:t>
            </w:r>
          </w:p>
        </w:tc>
        <w:tc>
          <w:tcPr>
            <w:tcW w:w="1298" w:type="dxa"/>
            <w:tcBorders>
              <w:top w:val="single" w:sz="4" w:space="0" w:color="auto"/>
              <w:bottom w:val="single" w:sz="4" w:space="0" w:color="auto"/>
              <w:right w:val="single" w:sz="4" w:space="0" w:color="auto"/>
            </w:tcBorders>
            <w:shd w:val="clear" w:color="auto" w:fill="auto"/>
            <w:vAlign w:val="center"/>
          </w:tcPr>
          <w:p w:rsidR="008A41D8" w:rsidRPr="00A9325A" w:rsidRDefault="008A41D8" w:rsidP="00DC01F5">
            <w:pPr>
              <w:spacing w:line="360" w:lineRule="auto"/>
              <w:jc w:val="center"/>
              <w:rPr>
                <w:sz w:val="20"/>
                <w:lang w:val="en-US"/>
              </w:rPr>
            </w:pPr>
            <w:r w:rsidRPr="00A9325A">
              <w:rPr>
                <w:sz w:val="20"/>
                <w:lang w:val="en-US"/>
              </w:rPr>
              <w:t xml:space="preserve">160000044, </w:t>
            </w:r>
            <w:proofErr w:type="spellStart"/>
            <w:r w:rsidRPr="00A9325A">
              <w:rPr>
                <w:sz w:val="20"/>
                <w:lang w:val="en-US"/>
              </w:rPr>
              <w:t>Thermo</w:t>
            </w:r>
            <w:proofErr w:type="spellEnd"/>
            <w:r w:rsidRPr="00A9325A">
              <w:rPr>
                <w:sz w:val="20"/>
                <w:lang w:val="en-US"/>
              </w:rPr>
              <w:t xml:space="preserve"> Fisher</w:t>
            </w:r>
          </w:p>
        </w:tc>
      </w:tr>
      <w:tr w:rsidR="008A41D8" w:rsidTr="00DC01F5">
        <w:tc>
          <w:tcPr>
            <w:tcW w:w="4484" w:type="dxa"/>
            <w:tcBorders>
              <w:top w:val="single" w:sz="4" w:space="0" w:color="auto"/>
              <w:left w:val="single" w:sz="4" w:space="0" w:color="auto"/>
              <w:bottom w:val="single" w:sz="4" w:space="0" w:color="auto"/>
            </w:tcBorders>
            <w:shd w:val="clear" w:color="auto" w:fill="auto"/>
            <w:vAlign w:val="center"/>
          </w:tcPr>
          <w:p w:rsidR="008A41D8" w:rsidRDefault="008A41D8" w:rsidP="00DC01F5">
            <w:pPr>
              <w:spacing w:line="360" w:lineRule="auto"/>
              <w:rPr>
                <w:sz w:val="24"/>
                <w:lang w:val="en-US"/>
              </w:rPr>
            </w:pPr>
            <w:r w:rsidRPr="00AD017F">
              <w:rPr>
                <w:sz w:val="24"/>
                <w:lang w:val="en-US"/>
              </w:rPr>
              <w:t>L-ascorbic acid</w:t>
            </w:r>
          </w:p>
        </w:tc>
        <w:tc>
          <w:tcPr>
            <w:tcW w:w="1638" w:type="dxa"/>
            <w:tcBorders>
              <w:top w:val="single" w:sz="4" w:space="0" w:color="auto"/>
              <w:bottom w:val="single" w:sz="4" w:space="0" w:color="auto"/>
            </w:tcBorders>
            <w:shd w:val="clear" w:color="auto" w:fill="auto"/>
            <w:vAlign w:val="center"/>
          </w:tcPr>
          <w:p w:rsidR="008A41D8" w:rsidRDefault="00E33BFF" w:rsidP="00DC01F5">
            <w:pPr>
              <w:spacing w:line="360" w:lineRule="auto"/>
              <w:jc w:val="center"/>
              <w:rPr>
                <w:sz w:val="24"/>
                <w:lang w:val="en-US"/>
              </w:rPr>
            </w:pPr>
            <w:r>
              <w:rPr>
                <w:sz w:val="24"/>
                <w:lang w:val="en-US"/>
              </w:rPr>
              <w:t>0.</w:t>
            </w:r>
            <w:r w:rsidR="008A41D8" w:rsidRPr="0039701E">
              <w:rPr>
                <w:sz w:val="24"/>
                <w:lang w:val="en-US"/>
              </w:rPr>
              <w:t xml:space="preserve">05 </w:t>
            </w:r>
            <w:proofErr w:type="spellStart"/>
            <w:r w:rsidR="008A41D8" w:rsidRPr="0039701E">
              <w:rPr>
                <w:sz w:val="24"/>
                <w:lang w:val="en-US"/>
              </w:rPr>
              <w:t>mM</w:t>
            </w:r>
            <w:proofErr w:type="spellEnd"/>
          </w:p>
        </w:tc>
        <w:tc>
          <w:tcPr>
            <w:tcW w:w="1089"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Pr>
                <w:sz w:val="24"/>
                <w:lang w:val="en-US"/>
              </w:rPr>
              <w:t>x</w:t>
            </w:r>
          </w:p>
        </w:tc>
        <w:tc>
          <w:tcPr>
            <w:tcW w:w="1089"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Pr>
                <w:sz w:val="24"/>
                <w:lang w:val="en-US"/>
              </w:rPr>
              <w:t>x</w:t>
            </w:r>
          </w:p>
        </w:tc>
        <w:tc>
          <w:tcPr>
            <w:tcW w:w="1298" w:type="dxa"/>
            <w:tcBorders>
              <w:top w:val="single" w:sz="4" w:space="0" w:color="auto"/>
              <w:bottom w:val="single" w:sz="4" w:space="0" w:color="auto"/>
              <w:right w:val="single" w:sz="4" w:space="0" w:color="auto"/>
            </w:tcBorders>
            <w:shd w:val="clear" w:color="auto" w:fill="auto"/>
            <w:vAlign w:val="center"/>
          </w:tcPr>
          <w:p w:rsidR="008A41D8" w:rsidRPr="00A9325A" w:rsidRDefault="008A41D8" w:rsidP="00DC01F5">
            <w:pPr>
              <w:spacing w:line="360" w:lineRule="auto"/>
              <w:jc w:val="center"/>
              <w:rPr>
                <w:sz w:val="20"/>
                <w:lang w:val="en-US"/>
              </w:rPr>
            </w:pPr>
            <w:r w:rsidRPr="00A9325A">
              <w:rPr>
                <w:sz w:val="20"/>
                <w:lang w:val="en-US"/>
              </w:rPr>
              <w:t>A4544-25g, Sigma</w:t>
            </w:r>
          </w:p>
        </w:tc>
      </w:tr>
      <w:tr w:rsidR="008A41D8" w:rsidTr="00DC01F5">
        <w:tc>
          <w:tcPr>
            <w:tcW w:w="4484" w:type="dxa"/>
            <w:tcBorders>
              <w:top w:val="single" w:sz="4" w:space="0" w:color="auto"/>
              <w:left w:val="single" w:sz="4" w:space="0" w:color="auto"/>
              <w:bottom w:val="single" w:sz="4" w:space="0" w:color="auto"/>
            </w:tcBorders>
            <w:shd w:val="clear" w:color="auto" w:fill="auto"/>
            <w:vAlign w:val="center"/>
          </w:tcPr>
          <w:p w:rsidR="008A41D8" w:rsidRDefault="008A41D8" w:rsidP="00DC01F5">
            <w:pPr>
              <w:spacing w:line="360" w:lineRule="auto"/>
              <w:rPr>
                <w:sz w:val="24"/>
                <w:lang w:val="en-US"/>
              </w:rPr>
            </w:pPr>
            <w:r w:rsidRPr="00AD017F">
              <w:rPr>
                <w:sz w:val="24"/>
                <w:lang w:val="en-US"/>
              </w:rPr>
              <w:t>β-</w:t>
            </w:r>
            <w:proofErr w:type="spellStart"/>
            <w:r w:rsidRPr="00AD017F">
              <w:rPr>
                <w:sz w:val="24"/>
                <w:lang w:val="en-US"/>
              </w:rPr>
              <w:t>glycerophosphate</w:t>
            </w:r>
            <w:proofErr w:type="spellEnd"/>
          </w:p>
        </w:tc>
        <w:tc>
          <w:tcPr>
            <w:tcW w:w="1638"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sidRPr="0039701E">
              <w:rPr>
                <w:sz w:val="24"/>
                <w:lang w:val="en-US"/>
              </w:rPr>
              <w:t xml:space="preserve">10 </w:t>
            </w:r>
            <w:proofErr w:type="spellStart"/>
            <w:r w:rsidRPr="0039701E">
              <w:rPr>
                <w:sz w:val="24"/>
                <w:lang w:val="en-US"/>
              </w:rPr>
              <w:t>mM</w:t>
            </w:r>
            <w:proofErr w:type="spellEnd"/>
          </w:p>
        </w:tc>
        <w:tc>
          <w:tcPr>
            <w:tcW w:w="1089"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Pr>
                <w:sz w:val="24"/>
                <w:lang w:val="en-US"/>
              </w:rPr>
              <w:t>x</w:t>
            </w:r>
          </w:p>
        </w:tc>
        <w:tc>
          <w:tcPr>
            <w:tcW w:w="1089"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Pr>
                <w:sz w:val="24"/>
                <w:lang w:val="en-US"/>
              </w:rPr>
              <w:t>x</w:t>
            </w:r>
          </w:p>
        </w:tc>
        <w:tc>
          <w:tcPr>
            <w:tcW w:w="1298" w:type="dxa"/>
            <w:tcBorders>
              <w:top w:val="single" w:sz="4" w:space="0" w:color="auto"/>
              <w:bottom w:val="single" w:sz="4" w:space="0" w:color="auto"/>
              <w:right w:val="single" w:sz="4" w:space="0" w:color="auto"/>
            </w:tcBorders>
            <w:shd w:val="clear" w:color="auto" w:fill="auto"/>
            <w:vAlign w:val="center"/>
          </w:tcPr>
          <w:p w:rsidR="008A41D8" w:rsidRPr="00A9325A" w:rsidRDefault="008A41D8" w:rsidP="00DC01F5">
            <w:pPr>
              <w:spacing w:line="360" w:lineRule="auto"/>
              <w:jc w:val="center"/>
              <w:rPr>
                <w:sz w:val="20"/>
                <w:lang w:val="en-US"/>
              </w:rPr>
            </w:pPr>
            <w:r w:rsidRPr="00A9325A">
              <w:rPr>
                <w:sz w:val="20"/>
                <w:lang w:val="en-US"/>
              </w:rPr>
              <w:t>G9422-50g, Sigma</w:t>
            </w:r>
          </w:p>
        </w:tc>
      </w:tr>
      <w:tr w:rsidR="008A41D8" w:rsidTr="00DC01F5">
        <w:tc>
          <w:tcPr>
            <w:tcW w:w="4484" w:type="dxa"/>
            <w:vMerge w:val="restart"/>
            <w:tcBorders>
              <w:top w:val="single" w:sz="4" w:space="0" w:color="auto"/>
              <w:left w:val="single" w:sz="4" w:space="0" w:color="auto"/>
            </w:tcBorders>
            <w:shd w:val="clear" w:color="auto" w:fill="auto"/>
            <w:vAlign w:val="center"/>
          </w:tcPr>
          <w:p w:rsidR="008A41D8" w:rsidRDefault="008A41D8" w:rsidP="00DC01F5">
            <w:pPr>
              <w:spacing w:line="360" w:lineRule="auto"/>
              <w:rPr>
                <w:sz w:val="24"/>
                <w:lang w:val="en-US"/>
              </w:rPr>
            </w:pPr>
            <w:r w:rsidRPr="00AD017F">
              <w:rPr>
                <w:sz w:val="24"/>
                <w:lang w:val="en-US"/>
              </w:rPr>
              <w:t>Dexamethasone</w:t>
            </w:r>
          </w:p>
        </w:tc>
        <w:tc>
          <w:tcPr>
            <w:tcW w:w="1638"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sidRPr="0039701E">
              <w:rPr>
                <w:sz w:val="24"/>
                <w:lang w:val="en-US"/>
              </w:rPr>
              <w:t xml:space="preserve">100 </w:t>
            </w:r>
            <w:proofErr w:type="spellStart"/>
            <w:r w:rsidRPr="0039701E">
              <w:rPr>
                <w:sz w:val="24"/>
                <w:lang w:val="en-US"/>
              </w:rPr>
              <w:t>nM</w:t>
            </w:r>
            <w:proofErr w:type="spellEnd"/>
          </w:p>
        </w:tc>
        <w:tc>
          <w:tcPr>
            <w:tcW w:w="1089"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Pr>
                <w:sz w:val="24"/>
                <w:lang w:val="en-US"/>
              </w:rPr>
              <w:t>x</w:t>
            </w:r>
          </w:p>
        </w:tc>
        <w:tc>
          <w:tcPr>
            <w:tcW w:w="1089"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p>
        </w:tc>
        <w:tc>
          <w:tcPr>
            <w:tcW w:w="1298" w:type="dxa"/>
            <w:vMerge w:val="restart"/>
            <w:tcBorders>
              <w:top w:val="single" w:sz="4" w:space="0" w:color="auto"/>
              <w:right w:val="single" w:sz="4" w:space="0" w:color="auto"/>
            </w:tcBorders>
            <w:shd w:val="clear" w:color="auto" w:fill="auto"/>
            <w:vAlign w:val="center"/>
          </w:tcPr>
          <w:p w:rsidR="008A41D8" w:rsidRPr="00A9325A" w:rsidRDefault="008A41D8" w:rsidP="00DC01F5">
            <w:pPr>
              <w:spacing w:line="360" w:lineRule="auto"/>
              <w:jc w:val="center"/>
              <w:rPr>
                <w:sz w:val="20"/>
                <w:lang w:val="en-US"/>
              </w:rPr>
            </w:pPr>
            <w:r w:rsidRPr="00A9325A">
              <w:rPr>
                <w:sz w:val="20"/>
                <w:lang w:val="en-US"/>
              </w:rPr>
              <w:t>D8893-1MG, Sigma Aldrich</w:t>
            </w:r>
          </w:p>
        </w:tc>
      </w:tr>
      <w:tr w:rsidR="008A41D8" w:rsidTr="00DC01F5">
        <w:tc>
          <w:tcPr>
            <w:tcW w:w="4484" w:type="dxa"/>
            <w:vMerge/>
            <w:tcBorders>
              <w:left w:val="single" w:sz="4" w:space="0" w:color="auto"/>
              <w:bottom w:val="single" w:sz="4" w:space="0" w:color="auto"/>
            </w:tcBorders>
            <w:shd w:val="clear" w:color="auto" w:fill="auto"/>
          </w:tcPr>
          <w:p w:rsidR="008A41D8" w:rsidRDefault="008A41D8" w:rsidP="00DC01F5">
            <w:pPr>
              <w:spacing w:line="360" w:lineRule="auto"/>
              <w:jc w:val="both"/>
              <w:rPr>
                <w:sz w:val="24"/>
                <w:lang w:val="en-US"/>
              </w:rPr>
            </w:pPr>
          </w:p>
        </w:tc>
        <w:tc>
          <w:tcPr>
            <w:tcW w:w="1638" w:type="dxa"/>
            <w:tcBorders>
              <w:top w:val="single" w:sz="4" w:space="0" w:color="auto"/>
              <w:bottom w:val="single" w:sz="4" w:space="0" w:color="auto"/>
            </w:tcBorders>
            <w:shd w:val="clear" w:color="auto" w:fill="auto"/>
          </w:tcPr>
          <w:p w:rsidR="008A41D8" w:rsidRDefault="008A41D8" w:rsidP="00DC01F5">
            <w:pPr>
              <w:spacing w:line="360" w:lineRule="auto"/>
              <w:jc w:val="center"/>
              <w:rPr>
                <w:sz w:val="24"/>
                <w:lang w:val="en-US"/>
              </w:rPr>
            </w:pPr>
            <w:r w:rsidRPr="0039701E">
              <w:rPr>
                <w:sz w:val="24"/>
                <w:lang w:val="en-US"/>
              </w:rPr>
              <w:t xml:space="preserve">10 </w:t>
            </w:r>
            <w:proofErr w:type="spellStart"/>
            <w:r w:rsidRPr="0039701E">
              <w:rPr>
                <w:sz w:val="24"/>
                <w:lang w:val="en-US"/>
              </w:rPr>
              <w:t>nM</w:t>
            </w:r>
            <w:proofErr w:type="spellEnd"/>
          </w:p>
        </w:tc>
        <w:tc>
          <w:tcPr>
            <w:tcW w:w="1089"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p>
        </w:tc>
        <w:tc>
          <w:tcPr>
            <w:tcW w:w="1089" w:type="dxa"/>
            <w:tcBorders>
              <w:top w:val="single" w:sz="4" w:space="0" w:color="auto"/>
              <w:bottom w:val="single" w:sz="4" w:space="0" w:color="auto"/>
            </w:tcBorders>
            <w:shd w:val="clear" w:color="auto" w:fill="auto"/>
            <w:vAlign w:val="center"/>
          </w:tcPr>
          <w:p w:rsidR="008A41D8" w:rsidRDefault="008A41D8" w:rsidP="00DC01F5">
            <w:pPr>
              <w:spacing w:line="360" w:lineRule="auto"/>
              <w:jc w:val="center"/>
              <w:rPr>
                <w:sz w:val="24"/>
                <w:lang w:val="en-US"/>
              </w:rPr>
            </w:pPr>
            <w:r>
              <w:rPr>
                <w:sz w:val="24"/>
                <w:lang w:val="en-US"/>
              </w:rPr>
              <w:t>x</w:t>
            </w:r>
          </w:p>
        </w:tc>
        <w:tc>
          <w:tcPr>
            <w:tcW w:w="1298" w:type="dxa"/>
            <w:vMerge/>
            <w:tcBorders>
              <w:bottom w:val="single" w:sz="4" w:space="0" w:color="auto"/>
              <w:right w:val="single" w:sz="4" w:space="0" w:color="auto"/>
            </w:tcBorders>
            <w:shd w:val="clear" w:color="auto" w:fill="auto"/>
          </w:tcPr>
          <w:p w:rsidR="008A41D8" w:rsidRDefault="008A41D8" w:rsidP="00DC01F5">
            <w:pPr>
              <w:spacing w:line="360" w:lineRule="auto"/>
              <w:jc w:val="both"/>
              <w:rPr>
                <w:sz w:val="24"/>
                <w:lang w:val="en-US"/>
              </w:rPr>
            </w:pPr>
          </w:p>
        </w:tc>
      </w:tr>
    </w:tbl>
    <w:p w:rsidR="008A41D8" w:rsidRDefault="008A41D8" w:rsidP="0050187D">
      <w:pPr>
        <w:spacing w:line="360" w:lineRule="auto"/>
        <w:jc w:val="both"/>
        <w:rPr>
          <w:sz w:val="28"/>
          <w:lang w:val="en-US"/>
        </w:rPr>
      </w:pPr>
    </w:p>
    <w:p w:rsidR="008A41D8" w:rsidRDefault="008A41D8" w:rsidP="0050187D">
      <w:pPr>
        <w:spacing w:line="360" w:lineRule="auto"/>
        <w:jc w:val="both"/>
        <w:rPr>
          <w:sz w:val="28"/>
          <w:lang w:val="en-US"/>
        </w:rPr>
      </w:pPr>
    </w:p>
    <w:p w:rsidR="008A41D8" w:rsidRDefault="008A41D8" w:rsidP="0050187D">
      <w:pPr>
        <w:spacing w:line="360" w:lineRule="auto"/>
        <w:jc w:val="both"/>
        <w:rPr>
          <w:sz w:val="28"/>
          <w:lang w:val="en-US"/>
        </w:rPr>
      </w:pPr>
    </w:p>
    <w:p w:rsidR="008A41D8" w:rsidRDefault="008A41D8" w:rsidP="0050187D">
      <w:pPr>
        <w:spacing w:line="360" w:lineRule="auto"/>
        <w:jc w:val="both"/>
        <w:rPr>
          <w:sz w:val="28"/>
          <w:lang w:val="en-US"/>
        </w:rPr>
      </w:pPr>
    </w:p>
    <w:p w:rsidR="008A41D8" w:rsidRDefault="008A41D8" w:rsidP="0050187D">
      <w:pPr>
        <w:spacing w:line="360" w:lineRule="auto"/>
        <w:jc w:val="both"/>
        <w:rPr>
          <w:sz w:val="28"/>
          <w:lang w:val="en-US"/>
        </w:rPr>
      </w:pPr>
    </w:p>
    <w:p w:rsidR="008A41D8" w:rsidRDefault="008A41D8" w:rsidP="0050187D">
      <w:pPr>
        <w:spacing w:line="360" w:lineRule="auto"/>
        <w:jc w:val="both"/>
        <w:rPr>
          <w:sz w:val="28"/>
          <w:lang w:val="en-US"/>
        </w:rPr>
      </w:pPr>
    </w:p>
    <w:p w:rsidR="008A41D8" w:rsidRDefault="008A41D8" w:rsidP="0050187D">
      <w:pPr>
        <w:spacing w:line="360" w:lineRule="auto"/>
        <w:jc w:val="both"/>
        <w:rPr>
          <w:sz w:val="28"/>
          <w:lang w:val="en-US"/>
        </w:rPr>
      </w:pPr>
    </w:p>
    <w:p w:rsidR="008A41D8" w:rsidRDefault="008A41D8" w:rsidP="0050187D">
      <w:pPr>
        <w:spacing w:line="360" w:lineRule="auto"/>
        <w:jc w:val="both"/>
        <w:rPr>
          <w:sz w:val="28"/>
          <w:lang w:val="en-US"/>
        </w:rPr>
      </w:pPr>
    </w:p>
    <w:p w:rsidR="008A41D8" w:rsidRDefault="008A41D8" w:rsidP="0050187D">
      <w:pPr>
        <w:spacing w:line="360" w:lineRule="auto"/>
        <w:jc w:val="both"/>
        <w:rPr>
          <w:sz w:val="28"/>
          <w:lang w:val="en-US"/>
        </w:rPr>
      </w:pPr>
    </w:p>
    <w:p w:rsidR="008A41D8" w:rsidRDefault="008A41D8" w:rsidP="0050187D">
      <w:pPr>
        <w:spacing w:line="360" w:lineRule="auto"/>
        <w:jc w:val="both"/>
        <w:rPr>
          <w:sz w:val="28"/>
          <w:lang w:val="en-US"/>
        </w:rPr>
      </w:pPr>
    </w:p>
    <w:p w:rsidR="0042775C" w:rsidRPr="00C76552" w:rsidRDefault="0042775C" w:rsidP="0050187D">
      <w:pPr>
        <w:spacing w:line="360" w:lineRule="auto"/>
        <w:jc w:val="both"/>
        <w:rPr>
          <w:b/>
          <w:sz w:val="28"/>
          <w:lang w:val="en-US"/>
        </w:rPr>
      </w:pPr>
      <w:r w:rsidRPr="00C76552">
        <w:rPr>
          <w:b/>
          <w:sz w:val="28"/>
          <w:lang w:val="en-US"/>
        </w:rPr>
        <w:lastRenderedPageBreak/>
        <w:t xml:space="preserve">RNA </w:t>
      </w:r>
      <w:proofErr w:type="spellStart"/>
      <w:r w:rsidRPr="00C76552">
        <w:rPr>
          <w:b/>
          <w:sz w:val="28"/>
          <w:lang w:val="en-US"/>
        </w:rPr>
        <w:t>seq</w:t>
      </w:r>
      <w:proofErr w:type="spellEnd"/>
      <w:r w:rsidRPr="00C76552">
        <w:rPr>
          <w:b/>
          <w:sz w:val="28"/>
          <w:lang w:val="en-US"/>
        </w:rPr>
        <w:t xml:space="preserve"> </w:t>
      </w:r>
    </w:p>
    <w:p w:rsidR="0042775C" w:rsidRPr="0042775C" w:rsidRDefault="0042775C" w:rsidP="0050187D">
      <w:pPr>
        <w:spacing w:line="360" w:lineRule="auto"/>
        <w:jc w:val="both"/>
        <w:rPr>
          <w:sz w:val="24"/>
          <w:u w:val="single"/>
          <w:lang w:val="en-US"/>
        </w:rPr>
      </w:pPr>
      <w:r w:rsidRPr="0042775C">
        <w:rPr>
          <w:sz w:val="24"/>
          <w:u w:val="single"/>
          <w:lang w:val="en-US"/>
        </w:rPr>
        <w:t>Alignment and gene counting</w:t>
      </w:r>
    </w:p>
    <w:p w:rsidR="00B4406F" w:rsidRPr="00AB0E6B" w:rsidRDefault="0050187D" w:rsidP="0050187D">
      <w:pPr>
        <w:spacing w:line="360" w:lineRule="auto"/>
        <w:jc w:val="both"/>
        <w:rPr>
          <w:sz w:val="24"/>
          <w:lang w:val="en-US"/>
        </w:rPr>
      </w:pPr>
      <w:r w:rsidRPr="00AB0E6B">
        <w:rPr>
          <w:sz w:val="24"/>
          <w:lang w:val="en-US"/>
        </w:rPr>
        <w:t>The RNA-</w:t>
      </w:r>
      <w:proofErr w:type="spellStart"/>
      <w:r w:rsidRPr="00AB0E6B">
        <w:rPr>
          <w:sz w:val="24"/>
          <w:lang w:val="en-US"/>
        </w:rPr>
        <w:t>seq</w:t>
      </w:r>
      <w:proofErr w:type="spellEnd"/>
      <w:r w:rsidRPr="00AB0E6B">
        <w:rPr>
          <w:sz w:val="24"/>
          <w:lang w:val="en-US"/>
        </w:rPr>
        <w:t xml:space="preserve"> libraries were generated with the Illumina </w:t>
      </w:r>
      <w:proofErr w:type="spellStart"/>
      <w:r w:rsidRPr="00AB0E6B">
        <w:rPr>
          <w:sz w:val="24"/>
          <w:lang w:val="en-US"/>
        </w:rPr>
        <w:t>TruSeq</w:t>
      </w:r>
      <w:proofErr w:type="spellEnd"/>
      <w:r w:rsidRPr="00AB0E6B">
        <w:rPr>
          <w:sz w:val="24"/>
          <w:lang w:val="en-US"/>
        </w:rPr>
        <w:t xml:space="preserve"> Stranded mRNA kit, as strand-specific </w:t>
      </w:r>
      <w:proofErr w:type="gramStart"/>
      <w:r w:rsidRPr="00AB0E6B">
        <w:rPr>
          <w:sz w:val="24"/>
          <w:lang w:val="en-US"/>
        </w:rPr>
        <w:t>poly(</w:t>
      </w:r>
      <w:proofErr w:type="gramEnd"/>
      <w:r w:rsidRPr="00AB0E6B">
        <w:rPr>
          <w:sz w:val="24"/>
          <w:lang w:val="en-US"/>
        </w:rPr>
        <w:t>A)-selected libraries, sequenced to 150-bp paired-end reads. Total sample was 32. Samples were sequenced on NovaSeq6000 (</w:t>
      </w:r>
      <w:proofErr w:type="spellStart"/>
      <w:r w:rsidRPr="00AB0E6B">
        <w:rPr>
          <w:sz w:val="24"/>
          <w:lang w:val="en-US"/>
        </w:rPr>
        <w:t>NovaSeq</w:t>
      </w:r>
      <w:proofErr w:type="spellEnd"/>
      <w:r w:rsidRPr="00AB0E6B">
        <w:rPr>
          <w:sz w:val="24"/>
          <w:lang w:val="en-US"/>
        </w:rPr>
        <w:t xml:space="preserve"> Control Software 1.7.5/RTA v3.4.4) with a </w:t>
      </w:r>
      <w:proofErr w:type="gramStart"/>
      <w:r w:rsidRPr="00AB0E6B">
        <w:rPr>
          <w:sz w:val="24"/>
          <w:lang w:val="en-US"/>
        </w:rPr>
        <w:t>151nt(</w:t>
      </w:r>
      <w:proofErr w:type="gramEnd"/>
      <w:r w:rsidRPr="00AB0E6B">
        <w:rPr>
          <w:sz w:val="24"/>
          <w:lang w:val="en-US"/>
        </w:rPr>
        <w:t>Read1) 10nt(Index1)-10nt(Index2)-151nt(Read2) setup using '</w:t>
      </w:r>
      <w:proofErr w:type="spellStart"/>
      <w:r w:rsidRPr="00AB0E6B">
        <w:rPr>
          <w:sz w:val="24"/>
          <w:lang w:val="en-US"/>
        </w:rPr>
        <w:t>NovaSeqXp</w:t>
      </w:r>
      <w:proofErr w:type="spellEnd"/>
      <w:r w:rsidRPr="00AB0E6B">
        <w:rPr>
          <w:sz w:val="24"/>
          <w:lang w:val="en-US"/>
        </w:rPr>
        <w:t xml:space="preserve">' workflow in 'S4' mode </w:t>
      </w:r>
      <w:proofErr w:type="spellStart"/>
      <w:r w:rsidRPr="00AB0E6B">
        <w:rPr>
          <w:sz w:val="24"/>
          <w:lang w:val="en-US"/>
        </w:rPr>
        <w:t>flowcell</w:t>
      </w:r>
      <w:proofErr w:type="spellEnd"/>
      <w:r w:rsidRPr="00AB0E6B">
        <w:rPr>
          <w:sz w:val="24"/>
          <w:lang w:val="en-US"/>
        </w:rPr>
        <w:t xml:space="preserve">. The </w:t>
      </w:r>
      <w:proofErr w:type="spellStart"/>
      <w:r w:rsidRPr="00AB0E6B">
        <w:rPr>
          <w:sz w:val="24"/>
          <w:lang w:val="en-US"/>
        </w:rPr>
        <w:t>Bcl</w:t>
      </w:r>
      <w:proofErr w:type="spellEnd"/>
      <w:r w:rsidRPr="00AB0E6B">
        <w:rPr>
          <w:sz w:val="24"/>
          <w:lang w:val="en-US"/>
        </w:rPr>
        <w:t xml:space="preserve"> to </w:t>
      </w:r>
      <w:proofErr w:type="spellStart"/>
      <w:r w:rsidRPr="00AB0E6B">
        <w:rPr>
          <w:sz w:val="24"/>
          <w:lang w:val="en-US"/>
        </w:rPr>
        <w:t>FastQ</w:t>
      </w:r>
      <w:proofErr w:type="spellEnd"/>
      <w:r w:rsidRPr="00AB0E6B">
        <w:rPr>
          <w:sz w:val="24"/>
          <w:lang w:val="en-US"/>
        </w:rPr>
        <w:t xml:space="preserve"> conversion </w:t>
      </w:r>
      <w:proofErr w:type="gramStart"/>
      <w:r w:rsidRPr="00AB0E6B">
        <w:rPr>
          <w:sz w:val="24"/>
          <w:lang w:val="en-US"/>
        </w:rPr>
        <w:t>was performed</w:t>
      </w:r>
      <w:proofErr w:type="gramEnd"/>
      <w:r w:rsidRPr="00AB0E6B">
        <w:rPr>
          <w:sz w:val="24"/>
          <w:lang w:val="en-US"/>
        </w:rPr>
        <w:t xml:space="preserve"> using bcl2fastq_v2.20.0.422 from the CASAVA software suite. The quality scale used is Sanger / phred33 / Illumina 1.8+.</w:t>
      </w:r>
    </w:p>
    <w:p w:rsidR="0050187D" w:rsidRPr="00AB0E6B" w:rsidRDefault="0050187D" w:rsidP="0050187D">
      <w:pPr>
        <w:spacing w:line="360" w:lineRule="auto"/>
        <w:jc w:val="both"/>
        <w:rPr>
          <w:sz w:val="24"/>
          <w:lang w:val="en-US"/>
        </w:rPr>
      </w:pPr>
      <w:r w:rsidRPr="00AB0E6B">
        <w:rPr>
          <w:sz w:val="24"/>
          <w:lang w:val="en-US"/>
        </w:rPr>
        <w:t xml:space="preserve">Trimming </w:t>
      </w:r>
      <w:proofErr w:type="gramStart"/>
      <w:r w:rsidRPr="00AB0E6B">
        <w:rPr>
          <w:sz w:val="24"/>
          <w:lang w:val="en-US"/>
        </w:rPr>
        <w:t>was perfo</w:t>
      </w:r>
      <w:r w:rsidR="00A77B0E">
        <w:rPr>
          <w:sz w:val="24"/>
          <w:lang w:val="en-US"/>
        </w:rPr>
        <w:t>rmed</w:t>
      </w:r>
      <w:proofErr w:type="gramEnd"/>
      <w:r w:rsidR="00A77B0E">
        <w:rPr>
          <w:sz w:val="24"/>
          <w:lang w:val="en-US"/>
        </w:rPr>
        <w:t xml:space="preserve"> with </w:t>
      </w:r>
      <w:proofErr w:type="spellStart"/>
      <w:r w:rsidR="00A77B0E">
        <w:rPr>
          <w:sz w:val="24"/>
          <w:lang w:val="en-US"/>
        </w:rPr>
        <w:t>Cutadapt</w:t>
      </w:r>
      <w:proofErr w:type="spellEnd"/>
      <w:r w:rsidR="00A77B0E">
        <w:rPr>
          <w:sz w:val="24"/>
          <w:lang w:val="en-US"/>
        </w:rPr>
        <w:t xml:space="preserve"> [Martin, 2011</w:t>
      </w:r>
      <w:r w:rsidRPr="00AB0E6B">
        <w:rPr>
          <w:sz w:val="24"/>
          <w:lang w:val="en-US"/>
        </w:rPr>
        <w:t>]. Trimmed RNA-</w:t>
      </w:r>
      <w:proofErr w:type="spellStart"/>
      <w:r w:rsidRPr="00AB0E6B">
        <w:rPr>
          <w:sz w:val="24"/>
          <w:lang w:val="en-US"/>
        </w:rPr>
        <w:t>seq</w:t>
      </w:r>
      <w:proofErr w:type="spellEnd"/>
      <w:r w:rsidRPr="00AB0E6B">
        <w:rPr>
          <w:sz w:val="24"/>
          <w:lang w:val="en-US"/>
        </w:rPr>
        <w:t xml:space="preserve"> reads </w:t>
      </w:r>
      <w:proofErr w:type="gramStart"/>
      <w:r w:rsidRPr="00AB0E6B">
        <w:rPr>
          <w:sz w:val="24"/>
          <w:lang w:val="en-US"/>
        </w:rPr>
        <w:t>were aligned</w:t>
      </w:r>
      <w:proofErr w:type="gramEnd"/>
      <w:r w:rsidRPr="00AB0E6B">
        <w:rPr>
          <w:sz w:val="24"/>
          <w:lang w:val="en-US"/>
        </w:rPr>
        <w:t xml:space="preserve"> to the human reference genome GRCh38 </w:t>
      </w:r>
      <w:r w:rsidR="00A77B0E">
        <w:rPr>
          <w:sz w:val="24"/>
          <w:lang w:val="en-US"/>
        </w:rPr>
        <w:t>using STAR [</w:t>
      </w:r>
      <w:proofErr w:type="spellStart"/>
      <w:r w:rsidR="00A77B0E">
        <w:rPr>
          <w:sz w:val="24"/>
          <w:lang w:val="en-US"/>
        </w:rPr>
        <w:t>Dobin</w:t>
      </w:r>
      <w:proofErr w:type="spellEnd"/>
      <w:r w:rsidR="00A77B0E">
        <w:rPr>
          <w:sz w:val="24"/>
          <w:lang w:val="en-US"/>
        </w:rPr>
        <w:t xml:space="preserve"> et al., 2013</w:t>
      </w:r>
      <w:r w:rsidRPr="00AB0E6B">
        <w:rPr>
          <w:sz w:val="24"/>
          <w:lang w:val="en-US"/>
        </w:rPr>
        <w:t xml:space="preserve">]. Duplicate-marked and sorted aligned bam files were used gene counting. Gene-level read counts </w:t>
      </w:r>
      <w:proofErr w:type="gramStart"/>
      <w:r w:rsidRPr="00AB0E6B">
        <w:rPr>
          <w:sz w:val="24"/>
          <w:lang w:val="en-US"/>
        </w:rPr>
        <w:t>were obtained</w:t>
      </w:r>
      <w:proofErr w:type="gramEnd"/>
      <w:r w:rsidRPr="00AB0E6B">
        <w:rPr>
          <w:sz w:val="24"/>
          <w:lang w:val="en-US"/>
        </w:rPr>
        <w:t xml:space="preserve"> using </w:t>
      </w:r>
      <w:proofErr w:type="spellStart"/>
      <w:r w:rsidRPr="00AB0E6B">
        <w:rPr>
          <w:sz w:val="24"/>
          <w:lang w:val="en-US"/>
        </w:rPr>
        <w:t>htseq</w:t>
      </w:r>
      <w:proofErr w:type="spellEnd"/>
      <w:r w:rsidRPr="00AB0E6B">
        <w:rPr>
          <w:sz w:val="24"/>
          <w:lang w:val="en-US"/>
        </w:rPr>
        <w:t>-</w:t>
      </w:r>
      <w:r w:rsidR="00A77B0E">
        <w:rPr>
          <w:sz w:val="24"/>
          <w:lang w:val="en-US"/>
        </w:rPr>
        <w:t>count [</w:t>
      </w:r>
      <w:proofErr w:type="spellStart"/>
      <w:r w:rsidR="00A77B0E">
        <w:rPr>
          <w:sz w:val="24"/>
          <w:lang w:val="en-US"/>
        </w:rPr>
        <w:t>Putri</w:t>
      </w:r>
      <w:proofErr w:type="spellEnd"/>
      <w:r w:rsidR="00A77B0E">
        <w:rPr>
          <w:sz w:val="24"/>
          <w:lang w:val="en-US"/>
        </w:rPr>
        <w:t xml:space="preserve"> et al., 2021</w:t>
      </w:r>
      <w:r w:rsidRPr="00AB0E6B">
        <w:rPr>
          <w:sz w:val="24"/>
          <w:lang w:val="en-US"/>
        </w:rPr>
        <w:t>] with union mode and --stranded reverse parameter, with transcriptome annotation GTF file version GRCh38.99.</w:t>
      </w:r>
    </w:p>
    <w:p w:rsidR="002C6BDF" w:rsidRDefault="002C6BDF" w:rsidP="0050187D">
      <w:pPr>
        <w:spacing w:line="360" w:lineRule="auto"/>
        <w:jc w:val="both"/>
        <w:rPr>
          <w:sz w:val="24"/>
          <w:u w:val="single"/>
          <w:lang w:val="en-US"/>
        </w:rPr>
      </w:pPr>
      <w:r w:rsidRPr="002C6BDF">
        <w:rPr>
          <w:sz w:val="24"/>
          <w:u w:val="single"/>
          <w:lang w:val="en-US"/>
        </w:rPr>
        <w:t xml:space="preserve">Expression levels of marker genes </w:t>
      </w:r>
    </w:p>
    <w:p w:rsidR="002C6BDF" w:rsidRPr="00AB0E6B" w:rsidRDefault="002C6BDF" w:rsidP="0050187D">
      <w:pPr>
        <w:spacing w:line="360" w:lineRule="auto"/>
        <w:jc w:val="both"/>
        <w:rPr>
          <w:sz w:val="24"/>
          <w:lang w:val="en-US"/>
        </w:rPr>
      </w:pPr>
      <w:r w:rsidRPr="00AB0E6B">
        <w:rPr>
          <w:sz w:val="24"/>
          <w:lang w:val="en-US"/>
        </w:rPr>
        <w:t xml:space="preserve">Normalized CPM values were computed by first using function </w:t>
      </w:r>
      <w:proofErr w:type="spellStart"/>
      <w:r w:rsidRPr="00AB0E6B">
        <w:rPr>
          <w:sz w:val="24"/>
          <w:lang w:val="en-US"/>
        </w:rPr>
        <w:t>calcNormFactors</w:t>
      </w:r>
      <w:proofErr w:type="spellEnd"/>
      <w:r w:rsidRPr="00AB0E6B">
        <w:rPr>
          <w:sz w:val="24"/>
          <w:lang w:val="en-US"/>
        </w:rPr>
        <w:t xml:space="preserve"> for calculating TMM-normalized (trimmed mean of M-values method) library sizes and then using </w:t>
      </w:r>
      <w:proofErr w:type="spellStart"/>
      <w:r w:rsidRPr="00AB0E6B">
        <w:rPr>
          <w:sz w:val="24"/>
          <w:lang w:val="en-US"/>
        </w:rPr>
        <w:t>cpm</w:t>
      </w:r>
      <w:proofErr w:type="spellEnd"/>
      <w:r w:rsidRPr="00AB0E6B">
        <w:rPr>
          <w:sz w:val="24"/>
          <w:lang w:val="en-US"/>
        </w:rPr>
        <w:t xml:space="preserve"> function of </w:t>
      </w:r>
      <w:proofErr w:type="spellStart"/>
      <w:r w:rsidRPr="00AB0E6B">
        <w:rPr>
          <w:sz w:val="24"/>
          <w:lang w:val="en-US"/>
        </w:rPr>
        <w:t>edgeR</w:t>
      </w:r>
      <w:proofErr w:type="spellEnd"/>
      <w:r w:rsidRPr="00AB0E6B">
        <w:rPr>
          <w:sz w:val="24"/>
          <w:lang w:val="en-US"/>
        </w:rPr>
        <w:t xml:space="preserve">. The computed normalized CPM values were then log2-transformed, adding pseudo count of </w:t>
      </w:r>
      <w:proofErr w:type="gramStart"/>
      <w:r w:rsidRPr="00AB0E6B">
        <w:rPr>
          <w:sz w:val="24"/>
          <w:lang w:val="en-US"/>
        </w:rPr>
        <w:t>1</w:t>
      </w:r>
      <w:proofErr w:type="gramEnd"/>
      <w:r w:rsidRPr="00AB0E6B">
        <w:rPr>
          <w:sz w:val="24"/>
          <w:lang w:val="en-US"/>
        </w:rPr>
        <w:t xml:space="preserve"> to avoid negative values. Normalized Day 0 expression values </w:t>
      </w:r>
      <w:proofErr w:type="gramStart"/>
      <w:r w:rsidRPr="00AB0E6B">
        <w:rPr>
          <w:sz w:val="24"/>
          <w:lang w:val="en-US"/>
        </w:rPr>
        <w:t>were extracted</w:t>
      </w:r>
      <w:proofErr w:type="gramEnd"/>
      <w:r w:rsidRPr="00AB0E6B">
        <w:rPr>
          <w:sz w:val="24"/>
          <w:lang w:val="en-US"/>
        </w:rPr>
        <w:t xml:space="preserve"> for each two sets of marker genes. The values were </w:t>
      </w:r>
      <w:proofErr w:type="spellStart"/>
      <w:r w:rsidRPr="00AB0E6B">
        <w:rPr>
          <w:sz w:val="24"/>
          <w:lang w:val="en-US"/>
        </w:rPr>
        <w:t>visualised</w:t>
      </w:r>
      <w:proofErr w:type="spellEnd"/>
      <w:r w:rsidRPr="00AB0E6B">
        <w:rPr>
          <w:sz w:val="24"/>
          <w:lang w:val="en-US"/>
        </w:rPr>
        <w:t xml:space="preserve"> as </w:t>
      </w:r>
      <w:proofErr w:type="spellStart"/>
      <w:r w:rsidRPr="00AB0E6B">
        <w:rPr>
          <w:sz w:val="24"/>
          <w:lang w:val="en-US"/>
        </w:rPr>
        <w:t>barplots</w:t>
      </w:r>
      <w:proofErr w:type="spellEnd"/>
      <w:r w:rsidRPr="00AB0E6B">
        <w:rPr>
          <w:sz w:val="24"/>
          <w:lang w:val="en-US"/>
        </w:rPr>
        <w:t xml:space="preserve"> using </w:t>
      </w:r>
      <w:proofErr w:type="spellStart"/>
      <w:r w:rsidRPr="00AB0E6B">
        <w:rPr>
          <w:sz w:val="24"/>
          <w:lang w:val="en-US"/>
        </w:rPr>
        <w:t>ggbarplot</w:t>
      </w:r>
      <w:proofErr w:type="spellEnd"/>
      <w:r w:rsidRPr="00AB0E6B">
        <w:rPr>
          <w:sz w:val="24"/>
          <w:lang w:val="en-US"/>
        </w:rPr>
        <w:t xml:space="preserve"> function of R package </w:t>
      </w:r>
      <w:proofErr w:type="spellStart"/>
      <w:r w:rsidRPr="00AB0E6B">
        <w:rPr>
          <w:sz w:val="24"/>
          <w:lang w:val="en-US"/>
        </w:rPr>
        <w:t>ggpubr</w:t>
      </w:r>
      <w:proofErr w:type="spellEnd"/>
      <w:r w:rsidRPr="00AB0E6B">
        <w:rPr>
          <w:sz w:val="24"/>
          <w:lang w:val="en-US"/>
        </w:rPr>
        <w:t>.</w:t>
      </w:r>
    </w:p>
    <w:p w:rsidR="0042775C" w:rsidRDefault="0042775C" w:rsidP="0050187D">
      <w:pPr>
        <w:spacing w:line="360" w:lineRule="auto"/>
        <w:jc w:val="both"/>
        <w:rPr>
          <w:sz w:val="24"/>
          <w:u w:val="single"/>
          <w:lang w:val="en-US"/>
        </w:rPr>
      </w:pPr>
      <w:r w:rsidRPr="0042775C">
        <w:rPr>
          <w:sz w:val="24"/>
          <w:u w:val="single"/>
          <w:lang w:val="en-US"/>
        </w:rPr>
        <w:t xml:space="preserve">Differential expression analysis </w:t>
      </w:r>
    </w:p>
    <w:p w:rsidR="004168DB" w:rsidRPr="00AB0E6B" w:rsidRDefault="0042775C" w:rsidP="0042775C">
      <w:pPr>
        <w:spacing w:line="360" w:lineRule="auto"/>
        <w:jc w:val="both"/>
        <w:rPr>
          <w:sz w:val="24"/>
          <w:lang w:val="en-US"/>
        </w:rPr>
      </w:pPr>
      <w:r w:rsidRPr="00AB0E6B">
        <w:rPr>
          <w:sz w:val="24"/>
          <w:lang w:val="en-US"/>
        </w:rPr>
        <w:t xml:space="preserve">All downstream analysis of the read count data </w:t>
      </w:r>
      <w:proofErr w:type="gramStart"/>
      <w:r w:rsidRPr="00AB0E6B">
        <w:rPr>
          <w:sz w:val="24"/>
          <w:lang w:val="en-US"/>
        </w:rPr>
        <w:t>was performed</w:t>
      </w:r>
      <w:proofErr w:type="gramEnd"/>
      <w:r w:rsidRPr="00AB0E6B">
        <w:rPr>
          <w:sz w:val="24"/>
          <w:lang w:val="en-US"/>
        </w:rPr>
        <w:t xml:space="preserve"> using R, ver</w:t>
      </w:r>
      <w:r w:rsidR="003C612F" w:rsidRPr="00AB0E6B">
        <w:rPr>
          <w:sz w:val="24"/>
          <w:lang w:val="en-US"/>
        </w:rPr>
        <w:t>sion 3.6.1</w:t>
      </w:r>
      <w:r w:rsidR="00A77B0E">
        <w:rPr>
          <w:sz w:val="24"/>
          <w:lang w:val="en-US"/>
        </w:rPr>
        <w:t xml:space="preserve"> [R Core Team, 2013</w:t>
      </w:r>
      <w:r w:rsidRPr="00AB0E6B">
        <w:rPr>
          <w:sz w:val="24"/>
          <w:lang w:val="en-US"/>
        </w:rPr>
        <w:t xml:space="preserve">]. MSC and Fibroblast samples </w:t>
      </w:r>
      <w:proofErr w:type="gramStart"/>
      <w:r w:rsidRPr="00AB0E6B">
        <w:rPr>
          <w:sz w:val="24"/>
          <w:lang w:val="en-US"/>
        </w:rPr>
        <w:t>were kept</w:t>
      </w:r>
      <w:proofErr w:type="gramEnd"/>
      <w:r w:rsidRPr="00AB0E6B">
        <w:rPr>
          <w:sz w:val="24"/>
          <w:lang w:val="en-US"/>
        </w:rPr>
        <w:t xml:space="preserve"> in the same data matrix, normalized and filtered together to have a unified gene set for the comparison of the MSC and Fibroblast differentiation process. The dataset </w:t>
      </w:r>
      <w:proofErr w:type="gramStart"/>
      <w:r w:rsidRPr="00AB0E6B">
        <w:rPr>
          <w:sz w:val="24"/>
          <w:lang w:val="en-US"/>
        </w:rPr>
        <w:t>was filtered</w:t>
      </w:r>
      <w:proofErr w:type="gramEnd"/>
      <w:r w:rsidRPr="00AB0E6B">
        <w:rPr>
          <w:sz w:val="24"/>
          <w:lang w:val="en-US"/>
        </w:rPr>
        <w:t xml:space="preserve"> with the </w:t>
      </w:r>
      <w:proofErr w:type="spellStart"/>
      <w:r w:rsidRPr="00AB0E6B">
        <w:rPr>
          <w:sz w:val="24"/>
          <w:lang w:val="en-US"/>
        </w:rPr>
        <w:t>edgeR</w:t>
      </w:r>
      <w:proofErr w:type="spellEnd"/>
      <w:r w:rsidRPr="00AB0E6B">
        <w:rPr>
          <w:sz w:val="24"/>
          <w:lang w:val="en-US"/>
        </w:rPr>
        <w:t xml:space="preserve"> function </w:t>
      </w:r>
      <w:proofErr w:type="spellStart"/>
      <w:r w:rsidRPr="00AB0E6B">
        <w:rPr>
          <w:sz w:val="24"/>
          <w:lang w:val="en-US"/>
        </w:rPr>
        <w:t>filterByExpr</w:t>
      </w:r>
      <w:proofErr w:type="spellEnd"/>
      <w:r w:rsidRPr="00AB0E6B">
        <w:rPr>
          <w:sz w:val="24"/>
          <w:lang w:val="en-US"/>
        </w:rPr>
        <w:t xml:space="preserve">, leaving 18.469 genes for downstream analysis. The data </w:t>
      </w:r>
      <w:proofErr w:type="gramStart"/>
      <w:r w:rsidRPr="00AB0E6B">
        <w:rPr>
          <w:sz w:val="24"/>
          <w:lang w:val="en-US"/>
        </w:rPr>
        <w:t>was normalized</w:t>
      </w:r>
      <w:proofErr w:type="gramEnd"/>
      <w:r w:rsidRPr="00AB0E6B">
        <w:rPr>
          <w:sz w:val="24"/>
          <w:lang w:val="en-US"/>
        </w:rPr>
        <w:t xml:space="preserve"> using the TMM method with R package </w:t>
      </w:r>
      <w:proofErr w:type="spellStart"/>
      <w:r w:rsidRPr="00AB0E6B">
        <w:rPr>
          <w:sz w:val="24"/>
          <w:lang w:val="en-US"/>
        </w:rPr>
        <w:t>edgeR</w:t>
      </w:r>
      <w:proofErr w:type="spellEnd"/>
      <w:r w:rsidRPr="00AB0E6B">
        <w:rPr>
          <w:sz w:val="24"/>
          <w:lang w:val="en-US"/>
        </w:rPr>
        <w:t>, v</w:t>
      </w:r>
      <w:r w:rsidR="00A77B0E">
        <w:rPr>
          <w:sz w:val="24"/>
          <w:lang w:val="en-US"/>
        </w:rPr>
        <w:t>ersion 3.32.1 [Robinson et al., 2010</w:t>
      </w:r>
      <w:r w:rsidRPr="00AB0E6B">
        <w:rPr>
          <w:sz w:val="24"/>
          <w:lang w:val="en-US"/>
        </w:rPr>
        <w:t xml:space="preserve">]. For visual exploration of the data, </w:t>
      </w:r>
      <w:proofErr w:type="gramStart"/>
      <w:r w:rsidRPr="00AB0E6B">
        <w:rPr>
          <w:sz w:val="24"/>
          <w:lang w:val="en-US"/>
        </w:rPr>
        <w:t>log2(</w:t>
      </w:r>
      <w:proofErr w:type="gramEnd"/>
      <w:r w:rsidRPr="00AB0E6B">
        <w:rPr>
          <w:sz w:val="24"/>
          <w:lang w:val="en-US"/>
        </w:rPr>
        <w:t>CPM) values were used. Samples</w:t>
      </w:r>
      <w:r w:rsidR="00763133">
        <w:rPr>
          <w:sz w:val="24"/>
          <w:lang w:val="en-US"/>
        </w:rPr>
        <w:t xml:space="preserve"> </w:t>
      </w:r>
      <w:proofErr w:type="gramStart"/>
      <w:r w:rsidR="00763133">
        <w:rPr>
          <w:sz w:val="24"/>
          <w:lang w:val="en-US"/>
        </w:rPr>
        <w:t>were visually inspected</w:t>
      </w:r>
      <w:proofErr w:type="gramEnd"/>
      <w:r w:rsidR="00763133">
        <w:rPr>
          <w:sz w:val="24"/>
          <w:lang w:val="en-US"/>
        </w:rPr>
        <w:t xml:space="preserve"> using Principal Component A</w:t>
      </w:r>
      <w:r w:rsidRPr="00AB0E6B">
        <w:rPr>
          <w:sz w:val="24"/>
          <w:lang w:val="en-US"/>
        </w:rPr>
        <w:t xml:space="preserve">nalysis (PCA) and </w:t>
      </w:r>
      <w:proofErr w:type="spellStart"/>
      <w:r w:rsidRPr="00AB0E6B">
        <w:rPr>
          <w:sz w:val="24"/>
          <w:lang w:val="en-US"/>
        </w:rPr>
        <w:t>heatmaps</w:t>
      </w:r>
      <w:proofErr w:type="spellEnd"/>
      <w:r w:rsidRPr="00AB0E6B">
        <w:rPr>
          <w:sz w:val="24"/>
          <w:lang w:val="en-US"/>
        </w:rPr>
        <w:t xml:space="preserve"> of Pearson’s correlation distances using functions in the R base package stats. </w:t>
      </w:r>
      <w:r w:rsidR="004168DB" w:rsidRPr="00AB0E6B">
        <w:rPr>
          <w:sz w:val="24"/>
          <w:lang w:val="en-US"/>
        </w:rPr>
        <w:t>Di</w:t>
      </w:r>
      <w:r w:rsidR="004168DB" w:rsidRPr="00AB0E6B">
        <w:rPr>
          <w:rFonts w:cstheme="minorHAnsi"/>
          <w:sz w:val="24"/>
          <w:lang w:val="en-US"/>
        </w:rPr>
        <w:t>ff</w:t>
      </w:r>
      <w:r w:rsidR="004168DB" w:rsidRPr="00AB0E6B">
        <w:rPr>
          <w:sz w:val="24"/>
          <w:lang w:val="en-US"/>
        </w:rPr>
        <w:t xml:space="preserve">erential expression (DE) analysis </w:t>
      </w:r>
      <w:proofErr w:type="gramStart"/>
      <w:r w:rsidR="004168DB" w:rsidRPr="00AB0E6B">
        <w:rPr>
          <w:sz w:val="24"/>
          <w:lang w:val="en-US"/>
        </w:rPr>
        <w:t>was conducted</w:t>
      </w:r>
      <w:proofErr w:type="gramEnd"/>
      <w:r w:rsidR="004168DB" w:rsidRPr="00AB0E6B">
        <w:rPr>
          <w:sz w:val="24"/>
          <w:lang w:val="en-US"/>
        </w:rPr>
        <w:t xml:space="preserve"> using the R packages </w:t>
      </w:r>
      <w:r w:rsidR="004168DB" w:rsidRPr="00AB0E6B">
        <w:rPr>
          <w:rFonts w:cstheme="minorHAnsi"/>
          <w:i/>
          <w:iCs/>
          <w:sz w:val="24"/>
          <w:lang w:val="en-US"/>
        </w:rPr>
        <w:t>DESeq2</w:t>
      </w:r>
      <w:r w:rsidR="004168DB" w:rsidRPr="00AB0E6B">
        <w:rPr>
          <w:sz w:val="24"/>
          <w:lang w:val="en-US"/>
        </w:rPr>
        <w:t>, v</w:t>
      </w:r>
      <w:r w:rsidR="00A77B0E">
        <w:rPr>
          <w:sz w:val="24"/>
          <w:lang w:val="en-US"/>
        </w:rPr>
        <w:t>ersion 3.32.1 [Love et al., 2014</w:t>
      </w:r>
      <w:r w:rsidR="004168DB" w:rsidRPr="00AB0E6B">
        <w:rPr>
          <w:sz w:val="24"/>
          <w:lang w:val="en-US"/>
        </w:rPr>
        <w:t xml:space="preserve">] and </w:t>
      </w:r>
      <w:proofErr w:type="spellStart"/>
      <w:r w:rsidR="004168DB" w:rsidRPr="00AB0E6B">
        <w:rPr>
          <w:rFonts w:cstheme="minorHAnsi"/>
          <w:i/>
          <w:iCs/>
          <w:sz w:val="24"/>
          <w:lang w:val="en-US"/>
        </w:rPr>
        <w:lastRenderedPageBreak/>
        <w:t>limma</w:t>
      </w:r>
      <w:proofErr w:type="spellEnd"/>
      <w:r w:rsidR="004168DB" w:rsidRPr="00AB0E6B">
        <w:rPr>
          <w:sz w:val="24"/>
          <w:lang w:val="en-US"/>
        </w:rPr>
        <w:t>, vers</w:t>
      </w:r>
      <w:r w:rsidR="00A77B0E">
        <w:rPr>
          <w:sz w:val="24"/>
          <w:lang w:val="en-US"/>
        </w:rPr>
        <w:t>ion 3.46.0 [Ritchie et al., 2015</w:t>
      </w:r>
      <w:r w:rsidR="004168DB" w:rsidRPr="00AB0E6B">
        <w:rPr>
          <w:sz w:val="24"/>
          <w:lang w:val="en-US"/>
        </w:rPr>
        <w:t xml:space="preserve">]. For each time point, MSC samples or Fibroblast samples from that time point were joined and consider as biological replicates resulting in </w:t>
      </w:r>
      <w:proofErr w:type="gramStart"/>
      <w:r w:rsidR="004168DB" w:rsidRPr="00AB0E6B">
        <w:rPr>
          <w:sz w:val="24"/>
          <w:lang w:val="en-US"/>
        </w:rPr>
        <w:t>3</w:t>
      </w:r>
      <w:proofErr w:type="gramEnd"/>
      <w:r w:rsidR="004168DB" w:rsidRPr="00AB0E6B">
        <w:rPr>
          <w:sz w:val="24"/>
          <w:lang w:val="en-US"/>
        </w:rPr>
        <w:t xml:space="preserve"> replicates per time point for MSCs and 4 replicates per time point for fibroblasts.</w:t>
      </w:r>
    </w:p>
    <w:p w:rsidR="0042775C" w:rsidRPr="00AB0E6B" w:rsidRDefault="0042775C" w:rsidP="0042775C">
      <w:pPr>
        <w:spacing w:line="360" w:lineRule="auto"/>
        <w:jc w:val="both"/>
        <w:rPr>
          <w:sz w:val="24"/>
          <w:lang w:val="en-US"/>
        </w:rPr>
      </w:pPr>
      <w:r w:rsidRPr="00AB0E6B">
        <w:rPr>
          <w:sz w:val="24"/>
          <w:lang w:val="en-US"/>
        </w:rPr>
        <w:t xml:space="preserve">Three types of analyses were performed: 1) MSC samples separately in end-point analysis with </w:t>
      </w:r>
      <w:proofErr w:type="spellStart"/>
      <w:r w:rsidRPr="00AB0E6B">
        <w:rPr>
          <w:sz w:val="24"/>
          <w:lang w:val="en-US"/>
        </w:rPr>
        <w:t>limma</w:t>
      </w:r>
      <w:proofErr w:type="spellEnd"/>
      <w:r w:rsidRPr="00AB0E6B">
        <w:rPr>
          <w:sz w:val="24"/>
          <w:lang w:val="en-US"/>
        </w:rPr>
        <w:t xml:space="preserve">, comparing the last differentiation time point (28 days) to undifferentiated time point (0 days) using time as a factor, 2) Fibroblast samples separately in end-point analysis with </w:t>
      </w:r>
      <w:proofErr w:type="spellStart"/>
      <w:r w:rsidRPr="00AB0E6B">
        <w:rPr>
          <w:sz w:val="24"/>
          <w:lang w:val="en-US"/>
        </w:rPr>
        <w:t>limma</w:t>
      </w:r>
      <w:proofErr w:type="spellEnd"/>
      <w:r w:rsidRPr="00AB0E6B">
        <w:rPr>
          <w:sz w:val="24"/>
          <w:lang w:val="en-US"/>
        </w:rPr>
        <w:t xml:space="preserve">, comparing the last differentiation time point (35 days) to undifferentiated time point (0 days) using time as a factor, 3) MSC and Fibroblast samples time course analysis in DESeq2 with likelihood ratio testing (LRT). </w:t>
      </w:r>
    </w:p>
    <w:p w:rsidR="0042775C" w:rsidRPr="00AB0E6B" w:rsidRDefault="0042775C" w:rsidP="0042775C">
      <w:pPr>
        <w:spacing w:line="360" w:lineRule="auto"/>
        <w:jc w:val="both"/>
        <w:rPr>
          <w:sz w:val="24"/>
          <w:lang w:val="en-US"/>
        </w:rPr>
      </w:pPr>
      <w:proofErr w:type="spellStart"/>
      <w:r w:rsidRPr="00AB0E6B">
        <w:rPr>
          <w:sz w:val="24"/>
          <w:lang w:val="en-US"/>
        </w:rPr>
        <w:t>Limma</w:t>
      </w:r>
      <w:proofErr w:type="spellEnd"/>
      <w:r w:rsidRPr="00AB0E6B">
        <w:rPr>
          <w:sz w:val="24"/>
          <w:lang w:val="en-US"/>
        </w:rPr>
        <w:t xml:space="preserve"> evaluates Differential Expression (DE) by fitting </w:t>
      </w:r>
      <w:proofErr w:type="gramStart"/>
      <w:r w:rsidRPr="00AB0E6B">
        <w:rPr>
          <w:sz w:val="24"/>
          <w:lang w:val="en-US"/>
        </w:rPr>
        <w:t>gene-wise</w:t>
      </w:r>
      <w:proofErr w:type="gramEnd"/>
      <w:r w:rsidRPr="00AB0E6B">
        <w:rPr>
          <w:sz w:val="24"/>
          <w:lang w:val="en-US"/>
        </w:rPr>
        <w:t xml:space="preserve"> linear models to gene expression data, for each coefficient in the linear model or contrast, empirical Bayes (</w:t>
      </w:r>
      <w:proofErr w:type="spellStart"/>
      <w:r w:rsidRPr="00AB0E6B">
        <w:rPr>
          <w:sz w:val="24"/>
          <w:lang w:val="en-US"/>
        </w:rPr>
        <w:t>eBayes</w:t>
      </w:r>
      <w:proofErr w:type="spellEnd"/>
      <w:r w:rsidRPr="00AB0E6B">
        <w:rPr>
          <w:sz w:val="24"/>
          <w:lang w:val="en-US"/>
        </w:rPr>
        <w:t xml:space="preserve">) moderated t-statistics and their associated P-values are used to assess the significance of the observed expression changes. P-values </w:t>
      </w:r>
      <w:proofErr w:type="gramStart"/>
      <w:r w:rsidRPr="00AB0E6B">
        <w:rPr>
          <w:sz w:val="24"/>
          <w:lang w:val="en-US"/>
        </w:rPr>
        <w:t>were then adjusted</w:t>
      </w:r>
      <w:proofErr w:type="gramEnd"/>
      <w:r w:rsidRPr="00AB0E6B">
        <w:rPr>
          <w:sz w:val="24"/>
          <w:lang w:val="en-US"/>
        </w:rPr>
        <w:t xml:space="preserve"> for multiple testing using </w:t>
      </w:r>
      <w:proofErr w:type="spellStart"/>
      <w:r w:rsidRPr="00AB0E6B">
        <w:rPr>
          <w:sz w:val="24"/>
          <w:lang w:val="en-US"/>
        </w:rPr>
        <w:t>Benjamini</w:t>
      </w:r>
      <w:proofErr w:type="spellEnd"/>
      <w:r w:rsidRPr="00AB0E6B">
        <w:rPr>
          <w:sz w:val="24"/>
          <w:lang w:val="en-US"/>
        </w:rPr>
        <w:t>-Hochberg procedure [</w:t>
      </w:r>
      <w:proofErr w:type="spellStart"/>
      <w:r w:rsidR="00DD3103">
        <w:rPr>
          <w:sz w:val="24"/>
          <w:lang w:val="en-US"/>
        </w:rPr>
        <w:t>Benjamini</w:t>
      </w:r>
      <w:proofErr w:type="spellEnd"/>
      <w:r w:rsidR="00DD3103">
        <w:rPr>
          <w:sz w:val="24"/>
          <w:lang w:val="en-US"/>
        </w:rPr>
        <w:t xml:space="preserve"> &amp; Hochberg, 1995</w:t>
      </w:r>
      <w:r w:rsidRPr="00AB0E6B">
        <w:rPr>
          <w:sz w:val="24"/>
          <w:lang w:val="en-US"/>
        </w:rPr>
        <w:t>]. The obtained results were then post-hoc filtered using 0.05 as the threshold for adjusted p-value (</w:t>
      </w:r>
      <w:proofErr w:type="spellStart"/>
      <w:r w:rsidRPr="00AB0E6B">
        <w:rPr>
          <w:sz w:val="24"/>
          <w:lang w:val="en-US"/>
        </w:rPr>
        <w:t>adj.pVal</w:t>
      </w:r>
      <w:proofErr w:type="spellEnd"/>
      <w:r w:rsidRPr="00AB0E6B">
        <w:rPr>
          <w:sz w:val="24"/>
          <w:lang w:val="en-US"/>
        </w:rPr>
        <w:t xml:space="preserve">) reducing the probability of false discovery rate (FDR) and </w:t>
      </w:r>
      <w:proofErr w:type="gramStart"/>
      <w:r w:rsidRPr="00AB0E6B">
        <w:rPr>
          <w:sz w:val="24"/>
          <w:lang w:val="en-US"/>
        </w:rPr>
        <w:t>1</w:t>
      </w:r>
      <w:proofErr w:type="gramEnd"/>
      <w:r w:rsidRPr="00AB0E6B">
        <w:rPr>
          <w:sz w:val="24"/>
          <w:lang w:val="en-US"/>
        </w:rPr>
        <w:t xml:space="preserve"> as the threshold for absolute log2 fold change. Gene lists </w:t>
      </w:r>
      <w:proofErr w:type="gramStart"/>
      <w:r w:rsidRPr="00AB0E6B">
        <w:rPr>
          <w:sz w:val="24"/>
          <w:lang w:val="en-US"/>
        </w:rPr>
        <w:t>were extracted</w:t>
      </w:r>
      <w:proofErr w:type="gramEnd"/>
      <w:r w:rsidRPr="00AB0E6B">
        <w:rPr>
          <w:sz w:val="24"/>
          <w:lang w:val="en-US"/>
        </w:rPr>
        <w:t xml:space="preserve"> and genes were annotated with Ensemble IDs and human gene symbols using </w:t>
      </w:r>
      <w:proofErr w:type="spellStart"/>
      <w:r w:rsidRPr="00AB0E6B">
        <w:rPr>
          <w:sz w:val="24"/>
          <w:lang w:val="en-US"/>
        </w:rPr>
        <w:t>biomaRt</w:t>
      </w:r>
      <w:proofErr w:type="spellEnd"/>
      <w:r w:rsidRPr="00AB0E6B">
        <w:rPr>
          <w:sz w:val="24"/>
          <w:lang w:val="en-US"/>
        </w:rPr>
        <w:t>, version 2.40.5 [</w:t>
      </w:r>
      <w:proofErr w:type="spellStart"/>
      <w:r w:rsidR="00DD3103">
        <w:rPr>
          <w:sz w:val="24"/>
          <w:lang w:val="en-US"/>
        </w:rPr>
        <w:t>Durinck</w:t>
      </w:r>
      <w:proofErr w:type="spellEnd"/>
      <w:r w:rsidR="00DD3103">
        <w:rPr>
          <w:sz w:val="24"/>
          <w:lang w:val="en-US"/>
        </w:rPr>
        <w:t xml:space="preserve"> et al., 2009</w:t>
      </w:r>
      <w:r w:rsidRPr="00AB0E6B">
        <w:rPr>
          <w:sz w:val="24"/>
          <w:lang w:val="en-US"/>
        </w:rPr>
        <w:t>].</w:t>
      </w:r>
    </w:p>
    <w:p w:rsidR="006B2E40" w:rsidRPr="00AB0E6B" w:rsidRDefault="0042775C" w:rsidP="006B2E40">
      <w:pPr>
        <w:spacing w:line="360" w:lineRule="auto"/>
        <w:jc w:val="both"/>
        <w:rPr>
          <w:sz w:val="24"/>
          <w:lang w:val="en-US"/>
        </w:rPr>
      </w:pPr>
      <w:r w:rsidRPr="00AB0E6B">
        <w:rPr>
          <w:sz w:val="24"/>
          <w:lang w:val="en-US"/>
        </w:rPr>
        <w:t xml:space="preserve">DESeq2 provides a likelihood ratio test (LRT) when evaluating expression change across more than two levels, such as time in a </w:t>
      </w:r>
      <w:proofErr w:type="gramStart"/>
      <w:r w:rsidRPr="00AB0E6B">
        <w:rPr>
          <w:sz w:val="24"/>
          <w:lang w:val="en-US"/>
        </w:rPr>
        <w:t>differentiation time course experiment</w:t>
      </w:r>
      <w:proofErr w:type="gramEnd"/>
      <w:r w:rsidRPr="00AB0E6B">
        <w:rPr>
          <w:sz w:val="24"/>
          <w:lang w:val="en-US"/>
        </w:rPr>
        <w:t xml:space="preserve">. Such a test aims to explore whether there are any significant differences in treatment effect between any of the </w:t>
      </w:r>
      <w:proofErr w:type="spellStart"/>
      <w:r w:rsidRPr="00AB0E6B">
        <w:rPr>
          <w:sz w:val="24"/>
          <w:lang w:val="en-US"/>
        </w:rPr>
        <w:t>timepoints</w:t>
      </w:r>
      <w:proofErr w:type="spellEnd"/>
      <w:r w:rsidRPr="00AB0E6B">
        <w:rPr>
          <w:sz w:val="24"/>
          <w:lang w:val="en-US"/>
        </w:rPr>
        <w:t xml:space="preserve"> or treatment types. For this test, two models </w:t>
      </w:r>
      <w:proofErr w:type="gramStart"/>
      <w:r w:rsidRPr="00AB0E6B">
        <w:rPr>
          <w:sz w:val="24"/>
          <w:lang w:val="en-US"/>
        </w:rPr>
        <w:t>are estimated</w:t>
      </w:r>
      <w:proofErr w:type="gramEnd"/>
      <w:r w:rsidRPr="00AB0E6B">
        <w:rPr>
          <w:sz w:val="24"/>
          <w:lang w:val="en-US"/>
        </w:rPr>
        <w:t xml:space="preserve"> per gene; the fit of one model is compared to the fit of the other model. DESeq2 implements the LRT by using an Analysis of Deviance (ANODEV) to compare the two model fits and calculate a </w:t>
      </w:r>
      <w:proofErr w:type="spellStart"/>
      <w:proofErr w:type="gramStart"/>
      <w:r w:rsidRPr="00AB0E6B">
        <w:rPr>
          <w:sz w:val="24"/>
          <w:lang w:val="en-US"/>
        </w:rPr>
        <w:t>pValue</w:t>
      </w:r>
      <w:proofErr w:type="spellEnd"/>
      <w:r w:rsidRPr="00AB0E6B">
        <w:rPr>
          <w:sz w:val="24"/>
          <w:lang w:val="en-US"/>
        </w:rPr>
        <w:t xml:space="preserve"> which</w:t>
      </w:r>
      <w:proofErr w:type="gramEnd"/>
      <w:r w:rsidRPr="00AB0E6B">
        <w:rPr>
          <w:sz w:val="24"/>
          <w:lang w:val="en-US"/>
        </w:rPr>
        <w:t xml:space="preserve"> are then adjusted for multiple testing using </w:t>
      </w:r>
      <w:proofErr w:type="spellStart"/>
      <w:r w:rsidRPr="00AB0E6B">
        <w:rPr>
          <w:sz w:val="24"/>
          <w:lang w:val="en-US"/>
        </w:rPr>
        <w:t>Benjamini</w:t>
      </w:r>
      <w:proofErr w:type="spellEnd"/>
      <w:r w:rsidRPr="00AB0E6B">
        <w:rPr>
          <w:sz w:val="24"/>
          <w:lang w:val="en-US"/>
        </w:rPr>
        <w:t xml:space="preserve">-Hochberg procedure. </w:t>
      </w:r>
      <w:r w:rsidR="006B2E40" w:rsidRPr="00AB0E6B">
        <w:rPr>
          <w:sz w:val="24"/>
          <w:lang w:val="en-US"/>
        </w:rPr>
        <w:t xml:space="preserve">For clustering, all genes that </w:t>
      </w:r>
      <w:proofErr w:type="gramStart"/>
      <w:r w:rsidR="006B2E40" w:rsidRPr="00AB0E6B">
        <w:rPr>
          <w:sz w:val="24"/>
          <w:lang w:val="en-US"/>
        </w:rPr>
        <w:t>were significantly differentially expressed</w:t>
      </w:r>
      <w:proofErr w:type="gramEnd"/>
      <w:r w:rsidR="006B2E40" w:rsidRPr="00AB0E6B">
        <w:rPr>
          <w:sz w:val="24"/>
          <w:lang w:val="en-US"/>
        </w:rPr>
        <w:t xml:space="preserve"> with an </w:t>
      </w:r>
      <w:proofErr w:type="spellStart"/>
      <w:r w:rsidR="006B2E40" w:rsidRPr="00AB0E6B">
        <w:rPr>
          <w:sz w:val="24"/>
          <w:lang w:val="en-US"/>
        </w:rPr>
        <w:t>adj.p.Val</w:t>
      </w:r>
      <w:proofErr w:type="spellEnd"/>
      <w:r w:rsidR="006B2E40" w:rsidRPr="00AB0E6B">
        <w:rPr>
          <w:sz w:val="24"/>
          <w:lang w:val="en-US"/>
        </w:rPr>
        <w:t xml:space="preserve"> &lt; 0.05 in any condition from the time course analysis in DESeq2 were taken as</w:t>
      </w:r>
      <w:r w:rsidR="002C6BDF" w:rsidRPr="00AB0E6B">
        <w:rPr>
          <w:sz w:val="24"/>
          <w:lang w:val="en-US"/>
        </w:rPr>
        <w:t xml:space="preserve"> input (1222</w:t>
      </w:r>
      <w:r w:rsidR="006B2E40" w:rsidRPr="00AB0E6B">
        <w:rPr>
          <w:sz w:val="24"/>
          <w:lang w:val="en-US"/>
        </w:rPr>
        <w:t xml:space="preserve"> genes in total). The function </w:t>
      </w:r>
      <w:proofErr w:type="spellStart"/>
      <w:r w:rsidR="006B2E40" w:rsidRPr="00AB0E6B">
        <w:rPr>
          <w:sz w:val="24"/>
          <w:lang w:val="en-US"/>
        </w:rPr>
        <w:t>degPatterns</w:t>
      </w:r>
      <w:proofErr w:type="spellEnd"/>
      <w:r w:rsidR="006B2E40" w:rsidRPr="00AB0E6B">
        <w:rPr>
          <w:sz w:val="24"/>
          <w:lang w:val="en-US"/>
        </w:rPr>
        <w:t xml:space="preserve"> from the R package </w:t>
      </w:r>
      <w:proofErr w:type="spellStart"/>
      <w:r w:rsidR="006B2E40" w:rsidRPr="00AB0E6B">
        <w:rPr>
          <w:sz w:val="24"/>
          <w:lang w:val="en-US"/>
        </w:rPr>
        <w:t>DEGreport</w:t>
      </w:r>
      <w:proofErr w:type="spellEnd"/>
      <w:r w:rsidR="006B2E40" w:rsidRPr="00AB0E6B">
        <w:rPr>
          <w:sz w:val="24"/>
          <w:lang w:val="en-US"/>
        </w:rPr>
        <w:t xml:space="preserve"> </w:t>
      </w:r>
      <w:proofErr w:type="gramStart"/>
      <w:r w:rsidR="006B2E40" w:rsidRPr="00AB0E6B">
        <w:rPr>
          <w:sz w:val="24"/>
          <w:lang w:val="en-US"/>
        </w:rPr>
        <w:t>was then used</w:t>
      </w:r>
      <w:proofErr w:type="gramEnd"/>
      <w:r w:rsidR="006B2E40" w:rsidRPr="00AB0E6B">
        <w:rPr>
          <w:sz w:val="24"/>
          <w:lang w:val="en-US"/>
        </w:rPr>
        <w:t xml:space="preserve"> to identify gene clusters across the two different cell types. </w:t>
      </w:r>
      <w:proofErr w:type="spellStart"/>
      <w:r w:rsidR="006B2E40" w:rsidRPr="00AB0E6B">
        <w:rPr>
          <w:sz w:val="24"/>
          <w:lang w:val="en-US"/>
        </w:rPr>
        <w:t>Regularised</w:t>
      </w:r>
      <w:proofErr w:type="spellEnd"/>
      <w:r w:rsidR="006B2E40" w:rsidRPr="00AB0E6B">
        <w:rPr>
          <w:sz w:val="24"/>
          <w:lang w:val="en-US"/>
        </w:rPr>
        <w:t xml:space="preserve"> log-transformed (</w:t>
      </w:r>
      <w:proofErr w:type="spellStart"/>
      <w:r w:rsidR="006B2E40" w:rsidRPr="00AB0E6B">
        <w:rPr>
          <w:sz w:val="24"/>
          <w:lang w:val="en-US"/>
        </w:rPr>
        <w:t>rlog</w:t>
      </w:r>
      <w:proofErr w:type="spellEnd"/>
      <w:r w:rsidR="006B2E40" w:rsidRPr="00AB0E6B">
        <w:rPr>
          <w:sz w:val="24"/>
          <w:lang w:val="en-US"/>
        </w:rPr>
        <w:t xml:space="preserve">) </w:t>
      </w:r>
      <w:proofErr w:type="spellStart"/>
      <w:r w:rsidR="006B2E40" w:rsidRPr="00AB0E6B">
        <w:rPr>
          <w:sz w:val="24"/>
          <w:lang w:val="en-US"/>
        </w:rPr>
        <w:t>normalised</w:t>
      </w:r>
      <w:proofErr w:type="spellEnd"/>
      <w:r w:rsidR="006B2E40" w:rsidRPr="00AB0E6B">
        <w:rPr>
          <w:sz w:val="24"/>
          <w:lang w:val="en-US"/>
        </w:rPr>
        <w:t xml:space="preserve"> gene expression counts were used. The </w:t>
      </w:r>
      <w:proofErr w:type="spellStart"/>
      <w:r w:rsidR="006B2E40" w:rsidRPr="00AB0E6B">
        <w:rPr>
          <w:sz w:val="24"/>
          <w:lang w:val="en-US"/>
        </w:rPr>
        <w:t>degPatterns</w:t>
      </w:r>
      <w:proofErr w:type="spellEnd"/>
      <w:r w:rsidR="006B2E40" w:rsidRPr="00AB0E6B">
        <w:rPr>
          <w:sz w:val="24"/>
          <w:lang w:val="en-US"/>
        </w:rPr>
        <w:t xml:space="preserve"> tool uses a hierarchical clustering approach based on pairwise correlations, </w:t>
      </w:r>
      <w:proofErr w:type="gramStart"/>
      <w:r w:rsidR="006B2E40" w:rsidRPr="00AB0E6B">
        <w:rPr>
          <w:sz w:val="24"/>
          <w:lang w:val="en-US"/>
        </w:rPr>
        <w:t>then</w:t>
      </w:r>
      <w:proofErr w:type="gramEnd"/>
      <w:r w:rsidR="006B2E40" w:rsidRPr="00AB0E6B">
        <w:rPr>
          <w:sz w:val="24"/>
          <w:lang w:val="en-US"/>
        </w:rPr>
        <w:t xml:space="preserve"> cuts the hierarchical tree to generate </w:t>
      </w:r>
      <w:r w:rsidR="006B2E40" w:rsidRPr="00AB0E6B">
        <w:rPr>
          <w:sz w:val="24"/>
          <w:lang w:val="en-US"/>
        </w:rPr>
        <w:lastRenderedPageBreak/>
        <w:t xml:space="preserve">groups of genes with similar expression profiles. The tool cuts the tree in a way to </w:t>
      </w:r>
      <w:proofErr w:type="spellStart"/>
      <w:r w:rsidR="006B2E40" w:rsidRPr="00AB0E6B">
        <w:rPr>
          <w:sz w:val="24"/>
          <w:lang w:val="en-US"/>
        </w:rPr>
        <w:t>optimise</w:t>
      </w:r>
      <w:proofErr w:type="spellEnd"/>
      <w:r w:rsidR="006B2E40" w:rsidRPr="00AB0E6B">
        <w:rPr>
          <w:sz w:val="24"/>
          <w:lang w:val="en-US"/>
        </w:rPr>
        <w:t xml:space="preserve"> the diversity of the clusters, such that the variability inter-cluster &gt; the variability </w:t>
      </w:r>
      <w:proofErr w:type="spellStart"/>
      <w:r w:rsidR="006B2E40" w:rsidRPr="00AB0E6B">
        <w:rPr>
          <w:sz w:val="24"/>
          <w:lang w:val="en-US"/>
        </w:rPr>
        <w:t>intracluster</w:t>
      </w:r>
      <w:proofErr w:type="spellEnd"/>
      <w:r w:rsidR="006B2E40" w:rsidRPr="00AB0E6B">
        <w:rPr>
          <w:sz w:val="24"/>
          <w:lang w:val="en-US"/>
        </w:rPr>
        <w:t>.</w:t>
      </w:r>
    </w:p>
    <w:p w:rsidR="006B2E40" w:rsidRPr="00AB0E6B" w:rsidRDefault="006B2E40" w:rsidP="006B2E40">
      <w:pPr>
        <w:spacing w:line="360" w:lineRule="auto"/>
        <w:jc w:val="both"/>
        <w:rPr>
          <w:sz w:val="24"/>
          <w:lang w:val="en-US"/>
        </w:rPr>
      </w:pPr>
      <w:proofErr w:type="spellStart"/>
      <w:r w:rsidRPr="00AB0E6B">
        <w:rPr>
          <w:sz w:val="24"/>
          <w:lang w:val="en-US"/>
        </w:rPr>
        <w:t>Heatmaps</w:t>
      </w:r>
      <w:proofErr w:type="spellEnd"/>
      <w:r w:rsidRPr="00AB0E6B">
        <w:rPr>
          <w:sz w:val="24"/>
          <w:lang w:val="en-US"/>
        </w:rPr>
        <w:t xml:space="preserve"> of top 100 differential genes by significance were generated using R package </w:t>
      </w:r>
      <w:proofErr w:type="spellStart"/>
      <w:r w:rsidRPr="00AB0E6B">
        <w:rPr>
          <w:sz w:val="24"/>
          <w:lang w:val="en-US"/>
        </w:rPr>
        <w:t>pheatmap</w:t>
      </w:r>
      <w:proofErr w:type="spellEnd"/>
      <w:r w:rsidRPr="00AB0E6B">
        <w:rPr>
          <w:sz w:val="24"/>
          <w:lang w:val="en-US"/>
        </w:rPr>
        <w:t>, v.1.0.12 [</w:t>
      </w:r>
      <w:proofErr w:type="spellStart"/>
      <w:r w:rsidR="00DD3103">
        <w:rPr>
          <w:sz w:val="24"/>
          <w:lang w:val="en-US"/>
        </w:rPr>
        <w:t>Kolde</w:t>
      </w:r>
      <w:proofErr w:type="spellEnd"/>
      <w:r w:rsidR="00DD3103">
        <w:rPr>
          <w:sz w:val="24"/>
          <w:lang w:val="en-US"/>
        </w:rPr>
        <w:t>, 2018</w:t>
      </w:r>
      <w:r w:rsidRPr="00AB0E6B">
        <w:rPr>
          <w:sz w:val="24"/>
          <w:lang w:val="en-US"/>
        </w:rPr>
        <w:t xml:space="preserve">] using the </w:t>
      </w:r>
      <w:proofErr w:type="spellStart"/>
      <w:r w:rsidRPr="00AB0E6B">
        <w:rPr>
          <w:sz w:val="24"/>
          <w:lang w:val="en-US"/>
        </w:rPr>
        <w:t>normalised</w:t>
      </w:r>
      <w:proofErr w:type="spellEnd"/>
      <w:r w:rsidRPr="00AB0E6B">
        <w:rPr>
          <w:sz w:val="24"/>
          <w:lang w:val="en-US"/>
        </w:rPr>
        <w:t xml:space="preserve"> expression values of each sample and replicate. The log2 ratios </w:t>
      </w:r>
      <w:proofErr w:type="gramStart"/>
      <w:r w:rsidRPr="00AB0E6B">
        <w:rPr>
          <w:sz w:val="24"/>
          <w:lang w:val="en-US"/>
        </w:rPr>
        <w:t>were then used</w:t>
      </w:r>
      <w:proofErr w:type="gramEnd"/>
      <w:r w:rsidRPr="00AB0E6B">
        <w:rPr>
          <w:sz w:val="24"/>
          <w:lang w:val="en-US"/>
        </w:rPr>
        <w:t xml:space="preserve"> for generating clustered </w:t>
      </w:r>
      <w:proofErr w:type="spellStart"/>
      <w:r w:rsidRPr="00AB0E6B">
        <w:rPr>
          <w:sz w:val="24"/>
          <w:lang w:val="en-US"/>
        </w:rPr>
        <w:t>heatmaps</w:t>
      </w:r>
      <w:proofErr w:type="spellEnd"/>
      <w:r w:rsidRPr="00AB0E6B">
        <w:rPr>
          <w:sz w:val="24"/>
          <w:lang w:val="en-US"/>
        </w:rPr>
        <w:t xml:space="preserve"> in which genes and samples were hierarchically clustered using </w:t>
      </w:r>
      <w:proofErr w:type="spellStart"/>
      <w:r w:rsidRPr="00AB0E6B">
        <w:rPr>
          <w:sz w:val="24"/>
          <w:lang w:val="en-US"/>
        </w:rPr>
        <w:t>euclidean</w:t>
      </w:r>
      <w:proofErr w:type="spellEnd"/>
      <w:r w:rsidRPr="00AB0E6B">
        <w:rPr>
          <w:sz w:val="24"/>
          <w:lang w:val="en-US"/>
        </w:rPr>
        <w:t xml:space="preserve"> distances as the distance metric. In all of the </w:t>
      </w:r>
      <w:proofErr w:type="spellStart"/>
      <w:r w:rsidRPr="00AB0E6B">
        <w:rPr>
          <w:sz w:val="24"/>
          <w:lang w:val="en-US"/>
        </w:rPr>
        <w:t>heatmaps</w:t>
      </w:r>
      <w:proofErr w:type="spellEnd"/>
      <w:r w:rsidRPr="00AB0E6B">
        <w:rPr>
          <w:sz w:val="24"/>
          <w:lang w:val="en-US"/>
        </w:rPr>
        <w:t xml:space="preserve">, data </w:t>
      </w:r>
      <w:proofErr w:type="gramStart"/>
      <w:r w:rsidRPr="00AB0E6B">
        <w:rPr>
          <w:sz w:val="24"/>
          <w:lang w:val="en-US"/>
        </w:rPr>
        <w:t>was scaled</w:t>
      </w:r>
      <w:proofErr w:type="gramEnd"/>
      <w:r w:rsidRPr="00AB0E6B">
        <w:rPr>
          <w:sz w:val="24"/>
          <w:lang w:val="en-US"/>
        </w:rPr>
        <w:t xml:space="preserve"> </w:t>
      </w:r>
      <w:proofErr w:type="spellStart"/>
      <w:r w:rsidRPr="00AB0E6B">
        <w:rPr>
          <w:sz w:val="24"/>
          <w:lang w:val="en-US"/>
        </w:rPr>
        <w:t>rowwise</w:t>
      </w:r>
      <w:proofErr w:type="spellEnd"/>
      <w:r w:rsidRPr="00AB0E6B">
        <w:rPr>
          <w:sz w:val="24"/>
          <w:lang w:val="en-US"/>
        </w:rPr>
        <w:t xml:space="preserve"> for better </w:t>
      </w:r>
      <w:proofErr w:type="spellStart"/>
      <w:r w:rsidRPr="00AB0E6B">
        <w:rPr>
          <w:sz w:val="24"/>
          <w:lang w:val="en-US"/>
        </w:rPr>
        <w:t>visualisation</w:t>
      </w:r>
      <w:proofErr w:type="spellEnd"/>
      <w:r w:rsidRPr="00AB0E6B">
        <w:rPr>
          <w:sz w:val="24"/>
          <w:lang w:val="en-US"/>
        </w:rPr>
        <w:t>.</w:t>
      </w:r>
    </w:p>
    <w:p w:rsidR="004E3E45" w:rsidRPr="00AB0E6B" w:rsidRDefault="004E3E45" w:rsidP="006B2E40">
      <w:pPr>
        <w:spacing w:line="360" w:lineRule="auto"/>
        <w:jc w:val="both"/>
        <w:rPr>
          <w:sz w:val="24"/>
          <w:lang w:val="en-US"/>
        </w:rPr>
      </w:pPr>
    </w:p>
    <w:p w:rsidR="0096224C" w:rsidRPr="00E96D48" w:rsidRDefault="0096224C" w:rsidP="006B2E40">
      <w:pPr>
        <w:spacing w:line="360" w:lineRule="auto"/>
        <w:jc w:val="both"/>
        <w:rPr>
          <w:sz w:val="24"/>
          <w:u w:val="single"/>
          <w:lang w:val="en-US"/>
        </w:rPr>
      </w:pPr>
      <w:r w:rsidRPr="00E96D48">
        <w:rPr>
          <w:sz w:val="24"/>
          <w:u w:val="single"/>
          <w:lang w:val="en-US"/>
        </w:rPr>
        <w:t xml:space="preserve">Overrepresentation analysis </w:t>
      </w:r>
    </w:p>
    <w:p w:rsidR="00E96D48" w:rsidRPr="00AB0E6B" w:rsidRDefault="00E96D48" w:rsidP="00E96D48">
      <w:pPr>
        <w:spacing w:line="360" w:lineRule="auto"/>
        <w:jc w:val="both"/>
        <w:rPr>
          <w:sz w:val="24"/>
          <w:lang w:val="en-US"/>
        </w:rPr>
      </w:pPr>
      <w:proofErr w:type="spellStart"/>
      <w:r w:rsidRPr="00AB0E6B">
        <w:rPr>
          <w:sz w:val="24"/>
          <w:lang w:val="en-US"/>
        </w:rPr>
        <w:t>Reactome</w:t>
      </w:r>
      <w:proofErr w:type="spellEnd"/>
      <w:r w:rsidRPr="00AB0E6B">
        <w:rPr>
          <w:sz w:val="24"/>
          <w:lang w:val="en-US"/>
        </w:rPr>
        <w:t xml:space="preserve"> pathway over-representation analyses (ORA) </w:t>
      </w:r>
      <w:proofErr w:type="gramStart"/>
      <w:r w:rsidRPr="00AB0E6B">
        <w:rPr>
          <w:sz w:val="24"/>
          <w:lang w:val="en-US"/>
        </w:rPr>
        <w:t>were performed</w:t>
      </w:r>
      <w:proofErr w:type="gramEnd"/>
      <w:r w:rsidRPr="00AB0E6B">
        <w:rPr>
          <w:sz w:val="24"/>
          <w:lang w:val="en-US"/>
        </w:rPr>
        <w:t xml:space="preserve"> using R package </w:t>
      </w:r>
      <w:proofErr w:type="spellStart"/>
      <w:r w:rsidRPr="00AB0E6B">
        <w:rPr>
          <w:sz w:val="24"/>
          <w:lang w:val="en-US"/>
        </w:rPr>
        <w:t>clusterProfiler</w:t>
      </w:r>
      <w:proofErr w:type="spellEnd"/>
      <w:r w:rsidRPr="00AB0E6B">
        <w:rPr>
          <w:sz w:val="24"/>
          <w:lang w:val="en-US"/>
        </w:rPr>
        <w:t xml:space="preserve"> [</w:t>
      </w:r>
      <w:r w:rsidR="00DD3103">
        <w:rPr>
          <w:sz w:val="24"/>
          <w:lang w:val="en-US"/>
        </w:rPr>
        <w:t>Yu et al., 2012</w:t>
      </w:r>
      <w:r w:rsidRPr="00AB0E6B">
        <w:rPr>
          <w:sz w:val="24"/>
          <w:lang w:val="en-US"/>
        </w:rPr>
        <w:t xml:space="preserve">]. The analyses determined whether any terms are annotated to a list of specified genes, in this case a list of differentially expressed genes, at a frequency greater than what would be expected by chance, and calculated a p-value using the hypergeometric distribution. The total set of genes from the dataset </w:t>
      </w:r>
      <w:proofErr w:type="gramStart"/>
      <w:r w:rsidRPr="00AB0E6B">
        <w:rPr>
          <w:sz w:val="24"/>
          <w:lang w:val="en-US"/>
        </w:rPr>
        <w:t>was used</w:t>
      </w:r>
      <w:proofErr w:type="gramEnd"/>
      <w:r w:rsidRPr="00AB0E6B">
        <w:rPr>
          <w:sz w:val="24"/>
          <w:lang w:val="en-US"/>
        </w:rPr>
        <w:t xml:space="preserve"> as a list for background genes. This analysis </w:t>
      </w:r>
      <w:proofErr w:type="gramStart"/>
      <w:r w:rsidRPr="00AB0E6B">
        <w:rPr>
          <w:sz w:val="24"/>
          <w:lang w:val="en-US"/>
        </w:rPr>
        <w:t>was performed</w:t>
      </w:r>
      <w:proofErr w:type="gramEnd"/>
      <w:r w:rsidRPr="00AB0E6B">
        <w:rPr>
          <w:sz w:val="24"/>
          <w:lang w:val="en-US"/>
        </w:rPr>
        <w:t xml:space="preserve"> on differentially expressed ge</w:t>
      </w:r>
      <w:r w:rsidR="00C76552" w:rsidRPr="00AB0E6B">
        <w:rPr>
          <w:sz w:val="24"/>
          <w:lang w:val="en-US"/>
        </w:rPr>
        <w:t>nes of MSC 28 Day DEGs</w:t>
      </w:r>
      <w:r w:rsidRPr="00AB0E6B">
        <w:rPr>
          <w:sz w:val="24"/>
          <w:lang w:val="en-US"/>
        </w:rPr>
        <w:t xml:space="preserve"> and Fib</w:t>
      </w:r>
      <w:r w:rsidR="00C76552" w:rsidRPr="00AB0E6B">
        <w:rPr>
          <w:sz w:val="24"/>
          <w:lang w:val="en-US"/>
        </w:rPr>
        <w:t>roblast 35 Day DEGs</w:t>
      </w:r>
      <w:r w:rsidRPr="00AB0E6B">
        <w:rPr>
          <w:sz w:val="24"/>
          <w:lang w:val="en-US"/>
        </w:rPr>
        <w:t xml:space="preserve">. Differentially expressed genes for the enrichment analysis were chosen using adjusted </w:t>
      </w:r>
      <w:proofErr w:type="spellStart"/>
      <w:r w:rsidRPr="00AB0E6B">
        <w:rPr>
          <w:sz w:val="24"/>
          <w:lang w:val="en-US"/>
        </w:rPr>
        <w:t>pValue</w:t>
      </w:r>
      <w:proofErr w:type="spellEnd"/>
      <w:r w:rsidRPr="00AB0E6B">
        <w:rPr>
          <w:sz w:val="24"/>
          <w:lang w:val="en-US"/>
        </w:rPr>
        <w:t xml:space="preserve"> threshold of 0.05 and requiring at least 1.5-fold up- or down-regulation in expression. </w:t>
      </w:r>
    </w:p>
    <w:p w:rsidR="0096224C" w:rsidRPr="00AB0E6B" w:rsidRDefault="00E96D48" w:rsidP="00E96D48">
      <w:pPr>
        <w:spacing w:line="360" w:lineRule="auto"/>
        <w:jc w:val="both"/>
        <w:rPr>
          <w:sz w:val="24"/>
          <w:lang w:val="en-US"/>
        </w:rPr>
      </w:pPr>
      <w:r w:rsidRPr="00AB0E6B">
        <w:rPr>
          <w:sz w:val="24"/>
          <w:lang w:val="en-US"/>
        </w:rPr>
        <w:t xml:space="preserve">The minimum and maximum gene set sizes were set to 10 and 500, respectively. Resulting p-values </w:t>
      </w:r>
      <w:proofErr w:type="gramStart"/>
      <w:r w:rsidRPr="00AB0E6B">
        <w:rPr>
          <w:sz w:val="24"/>
          <w:lang w:val="en-US"/>
        </w:rPr>
        <w:t>were adjusted</w:t>
      </w:r>
      <w:proofErr w:type="gramEnd"/>
      <w:r w:rsidRPr="00AB0E6B">
        <w:rPr>
          <w:sz w:val="24"/>
          <w:lang w:val="en-US"/>
        </w:rPr>
        <w:t xml:space="preserve"> using the </w:t>
      </w:r>
      <w:proofErr w:type="spellStart"/>
      <w:r w:rsidRPr="00AB0E6B">
        <w:rPr>
          <w:sz w:val="24"/>
          <w:lang w:val="en-US"/>
        </w:rPr>
        <w:t>Benjamini</w:t>
      </w:r>
      <w:proofErr w:type="spellEnd"/>
      <w:r w:rsidRPr="00AB0E6B">
        <w:rPr>
          <w:sz w:val="24"/>
          <w:lang w:val="en-US"/>
        </w:rPr>
        <w:t xml:space="preserve">-Hochberg procedure. Enriched terms were further visualized using </w:t>
      </w:r>
      <w:proofErr w:type="spellStart"/>
      <w:r w:rsidRPr="00AB0E6B">
        <w:rPr>
          <w:sz w:val="24"/>
          <w:lang w:val="en-US"/>
        </w:rPr>
        <w:t>clusterProfiler</w:t>
      </w:r>
      <w:proofErr w:type="spellEnd"/>
      <w:r w:rsidRPr="00AB0E6B">
        <w:rPr>
          <w:sz w:val="24"/>
          <w:lang w:val="en-US"/>
        </w:rPr>
        <w:t xml:space="preserve"> functions (</w:t>
      </w:r>
      <w:proofErr w:type="spellStart"/>
      <w:r w:rsidRPr="00AB0E6B">
        <w:rPr>
          <w:sz w:val="24"/>
          <w:lang w:val="en-US"/>
        </w:rPr>
        <w:t>dotplot</w:t>
      </w:r>
      <w:proofErr w:type="spellEnd"/>
      <w:r w:rsidRPr="00AB0E6B">
        <w:rPr>
          <w:sz w:val="24"/>
          <w:lang w:val="en-US"/>
        </w:rPr>
        <w:t xml:space="preserve">, </w:t>
      </w:r>
      <w:proofErr w:type="spellStart"/>
      <w:r w:rsidRPr="00AB0E6B">
        <w:rPr>
          <w:sz w:val="24"/>
          <w:lang w:val="en-US"/>
        </w:rPr>
        <w:t>cnetplot</w:t>
      </w:r>
      <w:proofErr w:type="spellEnd"/>
      <w:r w:rsidRPr="00AB0E6B">
        <w:rPr>
          <w:sz w:val="24"/>
          <w:lang w:val="en-US"/>
        </w:rPr>
        <w:t>)</w:t>
      </w:r>
    </w:p>
    <w:p w:rsidR="00E96D48" w:rsidRDefault="00E96D48" w:rsidP="00E96D48">
      <w:pPr>
        <w:spacing w:line="360" w:lineRule="auto"/>
        <w:jc w:val="both"/>
        <w:rPr>
          <w:sz w:val="24"/>
          <w:u w:val="single"/>
          <w:lang w:val="en-US"/>
        </w:rPr>
      </w:pPr>
    </w:p>
    <w:p w:rsidR="006B2E40" w:rsidRPr="001A21D9" w:rsidRDefault="001A21D9" w:rsidP="006B2E40">
      <w:pPr>
        <w:spacing w:line="360" w:lineRule="auto"/>
        <w:jc w:val="both"/>
        <w:rPr>
          <w:sz w:val="24"/>
          <w:u w:val="single"/>
          <w:lang w:val="en-US"/>
        </w:rPr>
      </w:pPr>
      <w:r w:rsidRPr="001A21D9">
        <w:rPr>
          <w:sz w:val="24"/>
          <w:u w:val="single"/>
          <w:lang w:val="en-US"/>
        </w:rPr>
        <w:t xml:space="preserve">Ingenuity pathway analysis </w:t>
      </w:r>
    </w:p>
    <w:p w:rsidR="001A21D9" w:rsidRPr="00DD3103" w:rsidRDefault="001A21D9" w:rsidP="001A21D9">
      <w:pPr>
        <w:spacing w:line="360" w:lineRule="auto"/>
        <w:jc w:val="both"/>
        <w:rPr>
          <w:sz w:val="24"/>
          <w:lang w:val="en-US"/>
        </w:rPr>
      </w:pPr>
      <w:r w:rsidRPr="00AB0E6B">
        <w:rPr>
          <w:sz w:val="24"/>
          <w:lang w:val="en-US"/>
        </w:rPr>
        <w:t xml:space="preserve">The Fibroblast endpoint results (dataset 1) and MSC endpoint results (dataset 2) were </w:t>
      </w:r>
      <w:proofErr w:type="spellStart"/>
      <w:r w:rsidRPr="00AB0E6B">
        <w:rPr>
          <w:sz w:val="24"/>
          <w:lang w:val="en-US"/>
        </w:rPr>
        <w:t>analysed</w:t>
      </w:r>
      <w:proofErr w:type="spellEnd"/>
      <w:r w:rsidRPr="00AB0E6B">
        <w:rPr>
          <w:sz w:val="24"/>
          <w:lang w:val="en-US"/>
        </w:rPr>
        <w:t xml:space="preserve"> with Ingenuity pathway analysis (IPA). Differentially expressed genes </w:t>
      </w:r>
      <w:proofErr w:type="gramStart"/>
      <w:r w:rsidRPr="00AB0E6B">
        <w:rPr>
          <w:sz w:val="24"/>
          <w:lang w:val="en-US"/>
        </w:rPr>
        <w:t>were defined</w:t>
      </w:r>
      <w:proofErr w:type="gramEnd"/>
      <w:r w:rsidRPr="00AB0E6B">
        <w:rPr>
          <w:sz w:val="24"/>
          <w:lang w:val="en-US"/>
        </w:rPr>
        <w:t xml:space="preserve"> using the following cut-offs: a) adjusted p-value &lt; 0.01, b) absolute log2 fold change &gt; 1. Resulting DEG lists were 1217 genes and 726 genes for datasets 1 and 2, respectively. All </w:t>
      </w:r>
      <w:proofErr w:type="spellStart"/>
      <w:r w:rsidRPr="00AB0E6B">
        <w:rPr>
          <w:sz w:val="24"/>
          <w:lang w:val="en-US"/>
        </w:rPr>
        <w:t>analysed</w:t>
      </w:r>
      <w:proofErr w:type="spellEnd"/>
      <w:r w:rsidRPr="00AB0E6B">
        <w:rPr>
          <w:sz w:val="24"/>
          <w:lang w:val="en-US"/>
        </w:rPr>
        <w:t xml:space="preserve"> genes in the respective datasets </w:t>
      </w:r>
      <w:proofErr w:type="gramStart"/>
      <w:r w:rsidRPr="00AB0E6B">
        <w:rPr>
          <w:sz w:val="24"/>
          <w:lang w:val="en-US"/>
        </w:rPr>
        <w:t>were used</w:t>
      </w:r>
      <w:proofErr w:type="gramEnd"/>
      <w:r w:rsidRPr="00AB0E6B">
        <w:rPr>
          <w:sz w:val="24"/>
          <w:lang w:val="en-US"/>
        </w:rPr>
        <w:t xml:space="preserve"> as the background genes for control. IPA Core Analysis results for Canonical Pathways, Upstream Regulators, Master Regulators and Regulator Effects </w:t>
      </w:r>
      <w:proofErr w:type="gramStart"/>
      <w:r w:rsidRPr="00AB0E6B">
        <w:rPr>
          <w:sz w:val="24"/>
          <w:lang w:val="en-US"/>
        </w:rPr>
        <w:t>were exported</w:t>
      </w:r>
      <w:proofErr w:type="gramEnd"/>
      <w:r w:rsidRPr="00AB0E6B">
        <w:rPr>
          <w:sz w:val="24"/>
          <w:lang w:val="en-US"/>
        </w:rPr>
        <w:t xml:space="preserve"> as Excel tables, adjusted p-value 0.05 was used as a threshold for filtering for statistically significant results. </w:t>
      </w:r>
    </w:p>
    <w:p w:rsidR="001A21D9" w:rsidRPr="00C76552" w:rsidRDefault="001A21D9" w:rsidP="001A21D9">
      <w:pPr>
        <w:spacing w:line="360" w:lineRule="auto"/>
        <w:jc w:val="both"/>
        <w:rPr>
          <w:b/>
          <w:sz w:val="28"/>
          <w:lang w:val="en-US"/>
        </w:rPr>
      </w:pPr>
      <w:r w:rsidRPr="00C76552">
        <w:rPr>
          <w:b/>
          <w:sz w:val="28"/>
          <w:lang w:val="en-US"/>
        </w:rPr>
        <w:lastRenderedPageBreak/>
        <w:t xml:space="preserve">Total proteomics </w:t>
      </w:r>
    </w:p>
    <w:p w:rsidR="003E66E9" w:rsidRDefault="003E66E9" w:rsidP="001A21D9">
      <w:pPr>
        <w:spacing w:line="360" w:lineRule="auto"/>
        <w:jc w:val="both"/>
        <w:rPr>
          <w:sz w:val="24"/>
          <w:u w:val="single"/>
          <w:lang w:val="en-US"/>
        </w:rPr>
      </w:pPr>
      <w:r w:rsidRPr="003E66E9">
        <w:rPr>
          <w:sz w:val="24"/>
          <w:u w:val="single"/>
          <w:lang w:val="en-US"/>
        </w:rPr>
        <w:t>Database Search and Quantitation</w:t>
      </w:r>
    </w:p>
    <w:p w:rsidR="003E66E9" w:rsidRPr="00AB0E6B" w:rsidRDefault="003E66E9" w:rsidP="001A21D9">
      <w:pPr>
        <w:spacing w:line="360" w:lineRule="auto"/>
        <w:jc w:val="both"/>
        <w:rPr>
          <w:sz w:val="24"/>
          <w:lang w:val="en-US"/>
        </w:rPr>
      </w:pPr>
      <w:r w:rsidRPr="00AB0E6B">
        <w:rPr>
          <w:sz w:val="24"/>
          <w:lang w:val="en-US"/>
        </w:rPr>
        <w:t xml:space="preserve">Raw data </w:t>
      </w:r>
      <w:proofErr w:type="gramStart"/>
      <w:r w:rsidRPr="00AB0E6B">
        <w:rPr>
          <w:sz w:val="24"/>
          <w:lang w:val="en-US"/>
        </w:rPr>
        <w:t>were processed</w:t>
      </w:r>
      <w:proofErr w:type="gramEnd"/>
      <w:r w:rsidRPr="00AB0E6B">
        <w:rPr>
          <w:sz w:val="24"/>
          <w:lang w:val="en-US"/>
        </w:rPr>
        <w:t xml:space="preserve"> with </w:t>
      </w:r>
      <w:proofErr w:type="spellStart"/>
      <w:r w:rsidRPr="00AB0E6B">
        <w:rPr>
          <w:sz w:val="24"/>
          <w:lang w:val="en-US"/>
        </w:rPr>
        <w:t>MaxQuant</w:t>
      </w:r>
      <w:proofErr w:type="spellEnd"/>
      <w:r w:rsidRPr="00AB0E6B">
        <w:rPr>
          <w:sz w:val="24"/>
          <w:lang w:val="en-US"/>
        </w:rPr>
        <w:t xml:space="preserve"> versi</w:t>
      </w:r>
      <w:r w:rsidR="00B84FB9" w:rsidRPr="00AB0E6B">
        <w:rPr>
          <w:sz w:val="24"/>
          <w:lang w:val="en-US"/>
        </w:rPr>
        <w:t>on 1.6.0.16 [</w:t>
      </w:r>
      <w:r w:rsidR="00DD3103">
        <w:rPr>
          <w:sz w:val="24"/>
          <w:lang w:val="en-US"/>
        </w:rPr>
        <w:t>Cox &amp; Mann, 2008</w:t>
      </w:r>
      <w:r w:rsidR="00B84FB9" w:rsidRPr="00AB0E6B">
        <w:rPr>
          <w:sz w:val="24"/>
          <w:lang w:val="en-US"/>
        </w:rPr>
        <w:t>]</w:t>
      </w:r>
      <w:r w:rsidRPr="00AB0E6B">
        <w:rPr>
          <w:sz w:val="24"/>
          <w:lang w:val="en-US"/>
        </w:rPr>
        <w:t xml:space="preserve">. MS spectra were compared against the human component of the </w:t>
      </w:r>
      <w:proofErr w:type="spellStart"/>
      <w:r w:rsidRPr="00AB0E6B">
        <w:rPr>
          <w:sz w:val="24"/>
          <w:lang w:val="en-US"/>
        </w:rPr>
        <w:t>UniProtKB</w:t>
      </w:r>
      <w:proofErr w:type="spellEnd"/>
      <w:r w:rsidRPr="00AB0E6B">
        <w:rPr>
          <w:sz w:val="24"/>
          <w:lang w:val="en-US"/>
        </w:rPr>
        <w:t xml:space="preserve"> database (release 2020_01 with 20,303 entries) using the Andromeda search engine. </w:t>
      </w:r>
      <w:proofErr w:type="spellStart"/>
      <w:r w:rsidRPr="00AB0E6B">
        <w:rPr>
          <w:sz w:val="24"/>
          <w:lang w:val="en-US"/>
        </w:rPr>
        <w:t>Carbamidomethylation</w:t>
      </w:r>
      <w:proofErr w:type="spellEnd"/>
      <w:r w:rsidRPr="00AB0E6B">
        <w:rPr>
          <w:sz w:val="24"/>
          <w:lang w:val="en-US"/>
        </w:rPr>
        <w:t xml:space="preserve"> (+57.021 Da) of cysteine residues was used as static modification. Phosphorylation of serine/threonine/tyrosine (+79.966 Da) and oxidation (+15.994 Da) of methionine were used as dynamic modification. Precursor mass tolerance and fragment mass tolerance were set to less than 20 ppm and 0.1 Da, respectively. A maximum of two missed cleavages </w:t>
      </w:r>
      <w:proofErr w:type="gramStart"/>
      <w:r w:rsidRPr="00AB0E6B">
        <w:rPr>
          <w:sz w:val="24"/>
          <w:lang w:val="en-US"/>
        </w:rPr>
        <w:t>was allowed</w:t>
      </w:r>
      <w:proofErr w:type="gramEnd"/>
      <w:r w:rsidRPr="00AB0E6B">
        <w:rPr>
          <w:sz w:val="24"/>
          <w:lang w:val="en-US"/>
        </w:rPr>
        <w:t xml:space="preserve">. The results </w:t>
      </w:r>
      <w:proofErr w:type="gramStart"/>
      <w:r w:rsidRPr="00AB0E6B">
        <w:rPr>
          <w:sz w:val="24"/>
          <w:lang w:val="en-US"/>
        </w:rPr>
        <w:t>were filtered</w:t>
      </w:r>
      <w:proofErr w:type="gramEnd"/>
      <w:r w:rsidRPr="00AB0E6B">
        <w:rPr>
          <w:sz w:val="24"/>
          <w:lang w:val="en-US"/>
        </w:rPr>
        <w:t xml:space="preserve"> to a maximum false discovery rate (FDR) of 5 %, and </w:t>
      </w:r>
      <w:proofErr w:type="spellStart"/>
      <w:r w:rsidRPr="00AB0E6B">
        <w:rPr>
          <w:sz w:val="24"/>
          <w:lang w:val="en-US"/>
        </w:rPr>
        <w:t>phosphosamples</w:t>
      </w:r>
      <w:proofErr w:type="spellEnd"/>
      <w:r w:rsidRPr="00AB0E6B">
        <w:rPr>
          <w:sz w:val="24"/>
          <w:lang w:val="en-US"/>
        </w:rPr>
        <w:t xml:space="preserve"> further based on the phosphorylation localization probability at the cut-off value of 0.75 with exception of two adjacent sites where the cut-off value was 0.5.</w:t>
      </w:r>
    </w:p>
    <w:p w:rsidR="003C612F" w:rsidRPr="003E66E9" w:rsidRDefault="003C612F" w:rsidP="001A21D9">
      <w:pPr>
        <w:spacing w:line="360" w:lineRule="auto"/>
        <w:jc w:val="both"/>
        <w:rPr>
          <w:sz w:val="24"/>
          <w:lang w:val="en-US"/>
        </w:rPr>
      </w:pPr>
    </w:p>
    <w:p w:rsidR="001A21D9" w:rsidRPr="001A21D9" w:rsidRDefault="001A21D9" w:rsidP="001A21D9">
      <w:pPr>
        <w:spacing w:line="360" w:lineRule="auto"/>
        <w:jc w:val="both"/>
        <w:rPr>
          <w:sz w:val="24"/>
          <w:u w:val="single"/>
          <w:lang w:val="en-US"/>
        </w:rPr>
      </w:pPr>
      <w:r w:rsidRPr="001A21D9">
        <w:rPr>
          <w:sz w:val="24"/>
          <w:u w:val="single"/>
          <w:lang w:val="en-US"/>
        </w:rPr>
        <w:t xml:space="preserve">Data, quality control and pre-processing </w:t>
      </w:r>
    </w:p>
    <w:p w:rsidR="001A21D9" w:rsidRPr="00AB0E6B" w:rsidRDefault="001A21D9" w:rsidP="001A21D9">
      <w:pPr>
        <w:spacing w:line="360" w:lineRule="auto"/>
        <w:jc w:val="both"/>
        <w:rPr>
          <w:sz w:val="24"/>
          <w:lang w:val="en-US"/>
        </w:rPr>
      </w:pPr>
      <w:r w:rsidRPr="00AB0E6B">
        <w:rPr>
          <w:sz w:val="24"/>
          <w:lang w:val="en-US"/>
        </w:rPr>
        <w:t xml:space="preserve">The data </w:t>
      </w:r>
      <w:proofErr w:type="gramStart"/>
      <w:r w:rsidRPr="00AB0E6B">
        <w:rPr>
          <w:sz w:val="24"/>
          <w:lang w:val="en-US"/>
        </w:rPr>
        <w:t>was delivered</w:t>
      </w:r>
      <w:proofErr w:type="gramEnd"/>
      <w:r w:rsidRPr="00AB0E6B">
        <w:rPr>
          <w:sz w:val="24"/>
          <w:lang w:val="en-US"/>
        </w:rPr>
        <w:t xml:space="preserve"> as raw LFQ intensity values from an LC-MS/MS analysis. Data from MSC and fibroblasts </w:t>
      </w:r>
      <w:proofErr w:type="gramStart"/>
      <w:r w:rsidRPr="00AB0E6B">
        <w:rPr>
          <w:sz w:val="24"/>
          <w:lang w:val="en-US"/>
        </w:rPr>
        <w:t>were combined</w:t>
      </w:r>
      <w:proofErr w:type="gramEnd"/>
      <w:r w:rsidRPr="00AB0E6B">
        <w:rPr>
          <w:sz w:val="24"/>
          <w:lang w:val="en-US"/>
        </w:rPr>
        <w:t>, totaling to 3091 proteins. R package DEP v. 1.14.0 [</w:t>
      </w:r>
      <w:r w:rsidR="00DD3103">
        <w:rPr>
          <w:sz w:val="24"/>
          <w:lang w:val="en-US"/>
        </w:rPr>
        <w:t>Zhang et al., 2018</w:t>
      </w:r>
      <w:r w:rsidRPr="00AB0E6B">
        <w:rPr>
          <w:sz w:val="24"/>
          <w:lang w:val="en-US"/>
        </w:rPr>
        <w:t xml:space="preserve">] </w:t>
      </w:r>
      <w:proofErr w:type="gramStart"/>
      <w:r w:rsidRPr="00AB0E6B">
        <w:rPr>
          <w:sz w:val="24"/>
          <w:lang w:val="en-US"/>
        </w:rPr>
        <w:t>was used</w:t>
      </w:r>
      <w:proofErr w:type="gramEnd"/>
      <w:r w:rsidRPr="00AB0E6B">
        <w:rPr>
          <w:sz w:val="24"/>
          <w:lang w:val="en-US"/>
        </w:rPr>
        <w:t xml:space="preserve"> for subsequent data normalization, filtering and imputation steps. </w:t>
      </w:r>
    </w:p>
    <w:p w:rsidR="001A21D9" w:rsidRPr="00AB0E6B" w:rsidRDefault="001A21D9" w:rsidP="001A21D9">
      <w:pPr>
        <w:spacing w:line="360" w:lineRule="auto"/>
        <w:jc w:val="both"/>
        <w:rPr>
          <w:sz w:val="24"/>
          <w:lang w:val="en-US"/>
        </w:rPr>
      </w:pPr>
      <w:r w:rsidRPr="00AB0E6B">
        <w:rPr>
          <w:sz w:val="24"/>
          <w:lang w:val="en-US"/>
        </w:rPr>
        <w:t xml:space="preserve">Basic filtering of DEP package was applied, filtering for proteins that were identified in all replicates in at least one condition (condition = cell type + time point). </w:t>
      </w:r>
      <w:proofErr w:type="gramStart"/>
      <w:r w:rsidRPr="00AB0E6B">
        <w:rPr>
          <w:sz w:val="24"/>
          <w:lang w:val="en-US"/>
        </w:rPr>
        <w:t>1235</w:t>
      </w:r>
      <w:proofErr w:type="gramEnd"/>
      <w:r w:rsidRPr="00AB0E6B">
        <w:rPr>
          <w:sz w:val="24"/>
          <w:lang w:val="en-US"/>
        </w:rPr>
        <w:t xml:space="preserve"> proteins were retained for subsequent analysis. Normalization of the data </w:t>
      </w:r>
      <w:proofErr w:type="gramStart"/>
      <w:r w:rsidRPr="00AB0E6B">
        <w:rPr>
          <w:sz w:val="24"/>
          <w:lang w:val="en-US"/>
        </w:rPr>
        <w:t>was done</w:t>
      </w:r>
      <w:proofErr w:type="gramEnd"/>
      <w:r w:rsidRPr="00AB0E6B">
        <w:rPr>
          <w:sz w:val="24"/>
          <w:lang w:val="en-US"/>
        </w:rPr>
        <w:t xml:space="preserve"> using variance </w:t>
      </w:r>
      <w:r w:rsidR="007053AA" w:rsidRPr="00AB0E6B">
        <w:rPr>
          <w:sz w:val="24"/>
          <w:lang w:val="en-US"/>
        </w:rPr>
        <w:t>stabilizing</w:t>
      </w:r>
      <w:r w:rsidRPr="00AB0E6B">
        <w:rPr>
          <w:sz w:val="24"/>
          <w:lang w:val="en-US"/>
        </w:rPr>
        <w:t xml:space="preserve"> </w:t>
      </w:r>
      <w:proofErr w:type="spellStart"/>
      <w:r w:rsidRPr="00AB0E6B">
        <w:rPr>
          <w:sz w:val="24"/>
          <w:lang w:val="en-US"/>
        </w:rPr>
        <w:t>normalisation</w:t>
      </w:r>
      <w:proofErr w:type="spellEnd"/>
      <w:r w:rsidRPr="00AB0E6B">
        <w:rPr>
          <w:sz w:val="24"/>
          <w:lang w:val="en-US"/>
        </w:rPr>
        <w:t xml:space="preserve"> (VSN) that addresses the dependence of the variance on the mean intensity. Box plots of the data before and after normalization </w:t>
      </w:r>
      <w:proofErr w:type="gramStart"/>
      <w:r w:rsidRPr="00AB0E6B">
        <w:rPr>
          <w:sz w:val="24"/>
          <w:lang w:val="en-US"/>
        </w:rPr>
        <w:t>were generated</w:t>
      </w:r>
      <w:proofErr w:type="gramEnd"/>
      <w:r w:rsidRPr="00AB0E6B">
        <w:rPr>
          <w:sz w:val="24"/>
          <w:lang w:val="en-US"/>
        </w:rPr>
        <w:t xml:space="preserve"> to inspect the result of the normalization procedure. DEP plotting functions </w:t>
      </w:r>
      <w:proofErr w:type="gramStart"/>
      <w:r w:rsidRPr="00AB0E6B">
        <w:rPr>
          <w:sz w:val="24"/>
          <w:lang w:val="en-US"/>
        </w:rPr>
        <w:t>were used</w:t>
      </w:r>
      <w:proofErr w:type="gramEnd"/>
      <w:r w:rsidRPr="00AB0E6B">
        <w:rPr>
          <w:sz w:val="24"/>
          <w:lang w:val="en-US"/>
        </w:rPr>
        <w:t xml:space="preserve"> for plotting a </w:t>
      </w:r>
      <w:proofErr w:type="spellStart"/>
      <w:r w:rsidRPr="00AB0E6B">
        <w:rPr>
          <w:sz w:val="24"/>
          <w:lang w:val="en-US"/>
        </w:rPr>
        <w:t>heatmap</w:t>
      </w:r>
      <w:proofErr w:type="spellEnd"/>
      <w:r w:rsidRPr="00AB0E6B">
        <w:rPr>
          <w:sz w:val="24"/>
          <w:lang w:val="en-US"/>
        </w:rPr>
        <w:t xml:space="preserve"> that showed the missing value pattern as well as a </w:t>
      </w:r>
      <w:proofErr w:type="spellStart"/>
      <w:r w:rsidRPr="00AB0E6B">
        <w:rPr>
          <w:sz w:val="24"/>
          <w:lang w:val="en-US"/>
        </w:rPr>
        <w:t>barplot</w:t>
      </w:r>
      <w:proofErr w:type="spellEnd"/>
      <w:r w:rsidRPr="00AB0E6B">
        <w:rPr>
          <w:sz w:val="24"/>
          <w:lang w:val="en-US"/>
        </w:rPr>
        <w:t xml:space="preserve"> showing numbers of observed proteins per sample after the filtering. Data imputation </w:t>
      </w:r>
      <w:proofErr w:type="gramStart"/>
      <w:r w:rsidRPr="00AB0E6B">
        <w:rPr>
          <w:sz w:val="24"/>
          <w:lang w:val="en-US"/>
        </w:rPr>
        <w:t>was performed</w:t>
      </w:r>
      <w:proofErr w:type="gramEnd"/>
      <w:r w:rsidRPr="00AB0E6B">
        <w:rPr>
          <w:sz w:val="24"/>
          <w:lang w:val="en-US"/>
        </w:rPr>
        <w:t xml:space="preserve"> using the </w:t>
      </w:r>
      <w:proofErr w:type="spellStart"/>
      <w:r w:rsidRPr="00AB0E6B">
        <w:rPr>
          <w:sz w:val="24"/>
          <w:lang w:val="en-US"/>
        </w:rPr>
        <w:t>MinProb</w:t>
      </w:r>
      <w:proofErr w:type="spellEnd"/>
      <w:r w:rsidRPr="00AB0E6B">
        <w:rPr>
          <w:sz w:val="24"/>
          <w:lang w:val="en-US"/>
        </w:rPr>
        <w:t xml:space="preserve"> method (using probabilistic minimum valu</w:t>
      </w:r>
      <w:r w:rsidR="00763133">
        <w:rPr>
          <w:sz w:val="24"/>
          <w:lang w:val="en-US"/>
        </w:rPr>
        <w:t xml:space="preserve">es). Principal Component </w:t>
      </w:r>
      <w:r w:rsidR="00263CAA">
        <w:rPr>
          <w:sz w:val="24"/>
          <w:lang w:val="en-US"/>
        </w:rPr>
        <w:t>A</w:t>
      </w:r>
      <w:r w:rsidRPr="00AB0E6B">
        <w:rPr>
          <w:sz w:val="24"/>
          <w:lang w:val="en-US"/>
        </w:rPr>
        <w:t xml:space="preserve">nalysis (PCA) </w:t>
      </w:r>
      <w:proofErr w:type="gramStart"/>
      <w:r w:rsidRPr="00AB0E6B">
        <w:rPr>
          <w:sz w:val="24"/>
          <w:lang w:val="en-US"/>
        </w:rPr>
        <w:t>was performed</w:t>
      </w:r>
      <w:proofErr w:type="gramEnd"/>
      <w:r w:rsidRPr="00AB0E6B">
        <w:rPr>
          <w:sz w:val="24"/>
          <w:lang w:val="en-US"/>
        </w:rPr>
        <w:t xml:space="preserve"> using </w:t>
      </w:r>
      <w:proofErr w:type="spellStart"/>
      <w:r w:rsidRPr="00AB0E6B">
        <w:rPr>
          <w:sz w:val="24"/>
          <w:lang w:val="en-US"/>
        </w:rPr>
        <w:t>plot_pca</w:t>
      </w:r>
      <w:proofErr w:type="spellEnd"/>
      <w:r w:rsidRPr="00AB0E6B">
        <w:rPr>
          <w:sz w:val="24"/>
          <w:lang w:val="en-US"/>
        </w:rPr>
        <w:t xml:space="preserve"> function of DEP for non-imputed and imputed data using the top 300 most variable proteins to inspect the </w:t>
      </w:r>
      <w:proofErr w:type="spellStart"/>
      <w:r w:rsidRPr="00AB0E6B">
        <w:rPr>
          <w:sz w:val="24"/>
          <w:lang w:val="en-US"/>
        </w:rPr>
        <w:t>affect</w:t>
      </w:r>
      <w:proofErr w:type="spellEnd"/>
      <w:r w:rsidRPr="00AB0E6B">
        <w:rPr>
          <w:sz w:val="24"/>
          <w:lang w:val="en-US"/>
        </w:rPr>
        <w:t xml:space="preserve"> of the data imputation on the sample grouping.</w:t>
      </w:r>
    </w:p>
    <w:p w:rsidR="003E5C37" w:rsidRDefault="003E5C37" w:rsidP="001A21D9">
      <w:pPr>
        <w:spacing w:line="360" w:lineRule="auto"/>
        <w:jc w:val="both"/>
        <w:rPr>
          <w:sz w:val="24"/>
          <w:lang w:val="en-US"/>
        </w:rPr>
      </w:pPr>
    </w:p>
    <w:p w:rsidR="00AB0E6B" w:rsidRPr="00AB0E6B" w:rsidRDefault="00AB0E6B" w:rsidP="001A21D9">
      <w:pPr>
        <w:spacing w:line="360" w:lineRule="auto"/>
        <w:jc w:val="both"/>
        <w:rPr>
          <w:sz w:val="24"/>
          <w:lang w:val="en-US"/>
        </w:rPr>
      </w:pPr>
    </w:p>
    <w:p w:rsidR="001A21D9" w:rsidRDefault="001A21D9" w:rsidP="001A21D9">
      <w:pPr>
        <w:spacing w:line="360" w:lineRule="auto"/>
        <w:jc w:val="both"/>
        <w:rPr>
          <w:sz w:val="24"/>
          <w:u w:val="single"/>
          <w:lang w:val="en-US"/>
        </w:rPr>
      </w:pPr>
      <w:r w:rsidRPr="001A21D9">
        <w:rPr>
          <w:sz w:val="24"/>
          <w:u w:val="single"/>
          <w:lang w:val="en-US"/>
        </w:rPr>
        <w:t xml:space="preserve">Endpoint differential expression analysis </w:t>
      </w:r>
    </w:p>
    <w:p w:rsidR="007053AA" w:rsidRPr="00AB0E6B" w:rsidRDefault="001A21D9" w:rsidP="001A21D9">
      <w:pPr>
        <w:spacing w:line="360" w:lineRule="auto"/>
        <w:jc w:val="both"/>
        <w:rPr>
          <w:sz w:val="24"/>
          <w:lang w:val="en-US"/>
        </w:rPr>
      </w:pPr>
      <w:r w:rsidRPr="00AB0E6B">
        <w:rPr>
          <w:sz w:val="24"/>
          <w:lang w:val="en-US"/>
        </w:rPr>
        <w:t xml:space="preserve">Differential expression (DE) analysis based on linear models and empirical Bayes statistics </w:t>
      </w:r>
      <w:proofErr w:type="gramStart"/>
      <w:r w:rsidRPr="00AB0E6B">
        <w:rPr>
          <w:sz w:val="24"/>
          <w:lang w:val="en-US"/>
        </w:rPr>
        <w:t>was implemented</w:t>
      </w:r>
      <w:proofErr w:type="gramEnd"/>
      <w:r w:rsidRPr="00AB0E6B">
        <w:rPr>
          <w:sz w:val="24"/>
          <w:lang w:val="en-US"/>
        </w:rPr>
        <w:t xml:space="preserve"> using the function </w:t>
      </w:r>
      <w:proofErr w:type="spellStart"/>
      <w:r w:rsidRPr="00AB0E6B">
        <w:rPr>
          <w:sz w:val="24"/>
          <w:lang w:val="en-US"/>
        </w:rPr>
        <w:t>test_dif</w:t>
      </w:r>
      <w:proofErr w:type="spellEnd"/>
      <w:r w:rsidRPr="00AB0E6B">
        <w:rPr>
          <w:sz w:val="24"/>
          <w:lang w:val="en-US"/>
        </w:rPr>
        <w:t xml:space="preserve"> in the R package </w:t>
      </w:r>
      <w:r w:rsidR="00A55AC9" w:rsidRPr="00AB0E6B">
        <w:rPr>
          <w:sz w:val="24"/>
          <w:lang w:val="en-US"/>
        </w:rPr>
        <w:t>DEP that</w:t>
      </w:r>
      <w:r w:rsidRPr="00AB0E6B">
        <w:rPr>
          <w:sz w:val="24"/>
          <w:lang w:val="en-US"/>
        </w:rPr>
        <w:t xml:space="preserve"> is calling linear models from R package </w:t>
      </w:r>
      <w:proofErr w:type="spellStart"/>
      <w:r w:rsidRPr="00AB0E6B">
        <w:rPr>
          <w:sz w:val="24"/>
          <w:lang w:val="en-US"/>
        </w:rPr>
        <w:t>limma</w:t>
      </w:r>
      <w:proofErr w:type="spellEnd"/>
      <w:r w:rsidRPr="00AB0E6B">
        <w:rPr>
          <w:sz w:val="24"/>
          <w:lang w:val="en-US"/>
        </w:rPr>
        <w:t>. The two sample sets, MSC samples and prim</w:t>
      </w:r>
      <w:r w:rsidR="007053AA" w:rsidRPr="00AB0E6B">
        <w:rPr>
          <w:sz w:val="24"/>
          <w:lang w:val="en-US"/>
        </w:rPr>
        <w:t xml:space="preserve">ary fibroblasts, were </w:t>
      </w:r>
      <w:proofErr w:type="spellStart"/>
      <w:r w:rsidR="007053AA" w:rsidRPr="00AB0E6B">
        <w:rPr>
          <w:sz w:val="24"/>
          <w:lang w:val="en-US"/>
        </w:rPr>
        <w:t>analysed</w:t>
      </w:r>
      <w:proofErr w:type="spellEnd"/>
      <w:r w:rsidRPr="00AB0E6B">
        <w:rPr>
          <w:sz w:val="24"/>
          <w:lang w:val="en-US"/>
        </w:rPr>
        <w:t xml:space="preserve"> by contrasting the last time point (day 28 or day 35 for MSC and fibroblasts, respectively) to the day </w:t>
      </w:r>
      <w:proofErr w:type="gramStart"/>
      <w:r w:rsidRPr="00AB0E6B">
        <w:rPr>
          <w:sz w:val="24"/>
          <w:lang w:val="en-US"/>
        </w:rPr>
        <w:t>0 time</w:t>
      </w:r>
      <w:proofErr w:type="gramEnd"/>
      <w:r w:rsidRPr="00AB0E6B">
        <w:rPr>
          <w:sz w:val="24"/>
          <w:lang w:val="en-US"/>
        </w:rPr>
        <w:t xml:space="preserve"> point. Significantly </w:t>
      </w:r>
      <w:proofErr w:type="gramStart"/>
      <w:r w:rsidRPr="00AB0E6B">
        <w:rPr>
          <w:sz w:val="24"/>
          <w:lang w:val="en-US"/>
        </w:rPr>
        <w:t>changed proteins were marked by defining 0.05</w:t>
      </w:r>
      <w:proofErr w:type="gramEnd"/>
      <w:r w:rsidRPr="00AB0E6B">
        <w:rPr>
          <w:sz w:val="24"/>
          <w:lang w:val="en-US"/>
        </w:rPr>
        <w:t xml:space="preserve"> as the threshold for the adjusted </w:t>
      </w:r>
      <w:proofErr w:type="spellStart"/>
      <w:r w:rsidRPr="00AB0E6B">
        <w:rPr>
          <w:sz w:val="24"/>
          <w:lang w:val="en-US"/>
        </w:rPr>
        <w:t>pvalue</w:t>
      </w:r>
      <w:proofErr w:type="spellEnd"/>
      <w:r w:rsidR="007053AA" w:rsidRPr="00AB0E6B">
        <w:rPr>
          <w:sz w:val="24"/>
          <w:lang w:val="en-US"/>
        </w:rPr>
        <w:t xml:space="preserve"> (</w:t>
      </w:r>
      <w:proofErr w:type="spellStart"/>
      <w:r w:rsidR="007053AA" w:rsidRPr="00AB0E6B">
        <w:rPr>
          <w:sz w:val="24"/>
          <w:lang w:val="en-US"/>
        </w:rPr>
        <w:t>Benjamini</w:t>
      </w:r>
      <w:proofErr w:type="spellEnd"/>
      <w:r w:rsidR="007053AA" w:rsidRPr="00AB0E6B">
        <w:rPr>
          <w:sz w:val="24"/>
          <w:lang w:val="en-US"/>
        </w:rPr>
        <w:t>-Hochberg)</w:t>
      </w:r>
      <w:r w:rsidRPr="00AB0E6B">
        <w:rPr>
          <w:sz w:val="24"/>
          <w:lang w:val="en-US"/>
        </w:rPr>
        <w:t>.</w:t>
      </w:r>
      <w:r w:rsidR="00A8413C" w:rsidRPr="00AB0E6B">
        <w:rPr>
          <w:sz w:val="24"/>
          <w:lang w:val="en-US"/>
        </w:rPr>
        <w:t xml:space="preserve"> K-means (k = 6) clustered </w:t>
      </w:r>
      <w:proofErr w:type="spellStart"/>
      <w:r w:rsidR="00A8413C" w:rsidRPr="00AB0E6B">
        <w:rPr>
          <w:sz w:val="24"/>
          <w:lang w:val="en-US"/>
        </w:rPr>
        <w:t>heatmaps</w:t>
      </w:r>
      <w:proofErr w:type="spellEnd"/>
      <w:r w:rsidR="00A8413C" w:rsidRPr="00AB0E6B">
        <w:rPr>
          <w:sz w:val="24"/>
          <w:lang w:val="en-US"/>
        </w:rPr>
        <w:t xml:space="preserve"> of the log2 intensities of all significant proteins with the data centered per protein were generated as well as volcano plots showing the log2 fold changes on x-axis and the corresponding adjusted p-values in y axis. Box plots showing the VSN-</w:t>
      </w:r>
      <w:proofErr w:type="spellStart"/>
      <w:r w:rsidR="00A8413C" w:rsidRPr="00AB0E6B">
        <w:rPr>
          <w:sz w:val="24"/>
          <w:lang w:val="en-US"/>
        </w:rPr>
        <w:t>normalised</w:t>
      </w:r>
      <w:proofErr w:type="spellEnd"/>
      <w:r w:rsidR="00A8413C" w:rsidRPr="00AB0E6B">
        <w:rPr>
          <w:sz w:val="24"/>
          <w:lang w:val="en-US"/>
        </w:rPr>
        <w:t xml:space="preserve"> protein intensities of each of the DE proteins across all fibroblast and MSC samples </w:t>
      </w:r>
      <w:proofErr w:type="gramStart"/>
      <w:r w:rsidR="00A8413C" w:rsidRPr="00AB0E6B">
        <w:rPr>
          <w:sz w:val="24"/>
          <w:lang w:val="en-US"/>
        </w:rPr>
        <w:t>were generated</w:t>
      </w:r>
      <w:proofErr w:type="gramEnd"/>
      <w:r w:rsidR="00A8413C" w:rsidRPr="00AB0E6B">
        <w:rPr>
          <w:sz w:val="24"/>
          <w:lang w:val="en-US"/>
        </w:rPr>
        <w:t>, indicating imputed values from non-imputed val</w:t>
      </w:r>
      <w:r w:rsidR="00E37B7E" w:rsidRPr="00AB0E6B">
        <w:rPr>
          <w:sz w:val="24"/>
          <w:lang w:val="en-US"/>
        </w:rPr>
        <w:t>ues with different point shapes</w:t>
      </w:r>
      <w:r w:rsidR="00A8413C" w:rsidRPr="00AB0E6B">
        <w:rPr>
          <w:sz w:val="24"/>
          <w:lang w:val="en-US"/>
        </w:rPr>
        <w:t xml:space="preserve"> </w:t>
      </w:r>
      <w:r w:rsidR="007053AA" w:rsidRPr="00AB0E6B">
        <w:rPr>
          <w:sz w:val="24"/>
          <w:lang w:val="en-US"/>
        </w:rPr>
        <w:t xml:space="preserve">(0.05). </w:t>
      </w:r>
    </w:p>
    <w:p w:rsidR="00C76552" w:rsidRPr="00AB0E6B" w:rsidRDefault="00C76552" w:rsidP="001A21D9">
      <w:pPr>
        <w:spacing w:line="360" w:lineRule="auto"/>
        <w:jc w:val="both"/>
        <w:rPr>
          <w:sz w:val="24"/>
          <w:lang w:val="en-US"/>
        </w:rPr>
      </w:pPr>
    </w:p>
    <w:p w:rsidR="00F042E5" w:rsidRPr="001A21D9" w:rsidRDefault="00F042E5" w:rsidP="00F042E5">
      <w:pPr>
        <w:spacing w:line="360" w:lineRule="auto"/>
        <w:jc w:val="both"/>
        <w:rPr>
          <w:sz w:val="24"/>
          <w:u w:val="single"/>
          <w:lang w:val="en-US"/>
        </w:rPr>
      </w:pPr>
      <w:r w:rsidRPr="001A21D9">
        <w:rPr>
          <w:sz w:val="24"/>
          <w:u w:val="single"/>
          <w:lang w:val="en-US"/>
        </w:rPr>
        <w:t xml:space="preserve">Ingenuity pathway analysis </w:t>
      </w:r>
    </w:p>
    <w:p w:rsidR="00A8413C" w:rsidRPr="00AB0E6B" w:rsidRDefault="00A8413C" w:rsidP="00A8413C">
      <w:pPr>
        <w:spacing w:line="360" w:lineRule="auto"/>
        <w:jc w:val="both"/>
        <w:rPr>
          <w:sz w:val="24"/>
          <w:lang w:val="en-US"/>
        </w:rPr>
      </w:pPr>
      <w:r w:rsidRPr="00AB0E6B">
        <w:rPr>
          <w:sz w:val="24"/>
          <w:lang w:val="en-US"/>
        </w:rPr>
        <w:t xml:space="preserve">Both the MSC and primary fibroblast data </w:t>
      </w:r>
      <w:proofErr w:type="gramStart"/>
      <w:r w:rsidRPr="00AB0E6B">
        <w:rPr>
          <w:sz w:val="24"/>
          <w:lang w:val="en-US"/>
        </w:rPr>
        <w:t>were subjected</w:t>
      </w:r>
      <w:proofErr w:type="gramEnd"/>
      <w:r w:rsidRPr="00AB0E6B">
        <w:rPr>
          <w:sz w:val="24"/>
          <w:lang w:val="en-US"/>
        </w:rPr>
        <w:t xml:space="preserve"> to the Core Analysis of the Ingenuity Pathway Analysis (IPA) software. The DEPs to be </w:t>
      </w:r>
      <w:proofErr w:type="spellStart"/>
      <w:r w:rsidRPr="00AB0E6B">
        <w:rPr>
          <w:sz w:val="24"/>
          <w:lang w:val="en-US"/>
        </w:rPr>
        <w:t>analysed</w:t>
      </w:r>
      <w:proofErr w:type="spellEnd"/>
      <w:r w:rsidRPr="00AB0E6B">
        <w:rPr>
          <w:sz w:val="24"/>
          <w:lang w:val="en-US"/>
        </w:rPr>
        <w:t xml:space="preserve"> were defined using a</w:t>
      </w:r>
      <w:r w:rsidR="00A55AC9" w:rsidRPr="00AB0E6B">
        <w:rPr>
          <w:sz w:val="24"/>
          <w:lang w:val="en-US"/>
        </w:rPr>
        <w:t xml:space="preserve"> significance cutoff of </w:t>
      </w:r>
      <w:proofErr w:type="spellStart"/>
      <w:r w:rsidR="00A55AC9" w:rsidRPr="00AB0E6B">
        <w:rPr>
          <w:sz w:val="24"/>
          <w:lang w:val="en-US"/>
        </w:rPr>
        <w:t>adj.p.Val</w:t>
      </w:r>
      <w:proofErr w:type="spellEnd"/>
      <w:r w:rsidR="00A55AC9" w:rsidRPr="00AB0E6B">
        <w:rPr>
          <w:sz w:val="24"/>
          <w:lang w:val="en-US"/>
        </w:rPr>
        <w:t xml:space="preserve"> &lt; 0.05 and biological significance cutoff </w:t>
      </w:r>
      <w:proofErr w:type="gramStart"/>
      <w:r w:rsidR="00A55AC9" w:rsidRPr="00AB0E6B">
        <w:rPr>
          <w:sz w:val="24"/>
          <w:lang w:val="en-US"/>
        </w:rPr>
        <w:t>abs(</w:t>
      </w:r>
      <w:proofErr w:type="gramEnd"/>
      <w:r w:rsidR="00A55AC9" w:rsidRPr="00AB0E6B">
        <w:rPr>
          <w:sz w:val="24"/>
          <w:lang w:val="en-US"/>
        </w:rPr>
        <w:t xml:space="preserve">FC) &gt; 2. </w:t>
      </w:r>
      <w:r w:rsidRPr="00AB0E6B">
        <w:rPr>
          <w:sz w:val="24"/>
          <w:lang w:val="en-US"/>
        </w:rPr>
        <w:t xml:space="preserve">All measured proteins in the respective datasets </w:t>
      </w:r>
      <w:proofErr w:type="gramStart"/>
      <w:r w:rsidRPr="00AB0E6B">
        <w:rPr>
          <w:sz w:val="24"/>
          <w:lang w:val="en-US"/>
        </w:rPr>
        <w:t>were used</w:t>
      </w:r>
      <w:proofErr w:type="gramEnd"/>
      <w:r w:rsidRPr="00AB0E6B">
        <w:rPr>
          <w:sz w:val="24"/>
          <w:lang w:val="en-US"/>
        </w:rPr>
        <w:t xml:space="preserve"> as the background proteins. IPA Core Analysis results for Canonical Pathway enrichment, Upstream Regulators, Master Regulators and Regulator Effects </w:t>
      </w:r>
      <w:proofErr w:type="gramStart"/>
      <w:r w:rsidRPr="00AB0E6B">
        <w:rPr>
          <w:sz w:val="24"/>
          <w:lang w:val="en-US"/>
        </w:rPr>
        <w:t>were exported</w:t>
      </w:r>
      <w:proofErr w:type="gramEnd"/>
      <w:r w:rsidRPr="00AB0E6B">
        <w:rPr>
          <w:sz w:val="24"/>
          <w:lang w:val="en-US"/>
        </w:rPr>
        <w:t xml:space="preserve"> as Excel tables. Adjusted p-value 0.05 </w:t>
      </w:r>
      <w:proofErr w:type="gramStart"/>
      <w:r w:rsidRPr="00AB0E6B">
        <w:rPr>
          <w:sz w:val="24"/>
          <w:lang w:val="en-US"/>
        </w:rPr>
        <w:t>was used</w:t>
      </w:r>
      <w:proofErr w:type="gramEnd"/>
      <w:r w:rsidRPr="00AB0E6B">
        <w:rPr>
          <w:sz w:val="24"/>
          <w:lang w:val="en-US"/>
        </w:rPr>
        <w:t xml:space="preserve"> as a threshold for filtering for statistically significant results, if applicable. IPA Comparison Analysis tool </w:t>
      </w:r>
      <w:proofErr w:type="gramStart"/>
      <w:r w:rsidRPr="00AB0E6B">
        <w:rPr>
          <w:sz w:val="24"/>
          <w:lang w:val="en-US"/>
        </w:rPr>
        <w:t>was used</w:t>
      </w:r>
      <w:proofErr w:type="gramEnd"/>
      <w:r w:rsidRPr="00AB0E6B">
        <w:rPr>
          <w:sz w:val="24"/>
          <w:lang w:val="en-US"/>
        </w:rPr>
        <w:t xml:space="preserve"> for comparing the Core Analysis results of the MSC and fibroblast data. </w:t>
      </w:r>
      <w:proofErr w:type="spellStart"/>
      <w:r w:rsidRPr="00AB0E6B">
        <w:rPr>
          <w:sz w:val="24"/>
          <w:lang w:val="en-US"/>
        </w:rPr>
        <w:t>Heatmaps</w:t>
      </w:r>
      <w:proofErr w:type="spellEnd"/>
      <w:r w:rsidRPr="00AB0E6B">
        <w:rPr>
          <w:sz w:val="24"/>
          <w:lang w:val="en-US"/>
        </w:rPr>
        <w:t xml:space="preserve"> </w:t>
      </w:r>
      <w:proofErr w:type="spellStart"/>
      <w:r w:rsidRPr="00AB0E6B">
        <w:rPr>
          <w:sz w:val="24"/>
          <w:lang w:val="en-US"/>
        </w:rPr>
        <w:t>visualising</w:t>
      </w:r>
      <w:proofErr w:type="spellEnd"/>
      <w:r w:rsidRPr="00AB0E6B">
        <w:rPr>
          <w:sz w:val="24"/>
          <w:lang w:val="en-US"/>
        </w:rPr>
        <w:t xml:space="preserve"> the z-scores of the Canonical Pathway and </w:t>
      </w:r>
      <w:r w:rsidR="00F042E5" w:rsidRPr="00AB0E6B">
        <w:rPr>
          <w:sz w:val="24"/>
          <w:lang w:val="en-US"/>
        </w:rPr>
        <w:t xml:space="preserve">Upstream Regulator results </w:t>
      </w:r>
      <w:proofErr w:type="gramStart"/>
      <w:r w:rsidR="00F042E5" w:rsidRPr="00AB0E6B">
        <w:rPr>
          <w:sz w:val="24"/>
          <w:lang w:val="en-US"/>
        </w:rPr>
        <w:t xml:space="preserve">were </w:t>
      </w:r>
      <w:r w:rsidRPr="00AB0E6B">
        <w:rPr>
          <w:sz w:val="24"/>
          <w:lang w:val="en-US"/>
        </w:rPr>
        <w:t>generated</w:t>
      </w:r>
      <w:proofErr w:type="gramEnd"/>
      <w:r w:rsidRPr="00AB0E6B">
        <w:rPr>
          <w:sz w:val="24"/>
          <w:lang w:val="en-US"/>
        </w:rPr>
        <w:t>, showing the results with p-value &lt; 0.05 and absolute z-score &gt; 2 in at least one of the datasets.</w:t>
      </w:r>
    </w:p>
    <w:p w:rsidR="00F042E5" w:rsidRDefault="00F042E5" w:rsidP="00A8413C">
      <w:pPr>
        <w:spacing w:line="360" w:lineRule="auto"/>
        <w:jc w:val="both"/>
        <w:rPr>
          <w:lang w:val="en-US"/>
        </w:rPr>
      </w:pPr>
    </w:p>
    <w:p w:rsidR="00F042E5" w:rsidRPr="00C76552" w:rsidRDefault="00020CC5" w:rsidP="00A8413C">
      <w:pPr>
        <w:spacing w:line="360" w:lineRule="auto"/>
        <w:jc w:val="both"/>
        <w:rPr>
          <w:b/>
          <w:sz w:val="28"/>
          <w:lang w:val="en-US"/>
        </w:rPr>
      </w:pPr>
      <w:proofErr w:type="spellStart"/>
      <w:r>
        <w:rPr>
          <w:b/>
          <w:sz w:val="28"/>
          <w:lang w:val="en-US"/>
        </w:rPr>
        <w:t>Pho</w:t>
      </w:r>
      <w:r w:rsidR="00F042E5" w:rsidRPr="00C76552">
        <w:rPr>
          <w:b/>
          <w:sz w:val="28"/>
          <w:lang w:val="en-US"/>
        </w:rPr>
        <w:t>s</w:t>
      </w:r>
      <w:r>
        <w:rPr>
          <w:b/>
          <w:sz w:val="28"/>
          <w:lang w:val="en-US"/>
        </w:rPr>
        <w:t>p</w:t>
      </w:r>
      <w:r w:rsidR="00F042E5" w:rsidRPr="00C76552">
        <w:rPr>
          <w:b/>
          <w:sz w:val="28"/>
          <w:lang w:val="en-US"/>
        </w:rPr>
        <w:t>hoproteomics</w:t>
      </w:r>
      <w:proofErr w:type="spellEnd"/>
      <w:r w:rsidR="00F042E5" w:rsidRPr="00C76552">
        <w:rPr>
          <w:b/>
          <w:sz w:val="28"/>
          <w:lang w:val="en-US"/>
        </w:rPr>
        <w:t xml:space="preserve"> </w:t>
      </w:r>
    </w:p>
    <w:p w:rsidR="003E66E9" w:rsidRDefault="003E66E9" w:rsidP="00F042E5">
      <w:pPr>
        <w:spacing w:line="360" w:lineRule="auto"/>
        <w:jc w:val="both"/>
        <w:rPr>
          <w:sz w:val="24"/>
          <w:u w:val="single"/>
          <w:lang w:val="en-US"/>
        </w:rPr>
      </w:pPr>
      <w:r w:rsidRPr="003E66E9">
        <w:rPr>
          <w:sz w:val="24"/>
          <w:u w:val="single"/>
          <w:lang w:val="en-US"/>
        </w:rPr>
        <w:t>Database Search and Quantitation</w:t>
      </w:r>
    </w:p>
    <w:p w:rsidR="003E66E9" w:rsidRPr="00AB0E6B" w:rsidRDefault="003E66E9" w:rsidP="00F042E5">
      <w:pPr>
        <w:spacing w:line="360" w:lineRule="auto"/>
        <w:jc w:val="both"/>
        <w:rPr>
          <w:sz w:val="24"/>
          <w:lang w:val="en-US"/>
        </w:rPr>
      </w:pPr>
      <w:r w:rsidRPr="00AB0E6B">
        <w:rPr>
          <w:sz w:val="24"/>
          <w:lang w:val="en-US"/>
        </w:rPr>
        <w:lastRenderedPageBreak/>
        <w:t xml:space="preserve">As described in total proteomics. </w:t>
      </w:r>
    </w:p>
    <w:p w:rsidR="00F042E5" w:rsidRPr="001A21D9" w:rsidRDefault="00F042E5" w:rsidP="00F042E5">
      <w:pPr>
        <w:spacing w:line="360" w:lineRule="auto"/>
        <w:jc w:val="both"/>
        <w:rPr>
          <w:sz w:val="24"/>
          <w:u w:val="single"/>
          <w:lang w:val="en-US"/>
        </w:rPr>
      </w:pPr>
      <w:r w:rsidRPr="001A21D9">
        <w:rPr>
          <w:sz w:val="24"/>
          <w:u w:val="single"/>
          <w:lang w:val="en-US"/>
        </w:rPr>
        <w:t xml:space="preserve">Data, quality control and pre-processing </w:t>
      </w:r>
    </w:p>
    <w:p w:rsidR="009812CC" w:rsidRPr="00AB0E6B" w:rsidRDefault="00F042E5" w:rsidP="00F042E5">
      <w:pPr>
        <w:spacing w:line="360" w:lineRule="auto"/>
        <w:jc w:val="both"/>
        <w:rPr>
          <w:sz w:val="24"/>
          <w:lang w:val="en-US"/>
        </w:rPr>
      </w:pPr>
      <w:r w:rsidRPr="00AB0E6B">
        <w:rPr>
          <w:sz w:val="24"/>
          <w:lang w:val="en-US"/>
        </w:rPr>
        <w:t xml:space="preserve">The data </w:t>
      </w:r>
      <w:proofErr w:type="gramStart"/>
      <w:r w:rsidRPr="00AB0E6B">
        <w:rPr>
          <w:sz w:val="24"/>
          <w:lang w:val="en-US"/>
        </w:rPr>
        <w:t>was delivered</w:t>
      </w:r>
      <w:proofErr w:type="gramEnd"/>
      <w:r w:rsidRPr="00AB0E6B">
        <w:rPr>
          <w:sz w:val="24"/>
          <w:lang w:val="en-US"/>
        </w:rPr>
        <w:t xml:space="preserve"> as raw intensity values from an LC-MS/MS anal</w:t>
      </w:r>
      <w:r w:rsidR="003C612F" w:rsidRPr="00AB0E6B">
        <w:rPr>
          <w:sz w:val="24"/>
          <w:lang w:val="en-US"/>
        </w:rPr>
        <w:t>y</w:t>
      </w:r>
      <w:r w:rsidR="00DD3103">
        <w:rPr>
          <w:sz w:val="24"/>
          <w:lang w:val="en-US"/>
        </w:rPr>
        <w:t xml:space="preserve">sis. R package </w:t>
      </w:r>
      <w:proofErr w:type="spellStart"/>
      <w:r w:rsidR="00DD3103">
        <w:rPr>
          <w:sz w:val="24"/>
          <w:lang w:val="en-US"/>
        </w:rPr>
        <w:t>PhosR</w:t>
      </w:r>
      <w:proofErr w:type="spellEnd"/>
      <w:r w:rsidR="00DD3103">
        <w:rPr>
          <w:sz w:val="24"/>
          <w:lang w:val="en-US"/>
        </w:rPr>
        <w:t xml:space="preserve"> v.1.2.0 [Yang et al., 2021</w:t>
      </w:r>
      <w:r w:rsidRPr="00AB0E6B">
        <w:rPr>
          <w:sz w:val="24"/>
          <w:lang w:val="en-US"/>
        </w:rPr>
        <w:t xml:space="preserve">] was used for constructing a </w:t>
      </w:r>
      <w:proofErr w:type="spellStart"/>
      <w:r w:rsidRPr="00AB0E6B">
        <w:rPr>
          <w:sz w:val="24"/>
          <w:lang w:val="en-US"/>
        </w:rPr>
        <w:t>PhosphoExperiment</w:t>
      </w:r>
      <w:proofErr w:type="spellEnd"/>
      <w:r w:rsidRPr="00AB0E6B">
        <w:rPr>
          <w:sz w:val="24"/>
          <w:lang w:val="en-US"/>
        </w:rPr>
        <w:t xml:space="preserve"> object using both MSC and fibroblast data, containing </w:t>
      </w:r>
      <w:proofErr w:type="gramStart"/>
      <w:r w:rsidRPr="00AB0E6B">
        <w:rPr>
          <w:sz w:val="24"/>
          <w:lang w:val="en-US"/>
        </w:rPr>
        <w:t>total of 4827</w:t>
      </w:r>
      <w:proofErr w:type="gramEnd"/>
      <w:r w:rsidRPr="00AB0E6B">
        <w:rPr>
          <w:sz w:val="24"/>
          <w:lang w:val="en-US"/>
        </w:rPr>
        <w:t xml:space="preserve"> </w:t>
      </w:r>
      <w:proofErr w:type="spellStart"/>
      <w:r w:rsidRPr="00AB0E6B">
        <w:rPr>
          <w:sz w:val="24"/>
          <w:lang w:val="en-US"/>
        </w:rPr>
        <w:t>phosphosites</w:t>
      </w:r>
      <w:proofErr w:type="spellEnd"/>
      <w:r w:rsidRPr="00AB0E6B">
        <w:rPr>
          <w:sz w:val="24"/>
          <w:lang w:val="en-US"/>
        </w:rPr>
        <w:t xml:space="preserve"> in 1798 unique proteins. Unique phosphorylation site annotations were generated by combining </w:t>
      </w:r>
      <w:proofErr w:type="spellStart"/>
      <w:r w:rsidRPr="00AB0E6B">
        <w:rPr>
          <w:sz w:val="24"/>
          <w:lang w:val="en-US"/>
        </w:rPr>
        <w:t>UniProt</w:t>
      </w:r>
      <w:proofErr w:type="spellEnd"/>
      <w:r w:rsidRPr="00AB0E6B">
        <w:rPr>
          <w:sz w:val="24"/>
          <w:lang w:val="en-US"/>
        </w:rPr>
        <w:t xml:space="preserve"> accession, gene symbol, </w:t>
      </w:r>
      <w:proofErr w:type="gramStart"/>
      <w:r w:rsidRPr="00AB0E6B">
        <w:rPr>
          <w:sz w:val="24"/>
          <w:lang w:val="en-US"/>
        </w:rPr>
        <w:t>residue</w:t>
      </w:r>
      <w:proofErr w:type="gramEnd"/>
      <w:r w:rsidRPr="00AB0E6B">
        <w:rPr>
          <w:sz w:val="24"/>
          <w:lang w:val="en-US"/>
        </w:rPr>
        <w:t xml:space="preserve"> and site information. Data </w:t>
      </w:r>
      <w:proofErr w:type="gramStart"/>
      <w:r w:rsidRPr="00AB0E6B">
        <w:rPr>
          <w:sz w:val="24"/>
          <w:lang w:val="en-US"/>
        </w:rPr>
        <w:t>was then filtered</w:t>
      </w:r>
      <w:proofErr w:type="gramEnd"/>
      <w:r w:rsidRPr="00AB0E6B">
        <w:rPr>
          <w:sz w:val="24"/>
          <w:lang w:val="en-US"/>
        </w:rPr>
        <w:t xml:space="preserve"> using </w:t>
      </w:r>
      <w:proofErr w:type="spellStart"/>
      <w:r w:rsidRPr="00AB0E6B">
        <w:rPr>
          <w:sz w:val="24"/>
          <w:lang w:val="en-US"/>
        </w:rPr>
        <w:t>selectGrps</w:t>
      </w:r>
      <w:proofErr w:type="spellEnd"/>
      <w:r w:rsidRPr="00AB0E6B">
        <w:rPr>
          <w:sz w:val="24"/>
          <w:lang w:val="en-US"/>
        </w:rPr>
        <w:t xml:space="preserve"> function, keeping those </w:t>
      </w:r>
      <w:proofErr w:type="spellStart"/>
      <w:r w:rsidRPr="00AB0E6B">
        <w:rPr>
          <w:sz w:val="24"/>
          <w:lang w:val="en-US"/>
        </w:rPr>
        <w:t>phosphosites</w:t>
      </w:r>
      <w:proofErr w:type="spellEnd"/>
      <w:r w:rsidRPr="00AB0E6B">
        <w:rPr>
          <w:sz w:val="24"/>
          <w:lang w:val="en-US"/>
        </w:rPr>
        <w:t xml:space="preserve"> that have quantification of at least 50% of replicates in at least three conditions. </w:t>
      </w:r>
      <w:proofErr w:type="gramStart"/>
      <w:r w:rsidRPr="00AB0E6B">
        <w:rPr>
          <w:sz w:val="24"/>
          <w:lang w:val="en-US"/>
        </w:rPr>
        <w:t>1806</w:t>
      </w:r>
      <w:proofErr w:type="gramEnd"/>
      <w:r w:rsidRPr="00AB0E6B">
        <w:rPr>
          <w:sz w:val="24"/>
          <w:lang w:val="en-US"/>
        </w:rPr>
        <w:t xml:space="preserve"> </w:t>
      </w:r>
      <w:proofErr w:type="spellStart"/>
      <w:r w:rsidRPr="00AB0E6B">
        <w:rPr>
          <w:sz w:val="24"/>
          <w:lang w:val="en-US"/>
        </w:rPr>
        <w:t>phosphosites</w:t>
      </w:r>
      <w:proofErr w:type="spellEnd"/>
      <w:r w:rsidRPr="00AB0E6B">
        <w:rPr>
          <w:sz w:val="24"/>
          <w:lang w:val="en-US"/>
        </w:rPr>
        <w:t xml:space="preserve"> in 903 unique proteins were retained. Data analysis </w:t>
      </w:r>
      <w:proofErr w:type="gramStart"/>
      <w:r w:rsidRPr="00AB0E6B">
        <w:rPr>
          <w:sz w:val="24"/>
          <w:lang w:val="en-US"/>
        </w:rPr>
        <w:t>was continued</w:t>
      </w:r>
      <w:proofErr w:type="gramEnd"/>
      <w:r w:rsidRPr="00AB0E6B">
        <w:rPr>
          <w:sz w:val="24"/>
          <w:lang w:val="en-US"/>
        </w:rPr>
        <w:t xml:space="preserve"> using R package DEP v. 1.14.0 [</w:t>
      </w:r>
      <w:r w:rsidR="00DD3103">
        <w:rPr>
          <w:sz w:val="24"/>
          <w:lang w:val="en-US"/>
        </w:rPr>
        <w:t>Zhang et al., 2018</w:t>
      </w:r>
      <w:r w:rsidRPr="00AB0E6B">
        <w:rPr>
          <w:sz w:val="24"/>
          <w:lang w:val="en-US"/>
        </w:rPr>
        <w:t xml:space="preserve">] as the initial attempts to impute data using the </w:t>
      </w:r>
      <w:proofErr w:type="spellStart"/>
      <w:r w:rsidRPr="00AB0E6B">
        <w:rPr>
          <w:sz w:val="24"/>
          <w:lang w:val="en-US"/>
        </w:rPr>
        <w:t>PhosR</w:t>
      </w:r>
      <w:proofErr w:type="spellEnd"/>
      <w:r w:rsidRPr="00AB0E6B">
        <w:rPr>
          <w:sz w:val="24"/>
          <w:lang w:val="en-US"/>
        </w:rPr>
        <w:t xml:space="preserve"> resulted in dubious results.</w:t>
      </w:r>
    </w:p>
    <w:p w:rsidR="00A8413C" w:rsidRPr="00AB0E6B" w:rsidRDefault="00F042E5" w:rsidP="00F042E5">
      <w:pPr>
        <w:spacing w:line="360" w:lineRule="auto"/>
        <w:jc w:val="both"/>
        <w:rPr>
          <w:sz w:val="24"/>
          <w:lang w:val="en-US"/>
        </w:rPr>
      </w:pPr>
      <w:r w:rsidRPr="00AB0E6B">
        <w:rPr>
          <w:sz w:val="24"/>
          <w:lang w:val="en-US"/>
        </w:rPr>
        <w:t xml:space="preserve">Data </w:t>
      </w:r>
      <w:r w:rsidR="00020CC5" w:rsidRPr="00AB0E6B">
        <w:rPr>
          <w:sz w:val="24"/>
          <w:lang w:val="en-US"/>
        </w:rPr>
        <w:t>normalization</w:t>
      </w:r>
      <w:r w:rsidRPr="00AB0E6B">
        <w:rPr>
          <w:sz w:val="24"/>
          <w:lang w:val="en-US"/>
        </w:rPr>
        <w:t xml:space="preserve"> and data imputation </w:t>
      </w:r>
      <w:proofErr w:type="gramStart"/>
      <w:r w:rsidRPr="00AB0E6B">
        <w:rPr>
          <w:sz w:val="24"/>
          <w:lang w:val="en-US"/>
        </w:rPr>
        <w:t>were performed</w:t>
      </w:r>
      <w:proofErr w:type="gramEnd"/>
      <w:r w:rsidRPr="00AB0E6B">
        <w:rPr>
          <w:sz w:val="24"/>
          <w:lang w:val="en-US"/>
        </w:rPr>
        <w:t xml:space="preserve"> using DEP package as described for total proteomics, except that the data imputation method chosen for this data was k-nearest </w:t>
      </w:r>
      <w:proofErr w:type="spellStart"/>
      <w:r w:rsidRPr="00AB0E6B">
        <w:rPr>
          <w:sz w:val="24"/>
          <w:lang w:val="en-US"/>
        </w:rPr>
        <w:t>neighbour</w:t>
      </w:r>
      <w:proofErr w:type="spellEnd"/>
      <w:r w:rsidRPr="00AB0E6B">
        <w:rPr>
          <w:sz w:val="24"/>
          <w:lang w:val="en-US"/>
        </w:rPr>
        <w:t xml:space="preserve"> (</w:t>
      </w:r>
      <w:proofErr w:type="spellStart"/>
      <w:r w:rsidRPr="00AB0E6B">
        <w:rPr>
          <w:sz w:val="24"/>
          <w:lang w:val="en-US"/>
        </w:rPr>
        <w:t>knn</w:t>
      </w:r>
      <w:proofErr w:type="spellEnd"/>
      <w:r w:rsidRPr="00AB0E6B">
        <w:rPr>
          <w:sz w:val="24"/>
          <w:lang w:val="en-US"/>
        </w:rPr>
        <w:t xml:space="preserve">) method. Before selecting the final imputation method, several methods, including two mixed imputation methods, were experimented (details not shown here). PCA plots for combined data as well as separate plots for MSC and fibroblast data </w:t>
      </w:r>
      <w:proofErr w:type="gramStart"/>
      <w:r w:rsidRPr="00AB0E6B">
        <w:rPr>
          <w:sz w:val="24"/>
          <w:lang w:val="en-US"/>
        </w:rPr>
        <w:t>were generated</w:t>
      </w:r>
      <w:proofErr w:type="gramEnd"/>
      <w:r w:rsidRPr="00AB0E6B">
        <w:rPr>
          <w:sz w:val="24"/>
          <w:lang w:val="en-US"/>
        </w:rPr>
        <w:t xml:space="preserve"> as described for total proteomics. </w:t>
      </w:r>
    </w:p>
    <w:p w:rsidR="007053AA" w:rsidRPr="00AB0E6B" w:rsidRDefault="007053AA" w:rsidP="00F042E5">
      <w:pPr>
        <w:spacing w:line="360" w:lineRule="auto"/>
        <w:jc w:val="both"/>
        <w:rPr>
          <w:b/>
          <w:color w:val="FF0000"/>
          <w:sz w:val="24"/>
          <w:lang w:val="en-US"/>
        </w:rPr>
      </w:pPr>
    </w:p>
    <w:p w:rsidR="00F042E5" w:rsidRPr="00F042E5" w:rsidRDefault="00F042E5" w:rsidP="00F042E5">
      <w:pPr>
        <w:spacing w:line="360" w:lineRule="auto"/>
        <w:jc w:val="both"/>
        <w:rPr>
          <w:sz w:val="24"/>
          <w:u w:val="single"/>
          <w:lang w:val="en-US"/>
        </w:rPr>
      </w:pPr>
      <w:r w:rsidRPr="00F042E5">
        <w:rPr>
          <w:sz w:val="24"/>
          <w:u w:val="single"/>
          <w:lang w:val="en-US"/>
        </w:rPr>
        <w:t xml:space="preserve">Endpoint differential expression analysis </w:t>
      </w:r>
    </w:p>
    <w:p w:rsidR="003C612F" w:rsidRDefault="00F042E5" w:rsidP="00F042E5">
      <w:pPr>
        <w:spacing w:line="360" w:lineRule="auto"/>
        <w:jc w:val="both"/>
        <w:rPr>
          <w:sz w:val="24"/>
          <w:lang w:val="en-US"/>
        </w:rPr>
      </w:pPr>
      <w:r w:rsidRPr="00AB0E6B">
        <w:rPr>
          <w:sz w:val="24"/>
          <w:lang w:val="en-US"/>
        </w:rPr>
        <w:t xml:space="preserve">Endpoint differential expression (DE) analysis of the phosphoproteins in MSC cells and primary fibroblasts </w:t>
      </w:r>
      <w:proofErr w:type="gramStart"/>
      <w:r w:rsidRPr="00AB0E6B">
        <w:rPr>
          <w:sz w:val="24"/>
          <w:lang w:val="en-US"/>
        </w:rPr>
        <w:t xml:space="preserve">were </w:t>
      </w:r>
      <w:r w:rsidR="00020CC5" w:rsidRPr="00AB0E6B">
        <w:rPr>
          <w:sz w:val="24"/>
          <w:lang w:val="en-US"/>
        </w:rPr>
        <w:t>analyzed</w:t>
      </w:r>
      <w:proofErr w:type="gramEnd"/>
      <w:r w:rsidRPr="00AB0E6B">
        <w:rPr>
          <w:sz w:val="24"/>
          <w:lang w:val="en-US"/>
        </w:rPr>
        <w:t xml:space="preserve"> similarly as described for total proteins. </w:t>
      </w:r>
      <w:r w:rsidR="005971B4" w:rsidRPr="00AB0E6B">
        <w:rPr>
          <w:sz w:val="24"/>
          <w:lang w:val="en-US"/>
        </w:rPr>
        <w:t xml:space="preserve">Significantly </w:t>
      </w:r>
      <w:proofErr w:type="gramStart"/>
      <w:r w:rsidR="005971B4" w:rsidRPr="00AB0E6B">
        <w:rPr>
          <w:sz w:val="24"/>
          <w:lang w:val="en-US"/>
        </w:rPr>
        <w:t>changed phosphoproteins were marked by defining 0.05</w:t>
      </w:r>
      <w:proofErr w:type="gramEnd"/>
      <w:r w:rsidR="005971B4" w:rsidRPr="00AB0E6B">
        <w:rPr>
          <w:sz w:val="24"/>
          <w:lang w:val="en-US"/>
        </w:rPr>
        <w:t xml:space="preserve"> as the threshold for the adjusted p</w:t>
      </w:r>
      <w:r w:rsidR="00020CC5" w:rsidRPr="00AB0E6B">
        <w:rPr>
          <w:sz w:val="24"/>
          <w:lang w:val="en-US"/>
        </w:rPr>
        <w:t>-</w:t>
      </w:r>
      <w:r w:rsidR="005971B4" w:rsidRPr="00AB0E6B">
        <w:rPr>
          <w:sz w:val="24"/>
          <w:lang w:val="en-US"/>
        </w:rPr>
        <w:t>value (</w:t>
      </w:r>
      <w:proofErr w:type="spellStart"/>
      <w:r w:rsidR="005971B4" w:rsidRPr="00AB0E6B">
        <w:rPr>
          <w:sz w:val="24"/>
          <w:lang w:val="en-US"/>
        </w:rPr>
        <w:t>Benjamini</w:t>
      </w:r>
      <w:proofErr w:type="spellEnd"/>
      <w:r w:rsidR="005971B4" w:rsidRPr="00AB0E6B">
        <w:rPr>
          <w:sz w:val="24"/>
          <w:lang w:val="en-US"/>
        </w:rPr>
        <w:t>-Hochberg).</w:t>
      </w:r>
    </w:p>
    <w:p w:rsidR="00AB0E6B" w:rsidRDefault="00AB0E6B" w:rsidP="00F042E5">
      <w:pPr>
        <w:spacing w:line="360" w:lineRule="auto"/>
        <w:jc w:val="both"/>
        <w:rPr>
          <w:sz w:val="24"/>
          <w:lang w:val="en-US"/>
        </w:rPr>
      </w:pPr>
    </w:p>
    <w:p w:rsidR="00AB0E6B" w:rsidRDefault="00AB0E6B" w:rsidP="00F042E5">
      <w:pPr>
        <w:spacing w:line="360" w:lineRule="auto"/>
        <w:jc w:val="both"/>
        <w:rPr>
          <w:sz w:val="24"/>
          <w:lang w:val="en-US"/>
        </w:rPr>
      </w:pPr>
    </w:p>
    <w:p w:rsidR="00AB0E6B" w:rsidRDefault="00AB0E6B" w:rsidP="00F042E5">
      <w:pPr>
        <w:spacing w:line="360" w:lineRule="auto"/>
        <w:jc w:val="both"/>
        <w:rPr>
          <w:sz w:val="24"/>
          <w:lang w:val="en-US"/>
        </w:rPr>
      </w:pPr>
    </w:p>
    <w:p w:rsidR="00AB0E6B" w:rsidRDefault="00AB0E6B" w:rsidP="00F042E5">
      <w:pPr>
        <w:spacing w:line="360" w:lineRule="auto"/>
        <w:jc w:val="both"/>
        <w:rPr>
          <w:sz w:val="24"/>
          <w:lang w:val="en-US"/>
        </w:rPr>
      </w:pPr>
    </w:p>
    <w:p w:rsidR="00AB0E6B" w:rsidRPr="00AB0E6B" w:rsidRDefault="00AB0E6B" w:rsidP="00F042E5">
      <w:pPr>
        <w:spacing w:line="360" w:lineRule="auto"/>
        <w:jc w:val="both"/>
        <w:rPr>
          <w:sz w:val="24"/>
          <w:lang w:val="en-US"/>
        </w:rPr>
      </w:pPr>
    </w:p>
    <w:p w:rsidR="004E3E45" w:rsidRPr="003C612F" w:rsidRDefault="004E3E45" w:rsidP="00F042E5">
      <w:pPr>
        <w:spacing w:line="360" w:lineRule="auto"/>
        <w:jc w:val="both"/>
        <w:rPr>
          <w:lang w:val="en-US"/>
        </w:rPr>
      </w:pPr>
      <w:r w:rsidRPr="004E3E45">
        <w:rPr>
          <w:sz w:val="24"/>
          <w:u w:val="single"/>
          <w:lang w:val="en-US"/>
        </w:rPr>
        <w:lastRenderedPageBreak/>
        <w:t>References</w:t>
      </w:r>
    </w:p>
    <w:p w:rsidR="00076A54" w:rsidRPr="004E3E45" w:rsidRDefault="00076A54" w:rsidP="00081D7F">
      <w:pPr>
        <w:spacing w:line="240" w:lineRule="auto"/>
        <w:jc w:val="both"/>
        <w:rPr>
          <w:lang w:val="en-US"/>
        </w:rPr>
      </w:pPr>
      <w:proofErr w:type="spellStart"/>
      <w:r>
        <w:rPr>
          <w:lang w:val="en-US"/>
        </w:rPr>
        <w:t>Benjamini</w:t>
      </w:r>
      <w:proofErr w:type="spellEnd"/>
      <w:r>
        <w:rPr>
          <w:lang w:val="en-US"/>
        </w:rPr>
        <w:t>, Y., Hochberg,</w:t>
      </w:r>
      <w:r w:rsidRPr="001E5097">
        <w:rPr>
          <w:lang w:val="en-US"/>
        </w:rPr>
        <w:t xml:space="preserve"> Y. </w:t>
      </w:r>
      <w:r>
        <w:rPr>
          <w:lang w:val="en-US"/>
        </w:rPr>
        <w:t xml:space="preserve">(1995). </w:t>
      </w:r>
      <w:r w:rsidRPr="004E3E45">
        <w:rPr>
          <w:lang w:val="en-US"/>
        </w:rPr>
        <w:t>Controlling the false discovery rate: a practical and powerful approach</w:t>
      </w:r>
      <w:r>
        <w:rPr>
          <w:lang w:val="en-US"/>
        </w:rPr>
        <w:t xml:space="preserve"> to multiple testing. J. R. Stat. Soc.</w:t>
      </w:r>
      <w:r w:rsidRPr="004E3E45">
        <w:rPr>
          <w:lang w:val="en-US"/>
        </w:rPr>
        <w:t xml:space="preserve"> B</w:t>
      </w:r>
      <w:r>
        <w:rPr>
          <w:lang w:val="en-US"/>
        </w:rPr>
        <w:t>.</w:t>
      </w:r>
      <w:r w:rsidRPr="008C07A0">
        <w:rPr>
          <w:lang w:val="en-US"/>
        </w:rPr>
        <w:t xml:space="preserve"> </w:t>
      </w:r>
      <w:r>
        <w:rPr>
          <w:lang w:val="en-US"/>
        </w:rPr>
        <w:t xml:space="preserve">57, </w:t>
      </w:r>
      <w:r w:rsidRPr="004E3E45">
        <w:rPr>
          <w:lang w:val="en-US"/>
        </w:rPr>
        <w:t>289-300</w:t>
      </w:r>
      <w:r>
        <w:rPr>
          <w:lang w:val="en-US"/>
        </w:rPr>
        <w:t>.</w:t>
      </w:r>
    </w:p>
    <w:p w:rsidR="00076A54" w:rsidRPr="004E3E45" w:rsidRDefault="00076A54" w:rsidP="003C612F">
      <w:pPr>
        <w:spacing w:line="240" w:lineRule="auto"/>
        <w:jc w:val="both"/>
        <w:rPr>
          <w:lang w:val="en-US"/>
        </w:rPr>
      </w:pPr>
      <w:r>
        <w:rPr>
          <w:lang w:val="en-US"/>
        </w:rPr>
        <w:t>Cox, J., Mann, M.</w:t>
      </w:r>
      <w:r w:rsidRPr="007E64D6">
        <w:rPr>
          <w:lang w:val="en-US"/>
        </w:rPr>
        <w:t xml:space="preserve"> </w:t>
      </w:r>
      <w:r>
        <w:rPr>
          <w:lang w:val="en-US"/>
        </w:rPr>
        <w:t xml:space="preserve">(2008).  </w:t>
      </w:r>
      <w:proofErr w:type="spellStart"/>
      <w:r w:rsidRPr="004E3E45">
        <w:rPr>
          <w:lang w:val="en-US"/>
        </w:rPr>
        <w:t>MaxQuant</w:t>
      </w:r>
      <w:proofErr w:type="spellEnd"/>
      <w:r w:rsidRPr="004E3E45">
        <w:rPr>
          <w:lang w:val="en-US"/>
        </w:rPr>
        <w:t xml:space="preserve"> enables high peptide identification rates, individualized </w:t>
      </w:r>
      <w:proofErr w:type="spellStart"/>
      <w:r w:rsidRPr="004E3E45">
        <w:rPr>
          <w:lang w:val="en-US"/>
        </w:rPr>
        <w:t>p.p.b</w:t>
      </w:r>
      <w:proofErr w:type="spellEnd"/>
      <w:r w:rsidRPr="004E3E45">
        <w:rPr>
          <w:lang w:val="en-US"/>
        </w:rPr>
        <w:t>.-range mass accuracies and proteome-wide protein quantification</w:t>
      </w:r>
      <w:r>
        <w:rPr>
          <w:lang w:val="en-US"/>
        </w:rPr>
        <w:t xml:space="preserve">. Nat. </w:t>
      </w:r>
      <w:proofErr w:type="spellStart"/>
      <w:r>
        <w:rPr>
          <w:lang w:val="en-US"/>
        </w:rPr>
        <w:t>Biotechnol</w:t>
      </w:r>
      <w:proofErr w:type="spellEnd"/>
      <w:r>
        <w:rPr>
          <w:lang w:val="en-US"/>
        </w:rPr>
        <w:t xml:space="preserve">. </w:t>
      </w:r>
      <w:proofErr w:type="gramStart"/>
      <w:r>
        <w:rPr>
          <w:lang w:val="en-US"/>
        </w:rPr>
        <w:t>26</w:t>
      </w:r>
      <w:proofErr w:type="gramEnd"/>
      <w:r>
        <w:rPr>
          <w:lang w:val="en-US"/>
        </w:rPr>
        <w:t>:12.</w:t>
      </w:r>
      <w:r w:rsidRPr="00C16BCD">
        <w:rPr>
          <w:lang w:val="en-US"/>
        </w:rPr>
        <w:t xml:space="preserve"> </w:t>
      </w:r>
      <w:proofErr w:type="spellStart"/>
      <w:r w:rsidRPr="00C16BCD">
        <w:rPr>
          <w:lang w:val="en-US"/>
        </w:rPr>
        <w:t>doi</w:t>
      </w:r>
      <w:proofErr w:type="spellEnd"/>
      <w:r w:rsidRPr="00C16BCD">
        <w:rPr>
          <w:lang w:val="en-US"/>
        </w:rPr>
        <w:t>: 10.1038/nbt.1511</w:t>
      </w:r>
    </w:p>
    <w:p w:rsidR="00076A54" w:rsidRPr="00D33C50" w:rsidRDefault="00076A54" w:rsidP="00081D7F">
      <w:pPr>
        <w:spacing w:line="240" w:lineRule="auto"/>
        <w:jc w:val="both"/>
        <w:rPr>
          <w:lang w:val="sv-SE"/>
        </w:rPr>
      </w:pPr>
      <w:proofErr w:type="spellStart"/>
      <w:r>
        <w:rPr>
          <w:lang w:val="en-US"/>
        </w:rPr>
        <w:t>Dobin</w:t>
      </w:r>
      <w:proofErr w:type="spellEnd"/>
      <w:r>
        <w:rPr>
          <w:lang w:val="en-US"/>
        </w:rPr>
        <w:t xml:space="preserve">, A., Davis, C.A., Schlesinger, </w:t>
      </w:r>
      <w:r w:rsidRPr="00D33C50">
        <w:rPr>
          <w:lang w:val="en-US"/>
        </w:rPr>
        <w:t xml:space="preserve">F., </w:t>
      </w:r>
      <w:proofErr w:type="spellStart"/>
      <w:r w:rsidRPr="00D33C50">
        <w:rPr>
          <w:lang w:val="en-US"/>
        </w:rPr>
        <w:t>Drenkow</w:t>
      </w:r>
      <w:proofErr w:type="spellEnd"/>
      <w:r>
        <w:rPr>
          <w:lang w:val="en-US"/>
        </w:rPr>
        <w:t>,</w:t>
      </w:r>
      <w:r w:rsidRPr="00D33C50">
        <w:rPr>
          <w:lang w:val="en-US"/>
        </w:rPr>
        <w:t xml:space="preserve"> J., </w:t>
      </w:r>
      <w:proofErr w:type="spellStart"/>
      <w:r w:rsidRPr="00D33C50">
        <w:rPr>
          <w:lang w:val="en-US"/>
        </w:rPr>
        <w:t>Zaleski</w:t>
      </w:r>
      <w:proofErr w:type="spellEnd"/>
      <w:r>
        <w:rPr>
          <w:lang w:val="en-US"/>
        </w:rPr>
        <w:t>,</w:t>
      </w:r>
      <w:r w:rsidRPr="00D33C50">
        <w:rPr>
          <w:lang w:val="en-US"/>
        </w:rPr>
        <w:t xml:space="preserve"> </w:t>
      </w:r>
      <w:r w:rsidRPr="00076A54">
        <w:rPr>
          <w:lang w:val="en-US"/>
        </w:rPr>
        <w:t xml:space="preserve">C., </w:t>
      </w:r>
      <w:proofErr w:type="spellStart"/>
      <w:r w:rsidRPr="00076A54">
        <w:rPr>
          <w:lang w:val="en-US"/>
        </w:rPr>
        <w:t>Jha</w:t>
      </w:r>
      <w:proofErr w:type="spellEnd"/>
      <w:r>
        <w:rPr>
          <w:lang w:val="en-US"/>
        </w:rPr>
        <w:t>,</w:t>
      </w:r>
      <w:r w:rsidRPr="00076A54">
        <w:rPr>
          <w:lang w:val="en-US"/>
        </w:rPr>
        <w:t xml:space="preserve"> S., et al. </w:t>
      </w:r>
      <w:r w:rsidRPr="00D33C50">
        <w:rPr>
          <w:lang w:val="sv-SE"/>
        </w:rPr>
        <w:t>(2013). STAR: ultrafast universal RNA-</w:t>
      </w:r>
      <w:proofErr w:type="spellStart"/>
      <w:r w:rsidRPr="00D33C50">
        <w:rPr>
          <w:lang w:val="sv-SE"/>
        </w:rPr>
        <w:t>seq</w:t>
      </w:r>
      <w:proofErr w:type="spellEnd"/>
      <w:r w:rsidRPr="00D33C50">
        <w:rPr>
          <w:lang w:val="sv-SE"/>
        </w:rPr>
        <w:t xml:space="preserve"> </w:t>
      </w:r>
      <w:proofErr w:type="spellStart"/>
      <w:r w:rsidRPr="00D33C50">
        <w:rPr>
          <w:lang w:val="sv-SE"/>
        </w:rPr>
        <w:t>aligner</w:t>
      </w:r>
      <w:proofErr w:type="spellEnd"/>
      <w:r w:rsidRPr="00D33C50">
        <w:rPr>
          <w:lang w:val="sv-SE"/>
        </w:rPr>
        <w:t xml:space="preserve">. </w:t>
      </w:r>
      <w:proofErr w:type="spellStart"/>
      <w:r w:rsidRPr="00D33C50">
        <w:rPr>
          <w:lang w:val="sv-SE"/>
        </w:rPr>
        <w:t>Bioinformatics</w:t>
      </w:r>
      <w:proofErr w:type="spellEnd"/>
      <w:r w:rsidRPr="00D33C50">
        <w:rPr>
          <w:lang w:val="sv-SE"/>
        </w:rPr>
        <w:t xml:space="preserve">. 29. </w:t>
      </w:r>
      <w:proofErr w:type="spellStart"/>
      <w:r w:rsidRPr="00D33C50">
        <w:rPr>
          <w:lang w:val="sv-SE"/>
        </w:rPr>
        <w:t>doi</w:t>
      </w:r>
      <w:proofErr w:type="spellEnd"/>
      <w:r w:rsidRPr="00D33C50">
        <w:rPr>
          <w:lang w:val="sv-SE"/>
        </w:rPr>
        <w:t>: 10.1093/</w:t>
      </w:r>
      <w:proofErr w:type="spellStart"/>
      <w:r w:rsidRPr="00D33C50">
        <w:rPr>
          <w:lang w:val="sv-SE"/>
        </w:rPr>
        <w:t>bioinformatics</w:t>
      </w:r>
      <w:proofErr w:type="spellEnd"/>
      <w:r w:rsidRPr="00D33C50">
        <w:rPr>
          <w:lang w:val="sv-SE"/>
        </w:rPr>
        <w:t>/bts635</w:t>
      </w:r>
    </w:p>
    <w:p w:rsidR="00076A54" w:rsidRPr="004E3E45" w:rsidRDefault="00076A54" w:rsidP="003C612F">
      <w:pPr>
        <w:spacing w:line="240" w:lineRule="auto"/>
        <w:jc w:val="both"/>
        <w:rPr>
          <w:lang w:val="en-US"/>
        </w:rPr>
      </w:pPr>
      <w:proofErr w:type="spellStart"/>
      <w:r>
        <w:rPr>
          <w:lang w:val="en-US"/>
        </w:rPr>
        <w:t>Durinck</w:t>
      </w:r>
      <w:proofErr w:type="spellEnd"/>
      <w:r>
        <w:rPr>
          <w:lang w:val="en-US"/>
        </w:rPr>
        <w:t>, S., Spellman, P.T., Birney, E., Huber, W.</w:t>
      </w:r>
      <w:r w:rsidRPr="004E3E45">
        <w:rPr>
          <w:lang w:val="en-US"/>
        </w:rPr>
        <w:t xml:space="preserve"> </w:t>
      </w:r>
      <w:r>
        <w:rPr>
          <w:lang w:val="en-US"/>
        </w:rPr>
        <w:t xml:space="preserve">(2009). </w:t>
      </w:r>
      <w:r w:rsidRPr="004E3E45">
        <w:rPr>
          <w:lang w:val="en-US"/>
        </w:rPr>
        <w:t>Mapping identifiers for the integration of genomic datasets with the R/Bioconductor packa</w:t>
      </w:r>
      <w:r>
        <w:rPr>
          <w:lang w:val="en-US"/>
        </w:rPr>
        <w:t xml:space="preserve">ge </w:t>
      </w:r>
      <w:proofErr w:type="spellStart"/>
      <w:r>
        <w:rPr>
          <w:lang w:val="en-US"/>
        </w:rPr>
        <w:t>biomaRt</w:t>
      </w:r>
      <w:proofErr w:type="spellEnd"/>
      <w:r>
        <w:rPr>
          <w:lang w:val="en-US"/>
        </w:rPr>
        <w:t xml:space="preserve">. Nat. </w:t>
      </w:r>
      <w:proofErr w:type="spellStart"/>
      <w:r>
        <w:rPr>
          <w:lang w:val="en-US"/>
        </w:rPr>
        <w:t>Protoc</w:t>
      </w:r>
      <w:proofErr w:type="spellEnd"/>
      <w:r>
        <w:rPr>
          <w:lang w:val="en-US"/>
        </w:rPr>
        <w:t xml:space="preserve">. </w:t>
      </w:r>
      <w:proofErr w:type="gramStart"/>
      <w:r>
        <w:rPr>
          <w:lang w:val="en-US"/>
        </w:rPr>
        <w:t>4:</w:t>
      </w:r>
      <w:proofErr w:type="gramEnd"/>
      <w:r>
        <w:rPr>
          <w:lang w:val="en-US"/>
        </w:rPr>
        <w:t xml:space="preserve">8. </w:t>
      </w:r>
      <w:proofErr w:type="spellStart"/>
      <w:r w:rsidRPr="00C16BCD">
        <w:rPr>
          <w:lang w:val="en-US"/>
        </w:rPr>
        <w:t>doi</w:t>
      </w:r>
      <w:proofErr w:type="spellEnd"/>
      <w:r w:rsidRPr="00C16BCD">
        <w:rPr>
          <w:lang w:val="en-US"/>
        </w:rPr>
        <w:t>: 10.1038/nprot.2009.97</w:t>
      </w:r>
    </w:p>
    <w:p w:rsidR="00076A54" w:rsidRPr="004E3E45" w:rsidRDefault="00076A54" w:rsidP="003C612F">
      <w:pPr>
        <w:spacing w:line="240" w:lineRule="auto"/>
        <w:jc w:val="both"/>
        <w:rPr>
          <w:lang w:val="en-US"/>
        </w:rPr>
      </w:pPr>
      <w:proofErr w:type="spellStart"/>
      <w:r>
        <w:rPr>
          <w:lang w:val="en-US"/>
        </w:rPr>
        <w:t>Kolde</w:t>
      </w:r>
      <w:proofErr w:type="spellEnd"/>
      <w:r>
        <w:rPr>
          <w:lang w:val="en-US"/>
        </w:rPr>
        <w:t>, R.</w:t>
      </w:r>
      <w:r w:rsidRPr="007E64D6">
        <w:rPr>
          <w:lang w:val="en-US"/>
        </w:rPr>
        <w:t xml:space="preserve"> </w:t>
      </w:r>
      <w:r>
        <w:rPr>
          <w:lang w:val="en-US"/>
        </w:rPr>
        <w:t xml:space="preserve">(2018). </w:t>
      </w:r>
      <w:proofErr w:type="spellStart"/>
      <w:r>
        <w:rPr>
          <w:lang w:val="en-US"/>
        </w:rPr>
        <w:t>P</w:t>
      </w:r>
      <w:r w:rsidRPr="004E3E45">
        <w:rPr>
          <w:lang w:val="en-US"/>
        </w:rPr>
        <w:t>heatmap</w:t>
      </w:r>
      <w:proofErr w:type="spellEnd"/>
      <w:r w:rsidRPr="004E3E45">
        <w:rPr>
          <w:lang w:val="en-US"/>
        </w:rPr>
        <w:t xml:space="preserve">: Pretty </w:t>
      </w:r>
      <w:proofErr w:type="spellStart"/>
      <w:r w:rsidRPr="004E3E45">
        <w:rPr>
          <w:lang w:val="en-US"/>
        </w:rPr>
        <w:t>Hea</w:t>
      </w:r>
      <w:r>
        <w:rPr>
          <w:lang w:val="en-US"/>
        </w:rPr>
        <w:t>tmaps</w:t>
      </w:r>
      <w:proofErr w:type="spellEnd"/>
      <w:r>
        <w:rPr>
          <w:lang w:val="en-US"/>
        </w:rPr>
        <w:t xml:space="preserve">. R package version 1.0.10. </w:t>
      </w:r>
      <w:r w:rsidRPr="004E3E45">
        <w:rPr>
          <w:lang w:val="en-US"/>
        </w:rPr>
        <w:t>https://CRAN.R-project.org/ package=</w:t>
      </w:r>
      <w:proofErr w:type="spellStart"/>
      <w:r w:rsidRPr="004E3E45">
        <w:rPr>
          <w:lang w:val="en-US"/>
        </w:rPr>
        <w:t>pheatmap</w:t>
      </w:r>
      <w:proofErr w:type="spellEnd"/>
      <w:r>
        <w:rPr>
          <w:lang w:val="en-US"/>
        </w:rPr>
        <w:t>. [Accessed June 21, 2022]</w:t>
      </w:r>
    </w:p>
    <w:p w:rsidR="00076A54" w:rsidRPr="004E3E45" w:rsidRDefault="00076A54" w:rsidP="003C612F">
      <w:pPr>
        <w:spacing w:line="240" w:lineRule="auto"/>
        <w:jc w:val="both"/>
        <w:rPr>
          <w:lang w:val="en-US"/>
        </w:rPr>
      </w:pPr>
      <w:r>
        <w:rPr>
          <w:lang w:val="en-US"/>
        </w:rPr>
        <w:t>Love, M.I., Huber, W., Anders, S</w:t>
      </w:r>
      <w:r w:rsidRPr="004E3E45">
        <w:rPr>
          <w:lang w:val="en-US"/>
        </w:rPr>
        <w:t xml:space="preserve">. </w:t>
      </w:r>
      <w:r>
        <w:rPr>
          <w:lang w:val="en-US"/>
        </w:rPr>
        <w:t xml:space="preserve">(2014). </w:t>
      </w:r>
      <w:r w:rsidRPr="004E3E45">
        <w:rPr>
          <w:lang w:val="en-US"/>
        </w:rPr>
        <w:t>Moderated estimation of fold change and dispersion for RNA-</w:t>
      </w:r>
      <w:proofErr w:type="spellStart"/>
      <w:r w:rsidRPr="004E3E45">
        <w:rPr>
          <w:lang w:val="en-US"/>
        </w:rPr>
        <w:t>seq</w:t>
      </w:r>
      <w:proofErr w:type="spellEnd"/>
      <w:r w:rsidRPr="004E3E45">
        <w:rPr>
          <w:lang w:val="en-US"/>
        </w:rPr>
        <w:t xml:space="preserve"> data wit</w:t>
      </w:r>
      <w:r>
        <w:rPr>
          <w:lang w:val="en-US"/>
        </w:rPr>
        <w:t xml:space="preserve">h DESeq2. Genome Biol. 15:12. </w:t>
      </w:r>
      <w:proofErr w:type="spellStart"/>
      <w:proofErr w:type="gramStart"/>
      <w:r w:rsidRPr="00CC706C">
        <w:rPr>
          <w:lang w:val="en-US"/>
        </w:rPr>
        <w:t>doi</w:t>
      </w:r>
      <w:proofErr w:type="spellEnd"/>
      <w:proofErr w:type="gramEnd"/>
      <w:r w:rsidRPr="00CC706C">
        <w:rPr>
          <w:lang w:val="en-US"/>
        </w:rPr>
        <w:t>: 10.1186/s13059-014-0550-8</w:t>
      </w:r>
    </w:p>
    <w:p w:rsidR="00076A54" w:rsidRPr="00081D7F" w:rsidRDefault="00076A54" w:rsidP="00081D7F">
      <w:pPr>
        <w:spacing w:line="240" w:lineRule="auto"/>
        <w:jc w:val="both"/>
        <w:rPr>
          <w:lang w:val="en-US"/>
        </w:rPr>
      </w:pPr>
      <w:r w:rsidRPr="00081D7F">
        <w:rPr>
          <w:lang w:val="en-US"/>
        </w:rPr>
        <w:t>Martin, M.</w:t>
      </w:r>
      <w:r w:rsidRPr="00D33C50">
        <w:rPr>
          <w:lang w:val="en-US"/>
        </w:rPr>
        <w:t xml:space="preserve"> </w:t>
      </w:r>
      <w:r>
        <w:rPr>
          <w:lang w:val="en-US"/>
        </w:rPr>
        <w:t xml:space="preserve">(2011). </w:t>
      </w:r>
      <w:proofErr w:type="spellStart"/>
      <w:r w:rsidRPr="00081D7F">
        <w:rPr>
          <w:lang w:val="en-US"/>
        </w:rPr>
        <w:t>Cutadapt</w:t>
      </w:r>
      <w:proofErr w:type="spellEnd"/>
      <w:r w:rsidRPr="00081D7F">
        <w:rPr>
          <w:lang w:val="en-US"/>
        </w:rPr>
        <w:t xml:space="preserve"> removes adapter sequences from high-throughput sequencing reads. </w:t>
      </w:r>
      <w:proofErr w:type="spellStart"/>
      <w:r w:rsidRPr="00081D7F">
        <w:rPr>
          <w:lang w:val="en-US"/>
        </w:rPr>
        <w:t>EMBnet.J</w:t>
      </w:r>
      <w:proofErr w:type="spellEnd"/>
      <w:r w:rsidRPr="00081D7F">
        <w:rPr>
          <w:lang w:val="en-US"/>
        </w:rPr>
        <w:t>. 17. doi:10.14806/ej.17.1.200</w:t>
      </w:r>
    </w:p>
    <w:p w:rsidR="00076A54" w:rsidRPr="00CC706C" w:rsidRDefault="00076A54" w:rsidP="00081D7F">
      <w:pPr>
        <w:spacing w:line="240" w:lineRule="auto"/>
        <w:jc w:val="both"/>
        <w:rPr>
          <w:lang w:val="en-US"/>
        </w:rPr>
      </w:pPr>
      <w:proofErr w:type="spellStart"/>
      <w:r w:rsidRPr="007C3E41">
        <w:rPr>
          <w:lang w:val="en-US"/>
        </w:rPr>
        <w:t>Putri</w:t>
      </w:r>
      <w:proofErr w:type="spellEnd"/>
      <w:r w:rsidRPr="007C3E41">
        <w:rPr>
          <w:lang w:val="en-US"/>
        </w:rPr>
        <w:t xml:space="preserve">, G., Anders, S., </w:t>
      </w:r>
      <w:proofErr w:type="spellStart"/>
      <w:r w:rsidRPr="007C3E41">
        <w:rPr>
          <w:lang w:val="en-US"/>
        </w:rPr>
        <w:t>Pyl</w:t>
      </w:r>
      <w:proofErr w:type="spellEnd"/>
      <w:r w:rsidRPr="007C3E41">
        <w:rPr>
          <w:lang w:val="en-US"/>
        </w:rPr>
        <w:t xml:space="preserve">, P.T., </w:t>
      </w:r>
      <w:proofErr w:type="spellStart"/>
      <w:r w:rsidRPr="007C3E41">
        <w:rPr>
          <w:lang w:val="en-US"/>
        </w:rPr>
        <w:t>Pimanda</w:t>
      </w:r>
      <w:proofErr w:type="spellEnd"/>
      <w:r w:rsidRPr="007C3E41">
        <w:rPr>
          <w:lang w:val="en-US"/>
        </w:rPr>
        <w:t xml:space="preserve">, J.E., </w:t>
      </w:r>
      <w:proofErr w:type="spellStart"/>
      <w:r w:rsidRPr="007C3E41">
        <w:rPr>
          <w:lang w:val="en-US"/>
        </w:rPr>
        <w:t>Zanini</w:t>
      </w:r>
      <w:proofErr w:type="spellEnd"/>
      <w:r w:rsidRPr="007C3E41">
        <w:rPr>
          <w:lang w:val="en-US"/>
        </w:rPr>
        <w:t xml:space="preserve">, F. (2021). </w:t>
      </w:r>
      <w:proofErr w:type="spellStart"/>
      <w:r w:rsidRPr="00D33C50">
        <w:rPr>
          <w:lang w:val="en-US"/>
        </w:rPr>
        <w:t>An</w:t>
      </w:r>
      <w:r w:rsidRPr="004E3E45">
        <w:rPr>
          <w:lang w:val="en-US"/>
        </w:rPr>
        <w:t>alysing</w:t>
      </w:r>
      <w:proofErr w:type="spellEnd"/>
      <w:r w:rsidRPr="004E3E45">
        <w:rPr>
          <w:lang w:val="en-US"/>
        </w:rPr>
        <w:t xml:space="preserve"> high-throughput sequencing data with </w:t>
      </w:r>
      <w:proofErr w:type="spellStart"/>
      <w:r w:rsidRPr="004E3E45">
        <w:rPr>
          <w:lang w:val="en-US"/>
        </w:rPr>
        <w:t>HTSeq</w:t>
      </w:r>
      <w:proofErr w:type="spellEnd"/>
      <w:r w:rsidRPr="004E3E45">
        <w:rPr>
          <w:lang w:val="en-US"/>
        </w:rPr>
        <w:t xml:space="preserve"> 2.0. </w:t>
      </w:r>
      <w:r w:rsidRPr="00CC706C">
        <w:rPr>
          <w:lang w:val="en-US"/>
        </w:rPr>
        <w:t>arXiv:2112.00939</w:t>
      </w:r>
      <w:r>
        <w:rPr>
          <w:lang w:val="en-US"/>
        </w:rPr>
        <w:t>. doi:</w:t>
      </w:r>
      <w:r w:rsidRPr="00CC706C">
        <w:rPr>
          <w:lang w:val="en-US"/>
        </w:rPr>
        <w:t>10.48550/arXiv.2112.00939</w:t>
      </w:r>
    </w:p>
    <w:p w:rsidR="00076A54" w:rsidRPr="004E3E45" w:rsidRDefault="00076A54" w:rsidP="00081D7F">
      <w:pPr>
        <w:spacing w:line="240" w:lineRule="auto"/>
        <w:jc w:val="both"/>
        <w:rPr>
          <w:lang w:val="en-US"/>
        </w:rPr>
      </w:pPr>
      <w:r>
        <w:rPr>
          <w:lang w:val="en-US"/>
        </w:rPr>
        <w:t>R Core Team.</w:t>
      </w:r>
      <w:r w:rsidRPr="004E3E45">
        <w:rPr>
          <w:lang w:val="en-US"/>
        </w:rPr>
        <w:t xml:space="preserve"> </w:t>
      </w:r>
      <w:r>
        <w:rPr>
          <w:lang w:val="en-US"/>
        </w:rPr>
        <w:t xml:space="preserve">(2013). </w:t>
      </w:r>
      <w:r w:rsidRPr="004E3E45">
        <w:rPr>
          <w:lang w:val="en-US"/>
        </w:rPr>
        <w:t xml:space="preserve">R: A language and environment for statistical computing. R Foundation for Statistical Computing, Vienna, Austria. </w:t>
      </w:r>
      <w:r w:rsidRPr="00CC706C">
        <w:rPr>
          <w:lang w:val="en-US"/>
        </w:rPr>
        <w:t>http://www.R-project.org/</w:t>
      </w:r>
      <w:r>
        <w:rPr>
          <w:lang w:val="en-US"/>
        </w:rPr>
        <w:t>. [Accessed June 21, 2022].</w:t>
      </w:r>
    </w:p>
    <w:p w:rsidR="00076A54" w:rsidRPr="004E3E45" w:rsidRDefault="00076A54" w:rsidP="003C612F">
      <w:pPr>
        <w:spacing w:line="240" w:lineRule="auto"/>
        <w:jc w:val="both"/>
        <w:rPr>
          <w:lang w:val="en-US"/>
        </w:rPr>
      </w:pPr>
      <w:r>
        <w:rPr>
          <w:lang w:val="en-US"/>
        </w:rPr>
        <w:t>Ritchie, M.E.</w:t>
      </w:r>
      <w:r w:rsidRPr="004E3E45">
        <w:rPr>
          <w:lang w:val="en-US"/>
        </w:rPr>
        <w:t xml:space="preserve">, </w:t>
      </w:r>
      <w:proofErr w:type="spellStart"/>
      <w:r>
        <w:rPr>
          <w:lang w:val="en-US"/>
        </w:rPr>
        <w:t>Phipson</w:t>
      </w:r>
      <w:proofErr w:type="spellEnd"/>
      <w:r>
        <w:rPr>
          <w:lang w:val="en-US"/>
        </w:rPr>
        <w:t>, B., Wu, D., Hu, Y.</w:t>
      </w:r>
      <w:r w:rsidRPr="004E3E45">
        <w:rPr>
          <w:lang w:val="en-US"/>
        </w:rPr>
        <w:t>, La</w:t>
      </w:r>
      <w:r>
        <w:rPr>
          <w:lang w:val="en-US"/>
        </w:rPr>
        <w:t>w, C.W., Shi, W., et al.</w:t>
      </w:r>
      <w:r w:rsidRPr="00076A54">
        <w:rPr>
          <w:lang w:val="en-US"/>
        </w:rPr>
        <w:t xml:space="preserve"> </w:t>
      </w:r>
      <w:r>
        <w:rPr>
          <w:lang w:val="en-US"/>
        </w:rPr>
        <w:t xml:space="preserve">(2015). </w:t>
      </w:r>
      <w:r w:rsidRPr="004E3E45">
        <w:rPr>
          <w:lang w:val="en-US"/>
        </w:rPr>
        <w:t xml:space="preserve"> </w:t>
      </w:r>
      <w:proofErr w:type="spellStart"/>
      <w:r w:rsidRPr="004E3E45">
        <w:rPr>
          <w:lang w:val="en-US"/>
        </w:rPr>
        <w:t>limma</w:t>
      </w:r>
      <w:proofErr w:type="spellEnd"/>
      <w:r w:rsidRPr="004E3E45">
        <w:rPr>
          <w:lang w:val="en-US"/>
        </w:rPr>
        <w:t xml:space="preserve"> powers differential expression analyses for RNA-sequencing and microarray </w:t>
      </w:r>
      <w:r>
        <w:rPr>
          <w:lang w:val="en-US"/>
        </w:rPr>
        <w:t>studies. Nucleic Acids Res. 43:7.</w:t>
      </w:r>
      <w:r w:rsidRPr="00141D8A">
        <w:rPr>
          <w:lang w:val="en-US"/>
        </w:rPr>
        <w:t xml:space="preserve"> </w:t>
      </w:r>
      <w:proofErr w:type="spellStart"/>
      <w:proofErr w:type="gramStart"/>
      <w:r w:rsidRPr="00141D8A">
        <w:rPr>
          <w:lang w:val="en-US"/>
        </w:rPr>
        <w:t>doi</w:t>
      </w:r>
      <w:proofErr w:type="spellEnd"/>
      <w:proofErr w:type="gramEnd"/>
      <w:r w:rsidRPr="00141D8A">
        <w:rPr>
          <w:lang w:val="en-US"/>
        </w:rPr>
        <w:t>: 10.1093/</w:t>
      </w:r>
      <w:proofErr w:type="spellStart"/>
      <w:r w:rsidRPr="00141D8A">
        <w:rPr>
          <w:lang w:val="en-US"/>
        </w:rPr>
        <w:t>nar</w:t>
      </w:r>
      <w:proofErr w:type="spellEnd"/>
      <w:r w:rsidRPr="00141D8A">
        <w:rPr>
          <w:lang w:val="en-US"/>
        </w:rPr>
        <w:t>/gkv007</w:t>
      </w:r>
    </w:p>
    <w:p w:rsidR="00076A54" w:rsidRPr="004E3E45" w:rsidRDefault="00076A54" w:rsidP="003C612F">
      <w:pPr>
        <w:spacing w:line="240" w:lineRule="auto"/>
        <w:jc w:val="both"/>
        <w:rPr>
          <w:lang w:val="en-US"/>
        </w:rPr>
      </w:pPr>
      <w:r>
        <w:rPr>
          <w:lang w:val="en-US"/>
        </w:rPr>
        <w:t xml:space="preserve">Robinson, M.D., McCarthy, D.J., Smyth, G.K. (2010). </w:t>
      </w:r>
      <w:proofErr w:type="spellStart"/>
      <w:r w:rsidRPr="004E3E45">
        <w:rPr>
          <w:lang w:val="en-US"/>
        </w:rPr>
        <w:t>edgeR</w:t>
      </w:r>
      <w:proofErr w:type="spellEnd"/>
      <w:r w:rsidRPr="004E3E45">
        <w:rPr>
          <w:lang w:val="en-US"/>
        </w:rPr>
        <w:t>: a Bioconductor package for differential expression analysis of</w:t>
      </w:r>
      <w:r>
        <w:rPr>
          <w:lang w:val="en-US"/>
        </w:rPr>
        <w:t xml:space="preserve"> digital gene expression data. Bioinformatics. </w:t>
      </w:r>
      <w:proofErr w:type="gramStart"/>
      <w:r>
        <w:rPr>
          <w:lang w:val="en-US"/>
        </w:rPr>
        <w:t>26</w:t>
      </w:r>
      <w:proofErr w:type="gramEnd"/>
      <w:r>
        <w:rPr>
          <w:lang w:val="en-US"/>
        </w:rPr>
        <w:t>:1.</w:t>
      </w:r>
      <w:r w:rsidRPr="000B10AE">
        <w:rPr>
          <w:lang w:val="en-US"/>
        </w:rPr>
        <w:t xml:space="preserve"> </w:t>
      </w:r>
      <w:proofErr w:type="spellStart"/>
      <w:r w:rsidRPr="000B10AE">
        <w:rPr>
          <w:lang w:val="en-US"/>
        </w:rPr>
        <w:t>doi</w:t>
      </w:r>
      <w:proofErr w:type="spellEnd"/>
      <w:r w:rsidRPr="000B10AE">
        <w:rPr>
          <w:lang w:val="en-US"/>
        </w:rPr>
        <w:t>: 10.1093/bioinformatics/btp616</w:t>
      </w:r>
    </w:p>
    <w:p w:rsidR="00076A54" w:rsidRPr="004E3E45" w:rsidRDefault="00076A54" w:rsidP="004E3E45">
      <w:pPr>
        <w:spacing w:line="240" w:lineRule="auto"/>
        <w:jc w:val="both"/>
        <w:rPr>
          <w:lang w:val="en-US"/>
        </w:rPr>
      </w:pPr>
      <w:r w:rsidRPr="007C3E41">
        <w:rPr>
          <w:lang w:val="en-US"/>
        </w:rPr>
        <w:t xml:space="preserve">Yang, P., Kim, T., Kim, H.J. (2021). </w:t>
      </w:r>
      <w:proofErr w:type="spellStart"/>
      <w:r w:rsidRPr="004E3E45">
        <w:rPr>
          <w:lang w:val="en-US"/>
        </w:rPr>
        <w:t>PhosR</w:t>
      </w:r>
      <w:proofErr w:type="spellEnd"/>
      <w:r w:rsidRPr="004E3E45">
        <w:rPr>
          <w:lang w:val="en-US"/>
        </w:rPr>
        <w:t xml:space="preserve">: A set of methods and tools for comprehensive analysis of </w:t>
      </w:r>
      <w:proofErr w:type="spellStart"/>
      <w:r w:rsidRPr="004E3E45">
        <w:rPr>
          <w:lang w:val="en-US"/>
        </w:rPr>
        <w:t>phosphoproteomics</w:t>
      </w:r>
      <w:proofErr w:type="spellEnd"/>
      <w:r w:rsidRPr="004E3E45">
        <w:rPr>
          <w:lang w:val="en-US"/>
        </w:rPr>
        <w:t xml:space="preserve"> data. R package version 1.2.0</w:t>
      </w:r>
      <w:r>
        <w:rPr>
          <w:lang w:val="en-US"/>
        </w:rPr>
        <w:t>.</w:t>
      </w:r>
      <w:r w:rsidRPr="000B10AE">
        <w:rPr>
          <w:lang w:val="en-US"/>
        </w:rPr>
        <w:t xml:space="preserve"> https://github.com/PYangLab/PhosR</w:t>
      </w:r>
      <w:r>
        <w:rPr>
          <w:lang w:val="en-US"/>
        </w:rPr>
        <w:t xml:space="preserve">. [Accessed June 21, 2022]. </w:t>
      </w:r>
    </w:p>
    <w:p w:rsidR="00076A54" w:rsidRPr="007E64D6" w:rsidRDefault="00076A54" w:rsidP="003C612F">
      <w:pPr>
        <w:spacing w:line="240" w:lineRule="auto"/>
        <w:jc w:val="both"/>
        <w:rPr>
          <w:lang w:val="en-US"/>
        </w:rPr>
      </w:pPr>
      <w:r>
        <w:rPr>
          <w:lang w:val="en-US"/>
        </w:rPr>
        <w:t>Yu, G., Wang, L.-G., Han, Y., He, Q.-Y</w:t>
      </w:r>
      <w:r w:rsidRPr="004E3E45">
        <w:rPr>
          <w:lang w:val="en-US"/>
        </w:rPr>
        <w:t xml:space="preserve">. </w:t>
      </w:r>
      <w:r w:rsidRPr="007E64D6">
        <w:rPr>
          <w:lang w:val="en-US"/>
        </w:rPr>
        <w:t>(2012)</w:t>
      </w:r>
      <w:r>
        <w:rPr>
          <w:lang w:val="en-US"/>
        </w:rPr>
        <w:t>.</w:t>
      </w:r>
      <w:r w:rsidRPr="007E64D6">
        <w:rPr>
          <w:lang w:val="en-US"/>
        </w:rPr>
        <w:t xml:space="preserve"> </w:t>
      </w:r>
      <w:proofErr w:type="spellStart"/>
      <w:r w:rsidRPr="004E3E45">
        <w:rPr>
          <w:lang w:val="en-US"/>
        </w:rPr>
        <w:t>clusterProfiler</w:t>
      </w:r>
      <w:proofErr w:type="spellEnd"/>
      <w:r w:rsidRPr="004E3E45">
        <w:rPr>
          <w:lang w:val="en-US"/>
        </w:rPr>
        <w:t>: an R package for comparing biological the</w:t>
      </w:r>
      <w:r>
        <w:rPr>
          <w:lang w:val="en-US"/>
        </w:rPr>
        <w:t xml:space="preserve">mes among gene clusters. OMICS. </w:t>
      </w:r>
      <w:proofErr w:type="gramStart"/>
      <w:r w:rsidRPr="007E64D6">
        <w:rPr>
          <w:lang w:val="en-US"/>
        </w:rPr>
        <w:t>16</w:t>
      </w:r>
      <w:proofErr w:type="gramEnd"/>
      <w:r w:rsidRPr="007E64D6">
        <w:rPr>
          <w:lang w:val="en-US"/>
        </w:rPr>
        <w:t xml:space="preserve">:5. </w:t>
      </w:r>
      <w:proofErr w:type="spellStart"/>
      <w:r w:rsidRPr="007E64D6">
        <w:rPr>
          <w:lang w:val="en-US"/>
        </w:rPr>
        <w:t>doi</w:t>
      </w:r>
      <w:proofErr w:type="spellEnd"/>
      <w:r w:rsidRPr="007E64D6">
        <w:rPr>
          <w:lang w:val="en-US"/>
        </w:rPr>
        <w:t>: 10.1089/omi.2011.0118</w:t>
      </w:r>
    </w:p>
    <w:p w:rsidR="00076A54" w:rsidRDefault="00076A54" w:rsidP="003C612F">
      <w:pPr>
        <w:spacing w:line="240" w:lineRule="auto"/>
        <w:jc w:val="both"/>
        <w:rPr>
          <w:lang w:val="en-US"/>
        </w:rPr>
      </w:pPr>
      <w:r w:rsidRPr="007C3E41">
        <w:rPr>
          <w:lang w:val="en-US"/>
        </w:rPr>
        <w:t xml:space="preserve">Zhang, X., Smits, A., van Tilburg, G., </w:t>
      </w:r>
      <w:proofErr w:type="spellStart"/>
      <w:r w:rsidRPr="007C3E41">
        <w:rPr>
          <w:lang w:val="en-US"/>
        </w:rPr>
        <w:t>Ovaa</w:t>
      </w:r>
      <w:proofErr w:type="spellEnd"/>
      <w:r w:rsidRPr="007C3E41">
        <w:rPr>
          <w:lang w:val="en-US"/>
        </w:rPr>
        <w:t xml:space="preserve"> H, Huber W, </w:t>
      </w:r>
      <w:proofErr w:type="spellStart"/>
      <w:r w:rsidRPr="007C3E41">
        <w:rPr>
          <w:lang w:val="en-US"/>
        </w:rPr>
        <w:t>Vermeulen</w:t>
      </w:r>
      <w:proofErr w:type="spellEnd"/>
      <w:r w:rsidRPr="007C3E41">
        <w:rPr>
          <w:lang w:val="en-US"/>
        </w:rPr>
        <w:t xml:space="preserve"> M. (2018). </w:t>
      </w:r>
      <w:r w:rsidRPr="004E3E45">
        <w:rPr>
          <w:lang w:val="en-US"/>
        </w:rPr>
        <w:t>Proteome-wide identification of ubiquitin int</w:t>
      </w:r>
      <w:r>
        <w:rPr>
          <w:lang w:val="en-US"/>
        </w:rPr>
        <w:t xml:space="preserve">eractions using </w:t>
      </w:r>
      <w:proofErr w:type="spellStart"/>
      <w:r>
        <w:rPr>
          <w:lang w:val="en-US"/>
        </w:rPr>
        <w:t>UbIA</w:t>
      </w:r>
      <w:proofErr w:type="spellEnd"/>
      <w:r>
        <w:rPr>
          <w:lang w:val="en-US"/>
        </w:rPr>
        <w:t xml:space="preserve">-MS. Nat. </w:t>
      </w:r>
      <w:proofErr w:type="spellStart"/>
      <w:r>
        <w:rPr>
          <w:lang w:val="en-US"/>
        </w:rPr>
        <w:t>Protoc</w:t>
      </w:r>
      <w:proofErr w:type="spellEnd"/>
      <w:r>
        <w:rPr>
          <w:lang w:val="en-US"/>
        </w:rPr>
        <w:t xml:space="preserve">. </w:t>
      </w:r>
      <w:proofErr w:type="gramStart"/>
      <w:r>
        <w:rPr>
          <w:lang w:val="en-US"/>
        </w:rPr>
        <w:t>13</w:t>
      </w:r>
      <w:proofErr w:type="gramEnd"/>
      <w:r>
        <w:rPr>
          <w:lang w:val="en-US"/>
        </w:rPr>
        <w:t xml:space="preserve">:3. </w:t>
      </w:r>
      <w:proofErr w:type="spellStart"/>
      <w:r w:rsidRPr="00BA303F">
        <w:rPr>
          <w:lang w:val="en-US"/>
        </w:rPr>
        <w:t>doi</w:t>
      </w:r>
      <w:proofErr w:type="spellEnd"/>
      <w:r w:rsidRPr="00BA303F">
        <w:rPr>
          <w:lang w:val="en-US"/>
        </w:rPr>
        <w:t>: 10.1038/nprot.2017.147</w:t>
      </w:r>
    </w:p>
    <w:p w:rsidR="004E3E45" w:rsidRPr="00941AFA" w:rsidRDefault="004E3E45" w:rsidP="00F042E5">
      <w:pPr>
        <w:spacing w:line="360" w:lineRule="auto"/>
        <w:jc w:val="both"/>
        <w:rPr>
          <w:lang w:val="en-US"/>
        </w:rPr>
      </w:pPr>
    </w:p>
    <w:sectPr w:rsidR="004E3E45" w:rsidRPr="00941AF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303B6"/>
    <w:multiLevelType w:val="hybridMultilevel"/>
    <w:tmpl w:val="086C55C2"/>
    <w:lvl w:ilvl="0" w:tplc="DD7A438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7D"/>
    <w:rsid w:val="00020CC5"/>
    <w:rsid w:val="00076A54"/>
    <w:rsid w:val="00081D7F"/>
    <w:rsid w:val="000B10AE"/>
    <w:rsid w:val="00127929"/>
    <w:rsid w:val="00141D8A"/>
    <w:rsid w:val="001A21D9"/>
    <w:rsid w:val="001E5097"/>
    <w:rsid w:val="00263CAA"/>
    <w:rsid w:val="002C6BDF"/>
    <w:rsid w:val="002D5EF4"/>
    <w:rsid w:val="003C612F"/>
    <w:rsid w:val="003E5C37"/>
    <w:rsid w:val="003E66E9"/>
    <w:rsid w:val="004168DB"/>
    <w:rsid w:val="0042775C"/>
    <w:rsid w:val="00435BAF"/>
    <w:rsid w:val="004E3E45"/>
    <w:rsid w:val="0050187D"/>
    <w:rsid w:val="00512520"/>
    <w:rsid w:val="005971B4"/>
    <w:rsid w:val="006B2E40"/>
    <w:rsid w:val="006F6A69"/>
    <w:rsid w:val="007053AA"/>
    <w:rsid w:val="00763133"/>
    <w:rsid w:val="007C3E41"/>
    <w:rsid w:val="007E64D6"/>
    <w:rsid w:val="0080023B"/>
    <w:rsid w:val="008A41D8"/>
    <w:rsid w:val="008C07A0"/>
    <w:rsid w:val="00904777"/>
    <w:rsid w:val="00941AFA"/>
    <w:rsid w:val="0096224C"/>
    <w:rsid w:val="009812CC"/>
    <w:rsid w:val="00A55AC9"/>
    <w:rsid w:val="00A77B0E"/>
    <w:rsid w:val="00A8413C"/>
    <w:rsid w:val="00AB0E6B"/>
    <w:rsid w:val="00AF512E"/>
    <w:rsid w:val="00B4406F"/>
    <w:rsid w:val="00B84FB9"/>
    <w:rsid w:val="00BA303F"/>
    <w:rsid w:val="00C16BCD"/>
    <w:rsid w:val="00C76552"/>
    <w:rsid w:val="00CC706C"/>
    <w:rsid w:val="00D33C50"/>
    <w:rsid w:val="00DD3103"/>
    <w:rsid w:val="00DF6D4C"/>
    <w:rsid w:val="00E33BFF"/>
    <w:rsid w:val="00E37B7E"/>
    <w:rsid w:val="00E96D48"/>
    <w:rsid w:val="00EF419A"/>
    <w:rsid w:val="00F042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6614"/>
  <w15:chartTrackingRefBased/>
  <w15:docId w15:val="{501B95F5-D26E-4EBF-8D7F-24032329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8A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unhideWhenUsed/>
    <w:qFormat/>
    <w:rsid w:val="008A41D8"/>
    <w:pPr>
      <w:spacing w:after="200" w:line="240" w:lineRule="auto"/>
    </w:pPr>
    <w:rPr>
      <w:i/>
      <w:iCs/>
      <w:color w:val="44546A" w:themeColor="text2"/>
      <w:sz w:val="18"/>
      <w:szCs w:val="18"/>
    </w:rPr>
  </w:style>
  <w:style w:type="character" w:styleId="Hyperlinkki">
    <w:name w:val="Hyperlink"/>
    <w:basedOn w:val="Kappaleenoletusfontti"/>
    <w:uiPriority w:val="99"/>
    <w:unhideWhenUsed/>
    <w:rsid w:val="00CC706C"/>
    <w:rPr>
      <w:color w:val="0563C1" w:themeColor="hyperlink"/>
      <w:u w:val="single"/>
    </w:rPr>
  </w:style>
  <w:style w:type="paragraph" w:styleId="Luettelokappale">
    <w:name w:val="List Paragraph"/>
    <w:basedOn w:val="Normaali"/>
    <w:uiPriority w:val="34"/>
    <w:qFormat/>
    <w:rsid w:val="00081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C2A41-7E46-41E4-84B2-9F6DF931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9</Pages>
  <Words>1868</Words>
  <Characters>15135</Characters>
  <Application>Microsoft Office Word</Application>
  <DocSecurity>0</DocSecurity>
  <Lines>126</Lines>
  <Paragraphs>33</Paragraphs>
  <ScaleCrop>false</ScaleCrop>
  <HeadingPairs>
    <vt:vector size="2" baseType="variant">
      <vt:variant>
        <vt:lpstr>Otsikko</vt:lpstr>
      </vt:variant>
      <vt:variant>
        <vt:i4>1</vt:i4>
      </vt:variant>
    </vt:vector>
  </HeadingPairs>
  <TitlesOfParts>
    <vt:vector size="1" baseType="lpstr">
      <vt:lpstr/>
    </vt:vector>
  </TitlesOfParts>
  <Company>University of Helsinki</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Pihlström, Sandra</dc:creator>
  <cp:keywords/>
  <dc:description/>
  <cp:lastModifiedBy>Pihlström, Sandra</cp:lastModifiedBy>
  <cp:revision>19</cp:revision>
  <dcterms:created xsi:type="dcterms:W3CDTF">2022-03-29T06:23:00Z</dcterms:created>
  <dcterms:modified xsi:type="dcterms:W3CDTF">2022-11-03T11:43:00Z</dcterms:modified>
</cp:coreProperties>
</file>