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3BD5A427" w14:textId="41AF7296" w:rsidR="00EA3D3C" w:rsidRPr="00994A3D" w:rsidRDefault="00654E8F" w:rsidP="0001436A">
      <w:pPr>
        <w:pStyle w:val="Heading1"/>
      </w:pPr>
      <w:r w:rsidRPr="00994A3D">
        <w:t xml:space="preserve">Supplementary </w:t>
      </w:r>
      <w:r w:rsidR="00AC64BE">
        <w:t>Table</w:t>
      </w:r>
    </w:p>
    <w:p w14:paraId="77E4D337" w14:textId="0DE0FBEE" w:rsidR="00AC64BE" w:rsidRPr="00AC64BE" w:rsidRDefault="00AC64BE" w:rsidP="00AC64BE">
      <w:pPr>
        <w:spacing w:before="0" w:after="0"/>
        <w:rPr>
          <w:rFonts w:eastAsia="Times New Roman" w:cs="Times New Roman"/>
          <w:szCs w:val="24"/>
          <w:lang w:val="en-MY" w:eastAsia="en-MY"/>
        </w:rPr>
      </w:pPr>
      <w:r w:rsidRPr="00AC64BE">
        <w:rPr>
          <w:rFonts w:eastAsia="Times New Roman" w:cs="Times New Roman"/>
          <w:b/>
          <w:bCs/>
          <w:color w:val="000000"/>
          <w:szCs w:val="24"/>
          <w:lang w:val="en-MY" w:eastAsia="en-MY"/>
        </w:rPr>
        <w:t>Appendix 1:</w:t>
      </w:r>
      <w:r w:rsidRPr="00AC64BE">
        <w:rPr>
          <w:rFonts w:eastAsia="Times New Roman" w:cs="Times New Roman"/>
          <w:color w:val="000000"/>
          <w:szCs w:val="24"/>
          <w:lang w:val="en-MY" w:eastAsia="en-MY"/>
        </w:rPr>
        <w:t xml:space="preserve"> List of assessed Malaysian ecosystem service valuation (ESV) studies and description. CV = Contingent valuation; MP = Market price; TC = Travel cost; RC = Replacement cost; BT = Benefit transfer.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1597"/>
        <w:gridCol w:w="1347"/>
        <w:gridCol w:w="2575"/>
        <w:gridCol w:w="3284"/>
        <w:gridCol w:w="1265"/>
        <w:gridCol w:w="1507"/>
      </w:tblGrid>
      <w:tr w:rsidR="00AC64BE" w:rsidRPr="00AC64BE" w14:paraId="26199464" w14:textId="77777777" w:rsidTr="00AC64BE">
        <w:trPr>
          <w:trHeight w:val="51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7E483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Goal of valuation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62F10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Study site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83881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Valuation method(s)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7C6F79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Ecosystem services valued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D6127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Description of valuation study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4FA18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Reference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B5E43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Type of publications/</w:t>
            </w:r>
          </w:p>
          <w:p w14:paraId="65EBE769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literatures (Number of citations)</w:t>
            </w:r>
          </w:p>
        </w:tc>
      </w:tr>
      <w:tr w:rsidR="00AC64BE" w:rsidRPr="00AC64BE" w14:paraId="5F610AFE" w14:textId="77777777" w:rsidTr="00AC64BE">
        <w:trPr>
          <w:trHeight w:val="580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E93B9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Raise awareness of the value of mangrove ecosystems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6006A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Kuala Perlis mangrove forest, Perlis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AC509" w14:textId="366ABAC1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CV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5E500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Mangrove value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F1F38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This study valued ecosystem monetary value of mangrove forest to inform local forestry decision makers.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D88AC" w14:textId="0B2D9854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Hasan-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Basri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et al., 2020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12CD1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Journal article (2)</w:t>
            </w:r>
          </w:p>
        </w:tc>
      </w:tr>
      <w:tr w:rsidR="00AC64BE" w:rsidRPr="00AC64BE" w14:paraId="370D91FB" w14:textId="77777777" w:rsidTr="00AC64BE">
        <w:trPr>
          <w:trHeight w:val="179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F8D8A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5B224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Kuala Selangor Mangrove Forest, Selangor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FBBBD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MP, TC, RC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1FF08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Aquaculture production, fisheries production, non-timber forest product, riverine production, coastal protection, tourism, mangrove preservation, total economic value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18051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Study valued 7 ES in Kuala Selangor Mangrove Forest, Selangor that was under great pressure for conversion to other economic activities. Valuations are readily comparable with Total Economic Value.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475ED" w14:textId="6F399133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Leong et al., 2005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CB80D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Book (N/A)</w:t>
            </w:r>
          </w:p>
        </w:tc>
      </w:tr>
      <w:tr w:rsidR="00AC64BE" w:rsidRPr="00AC64BE" w14:paraId="7916F8E7" w14:textId="77777777" w:rsidTr="00AC64BE">
        <w:trPr>
          <w:trHeight w:val="77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61A0F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27D0D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Sungai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Merbok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Forest Reserve, Kedah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44020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Remote sensing ESV coefficient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DCF4BF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Mangrove value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63D86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Used remote sensing to value the impact of mangrove changes on the socio-economic value of Sungai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Merbok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Forest Reserve mangrove.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2F428" w14:textId="0E8444B2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Khuzaimah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et al., 2013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D5808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Conference article (4)</w:t>
            </w:r>
          </w:p>
        </w:tc>
      </w:tr>
      <w:tr w:rsidR="00AC64BE" w:rsidRPr="00AC64BE" w14:paraId="3909A791" w14:textId="77777777" w:rsidTr="00AC64BE">
        <w:trPr>
          <w:trHeight w:val="1161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7B97F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3EF1E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Kampung Sungai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Melayu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, Johor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90B4C" w14:textId="378B5960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CV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326D6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Mangrove value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58EC2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This study valued the local community’s willingness to pay to conserve mangrove forests in Kampung Sungai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Melayu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and assessed their satisfaction level with the current mangrove forest management.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294B7" w14:textId="034C1B30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Sunoto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et al., 2020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FDF63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Journal article (1)</w:t>
            </w:r>
          </w:p>
        </w:tc>
      </w:tr>
      <w:tr w:rsidR="00AC64BE" w:rsidRPr="00AC64BE" w14:paraId="5131624E" w14:textId="77777777" w:rsidTr="00AC64BE">
        <w:trPr>
          <w:trHeight w:val="77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E2DE8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3FB05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Kuching Delta Mangrove Forest, Sarawak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1AB36" w14:textId="77F09ADA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CV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1F987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Mangrove value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E91C0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This study valued the local community’s willingness to pay to conserve mangrove forests in </w:t>
            </w: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lastRenderedPageBreak/>
              <w:t>Kuching Delta Mangrove Forest, Sarawak.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A4733" w14:textId="19BBAE99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lastRenderedPageBreak/>
              <w:t>Shuib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et al., 2012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BA17D6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Journal article (N/A)</w:t>
            </w:r>
          </w:p>
        </w:tc>
      </w:tr>
      <w:tr w:rsidR="00AC64BE" w:rsidRPr="00AC64BE" w14:paraId="27B6AE41" w14:textId="77777777" w:rsidTr="00AC64BE">
        <w:trPr>
          <w:trHeight w:val="1284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52406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3E447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Sarawak Mangrove Forest Reserve, Sarawak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9596D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MP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87812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Timber production, fisheries production, tourism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343B3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This study valued the economic value of the Sarawak Mangrove Forest Reserve and provided information of other mangrove management scenarios such as oil palm plantations and aquaculture ponds.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8F8DA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Bennet &amp; Reynold, 1993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FFA055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Journal article (144)</w:t>
            </w:r>
          </w:p>
        </w:tc>
      </w:tr>
      <w:tr w:rsidR="00AC64BE" w:rsidRPr="00AC64BE" w14:paraId="1F157EFE" w14:textId="77777777" w:rsidTr="00AC64BE">
        <w:trPr>
          <w:trHeight w:val="513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7B122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31DB3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Kudat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, Sabah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72649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MP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47239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Fisheries production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EB4EC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This study valued the fisheries production ecosystem services of mangrove forests in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Kudat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, Sabah.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F8EC3" w14:textId="5025D2DD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Mojiol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et al., 2016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49E31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Journal article (21)</w:t>
            </w:r>
          </w:p>
        </w:tc>
      </w:tr>
      <w:tr w:rsidR="00AC64BE" w:rsidRPr="00AC64BE" w14:paraId="77322F14" w14:textId="77777777" w:rsidTr="00AC64BE">
        <w:trPr>
          <w:trHeight w:val="102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58ACD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A9A9C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Kuala Selangor Nature Park &amp; Sungai Haji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Dorani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, Selangor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A3F18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MP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C34F30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Carbon sequestration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1CB9E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This study valued the potential revenue from carbon stocks to inform the local mangrove manager in both the mangrove forests of Kuala Selangor Nature Park and Sungai Haji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Dorani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D2473" w14:textId="56174A5E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Hong et al., 2017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BFE29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Journal article (18)</w:t>
            </w:r>
          </w:p>
        </w:tc>
      </w:tr>
      <w:tr w:rsidR="00AC64BE" w:rsidRPr="00AC64BE" w14:paraId="7237F33D" w14:textId="77777777" w:rsidTr="00AC64BE">
        <w:trPr>
          <w:trHeight w:val="77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4F758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1C627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Kilim Karst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Geoforest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Park, Kedah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BC88B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TC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9586F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Tourism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26F4B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This study valued the economic value of Kilim Karst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Geoforest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mangrove forest, Langkawi, Kedah in tourism.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46956" w14:textId="568CC912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Matthew et al., 2019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9E0F5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Journal article (16)</w:t>
            </w:r>
          </w:p>
        </w:tc>
      </w:tr>
      <w:tr w:rsidR="00AC64BE" w:rsidRPr="00AC64BE" w14:paraId="4FD1E46E" w14:textId="77777777" w:rsidTr="00AC64BE">
        <w:trPr>
          <w:trHeight w:val="513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B5C00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55B1F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Larut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Matang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, Perak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5760C" w14:textId="64719B5F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CV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E96A2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Tourism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5A163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This study valued the recreational value of mangrove forests in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Larut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Matang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, Perak.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D3950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Ahmad, 2009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CB6E9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Journal article (39)</w:t>
            </w:r>
          </w:p>
        </w:tc>
      </w:tr>
      <w:tr w:rsidR="00AC64BE" w:rsidRPr="00AC64BE" w14:paraId="72AE2B4D" w14:textId="77777777" w:rsidTr="00AC64BE">
        <w:trPr>
          <w:trHeight w:val="77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53D5B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FAD65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Matang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Mangrove Forest Reserve, Perak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2BAD4C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TC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3F987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Tourism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87D5F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This study attempted to value the additional opportunity cost the management at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Matang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Mangrove Forest Reserve, Perak, can explore.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E6A5E" w14:textId="720A97F8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Razak et al., 2018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39594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Journal article (5)</w:t>
            </w:r>
          </w:p>
        </w:tc>
      </w:tr>
      <w:tr w:rsidR="00AC64BE" w:rsidRPr="00AC64BE" w14:paraId="45F1E6EF" w14:textId="77777777" w:rsidTr="00AC64BE">
        <w:trPr>
          <w:trHeight w:val="770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00F54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Provide justification and support to certain decision making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18C1C9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Benut, Johor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F25AB" w14:textId="7562873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CV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4EF4F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Fisheries production, coastal protection, tourism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D698A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This is a case study by Johor State Forestry Department, to inform decision-making on whether to change the status of Benut mangrove forest from state land into a permanent reserve forest.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6A3AE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Bann, 1999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22E2A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Report (N/A)</w:t>
            </w:r>
          </w:p>
        </w:tc>
      </w:tr>
      <w:tr w:rsidR="00AC64BE" w:rsidRPr="00AC64BE" w14:paraId="07085E85" w14:textId="77777777" w:rsidTr="00AC64BE">
        <w:trPr>
          <w:trHeight w:val="1284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54B51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Compare costs and benefits of different uses of the environment and assess trade-offs.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7633A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Teluk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Air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Tawar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-Kuala Muda coast, Penang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68B33" w14:textId="39628945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MP, CV, TC, BT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70947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Fisheries production, coastal protection, tourism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BDC69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This study assessed the economic value of several mangrove forest ecosystem services from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Teluk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Air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Tawar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to Kuala Muda Coast, Penang. It provided comparisons of management scenarios between </w:t>
            </w: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lastRenderedPageBreak/>
              <w:t>preservation and clearing of mangrove forests.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36609" w14:textId="1B74FC88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lastRenderedPageBreak/>
              <w:t>Foong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et al., 2016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E4274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Report (N/A)</w:t>
            </w:r>
          </w:p>
        </w:tc>
      </w:tr>
      <w:tr w:rsidR="00AC64BE" w:rsidRPr="00AC64BE" w14:paraId="5B9B89CB" w14:textId="77777777" w:rsidTr="00AC64BE">
        <w:trPr>
          <w:trHeight w:val="1027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EC9E3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404CD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Matang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Mangrove Forest Reserve, Perak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8DF34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MP and opportunity cost analysis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7803D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Timber production, carbon sequestration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FA6C2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Tapping into REDD++, this study demonstrated a comparison of cost benefits between two mangrove management scenarios in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Matang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Mangrove Forest Reserve.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D5165" w14:textId="7208B58F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Aziz et al., 2015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85F44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Journal article (21)</w:t>
            </w:r>
          </w:p>
        </w:tc>
      </w:tr>
      <w:tr w:rsidR="00AC64BE" w:rsidRPr="00AC64BE" w14:paraId="5AE071DB" w14:textId="77777777" w:rsidTr="00AC64BE">
        <w:trPr>
          <w:trHeight w:val="1027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0225A2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Determine appropriate charging rates for environmental use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6A9F7A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Penang National Park, Penang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4ED41" w14:textId="1438E1C1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CV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E999A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Tourism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176B42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The study assessed willingness to pay among </w:t>
            </w:r>
            <w:proofErr w:type="gram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local residents</w:t>
            </w:r>
            <w:proofErr w:type="gram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and visitors to indicate the revenue opportunities for the Penang National Park to introduce entrance fees.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A934D" w14:textId="532A2C14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Kaffashi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et al., 2015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1C006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Journal article (37)</w:t>
            </w:r>
          </w:p>
        </w:tc>
      </w:tr>
      <w:tr w:rsidR="00AC64BE" w:rsidRPr="00AC64BE" w14:paraId="2166D7C8" w14:textId="77777777" w:rsidTr="00AC64BE">
        <w:trPr>
          <w:trHeight w:val="102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CC9EE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B9477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Pulau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Redang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Marine Park, Terengganu </w:t>
            </w: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br/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Pulau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Payar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Marine Park, Kedah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B6D60" w14:textId="653959BD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CV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FD50A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Tourism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1CC051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The study valued the willingness to pay among </w:t>
            </w:r>
            <w:proofErr w:type="gram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local residents</w:t>
            </w:r>
            <w:proofErr w:type="gram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and visitors to indicate the feasibility of both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Pulau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Redang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and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Pulau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Payar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Marine Park to increase entrance fees to favour better management.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ABB8B" w14:textId="13E9E24C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Yakob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et al., 2009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98E59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Journal article (85)</w:t>
            </w:r>
          </w:p>
        </w:tc>
      </w:tr>
      <w:tr w:rsidR="00AC64BE" w:rsidRPr="00AC64BE" w14:paraId="49B589E3" w14:textId="77777777" w:rsidTr="00AC64BE">
        <w:trPr>
          <w:trHeight w:val="1027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0D96B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19577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Matang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Mangrove Forest Reserve, Perak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FEDE5" w14:textId="6434A371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CV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62C34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Mangrove value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AA1B5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This study assessed the potential additional revenue based on the willingness to pay visitors and local fishermen to </w:t>
            </w:r>
            <w:proofErr w:type="spellStart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Matang</w:t>
            </w:r>
            <w:proofErr w:type="spellEnd"/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 xml:space="preserve"> Mangrove Forest Reserve, Perak, with comparison to existing entrance fees.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A55EC" w14:textId="0E9B27B9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Ramli et al., 2017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F2F47" w14:textId="77777777" w:rsidR="00AC64BE" w:rsidRPr="00AC64BE" w:rsidRDefault="00AC64BE" w:rsidP="00AC64BE">
            <w:pPr>
              <w:spacing w:before="0" w:after="0"/>
              <w:rPr>
                <w:rFonts w:eastAsia="Times New Roman" w:cs="Times New Roman"/>
                <w:szCs w:val="24"/>
                <w:lang w:val="en-MY" w:eastAsia="en-MY"/>
              </w:rPr>
            </w:pPr>
            <w:r w:rsidRPr="00AC64BE">
              <w:rPr>
                <w:rFonts w:eastAsia="Times New Roman" w:cs="Times New Roman"/>
                <w:color w:val="000000"/>
                <w:sz w:val="20"/>
                <w:szCs w:val="20"/>
                <w:lang w:val="en-MY" w:eastAsia="en-MY"/>
              </w:rPr>
              <w:t>Journal article (14)</w:t>
            </w:r>
          </w:p>
        </w:tc>
      </w:tr>
    </w:tbl>
    <w:p w14:paraId="7B65BC41" w14:textId="77777777" w:rsidR="00DE23E8" w:rsidRPr="001549D3" w:rsidRDefault="00DE23E8" w:rsidP="00654E8F">
      <w:pPr>
        <w:spacing w:before="240"/>
      </w:pPr>
    </w:p>
    <w:sectPr w:rsidR="00DE23E8" w:rsidRPr="001549D3" w:rsidSect="00AC64BE">
      <w:headerReference w:type="even" r:id="rId8"/>
      <w:footerReference w:type="even" r:id="rId9"/>
      <w:footerReference w:type="default" r:id="rId10"/>
      <w:headerReference w:type="first" r:id="rId11"/>
      <w:pgSz w:w="15840" w:h="12240" w:orient="landscape"/>
      <w:pgMar w:top="1282" w:right="1138" w:bottom="1181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F5326" w14:textId="77777777" w:rsidR="00182028" w:rsidRDefault="00182028" w:rsidP="00117666">
      <w:pPr>
        <w:spacing w:after="0"/>
      </w:pPr>
      <w:r>
        <w:separator/>
      </w:r>
    </w:p>
  </w:endnote>
  <w:endnote w:type="continuationSeparator" w:id="0">
    <w:p w14:paraId="0B288988" w14:textId="77777777" w:rsidR="00182028" w:rsidRDefault="00182028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C6EC4" w14:textId="77777777" w:rsidR="00182028" w:rsidRDefault="00182028" w:rsidP="00117666">
      <w:pPr>
        <w:spacing w:after="0"/>
      </w:pPr>
      <w:r>
        <w:separator/>
      </w:r>
    </w:p>
  </w:footnote>
  <w:footnote w:type="continuationSeparator" w:id="0">
    <w:p w14:paraId="36BC3F16" w14:textId="77777777" w:rsidR="00182028" w:rsidRDefault="00182028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182028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354D8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97F41"/>
    <w:rsid w:val="007C206C"/>
    <w:rsid w:val="00817DD6"/>
    <w:rsid w:val="0083759F"/>
    <w:rsid w:val="0085640E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43BBB"/>
    <w:rsid w:val="00AA4D24"/>
    <w:rsid w:val="00AB6715"/>
    <w:rsid w:val="00AC64BE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95B86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EE2C86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5640E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2118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2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Natasha Glynn</cp:lastModifiedBy>
  <cp:revision>4</cp:revision>
  <cp:lastPrinted>2013-10-03T12:51:00Z</cp:lastPrinted>
  <dcterms:created xsi:type="dcterms:W3CDTF">2022-10-13T06:48:00Z</dcterms:created>
  <dcterms:modified xsi:type="dcterms:W3CDTF">2022-11-23T12:33:00Z</dcterms:modified>
</cp:coreProperties>
</file>