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3"/>
        <w:rPr>
          <w:rFonts w:cs="Times New Roman"/>
          <w:szCs w:val="24"/>
        </w:rPr>
      </w:pPr>
      <w:r>
        <w:t>Supplementary Material</w:t>
      </w:r>
    </w:p>
    <w:p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hint="eastAsia" w:cs="Times New Roman"/>
          <w:b/>
          <w:szCs w:val="24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Per-category classification performance of </w:t>
      </w:r>
      <w:r>
        <w:rPr>
          <w:rFonts w:hint="eastAsia" w:ascii="Times New Roman" w:hAnsi="Times New Roman" w:eastAsia="Times New Roman" w:cs="Times New Roman"/>
          <w:szCs w:val="21"/>
          <w:lang w:val="en-US" w:eastAsia="zh-CN"/>
        </w:rPr>
        <w:t>other related advanced methods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and our methods. </w:t>
      </w:r>
      <w:r>
        <w:rPr>
          <w:rFonts w:cs="Times New Roman"/>
          <w:szCs w:val="24"/>
        </w:rPr>
        <w:t xml:space="preserve"> </w:t>
      </w:r>
    </w:p>
    <w:tbl>
      <w:tblPr>
        <w:tblStyle w:val="30"/>
        <w:tblW w:w="11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86"/>
        <w:gridCol w:w="1744"/>
        <w:gridCol w:w="1763"/>
        <w:gridCol w:w="1745"/>
        <w:gridCol w:w="1745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Methods</w:t>
            </w:r>
          </w:p>
        </w:tc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Classes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ACC,%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(95% CI)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RE,%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(95% CI)</w:t>
            </w: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PRE,%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(95% CI)</w:t>
            </w: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F1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,%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(95% CI)</w:t>
            </w: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AUC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,%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(95% CI)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z w:val="21"/>
                <w:szCs w:val="21"/>
                <w:lang w:val="en-US" w:eastAsia="zh-CN"/>
              </w:rPr>
              <w:t>Zhang Y, et al.[54]</w:t>
            </w:r>
          </w:p>
        </w:tc>
        <w:tc>
          <w:tcPr>
            <w:tcW w:w="148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EGC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(94.5-96.5)</w:t>
            </w:r>
          </w:p>
        </w:tc>
        <w:tc>
          <w:tcPr>
            <w:tcW w:w="176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(47.2-82.0)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(66.8-90.4)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69.6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(60.1-79.1)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97.3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(96.0-98.6)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LGIN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87.3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(84.1-90.5)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75.0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(63.5-86.5)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81.3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(71.0-91.6)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77.1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(71.1-83.1)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93.3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(91.0-95.6)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yellow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on-neoplasm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88.9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(85.8-92.0)</w:t>
            </w:r>
          </w:p>
        </w:tc>
        <w:tc>
          <w:tcPr>
            <w:tcW w:w="17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93.6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(88.5-98.7)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89.7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(83.7-95.7)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91.3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(88.7-93.9)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(94.0-97.2)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z w:val="21"/>
                <w:szCs w:val="21"/>
                <w:lang w:val="en-US" w:eastAsia="zh-CN"/>
              </w:rPr>
              <w:t>Yan T, et al.[41]</w:t>
            </w:r>
          </w:p>
        </w:tc>
        <w:tc>
          <w:tcPr>
            <w:tcW w:w="148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EGC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95.2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(94.0-96.4)</w:t>
            </w:r>
          </w:p>
        </w:tc>
        <w:tc>
          <w:tcPr>
            <w:tcW w:w="176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61.9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(40.3-83.5)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77.7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(65.8-89.6)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67.2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(55.7-78.7)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97.2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(95.5-98.9)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LGIN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(85.6-92.8)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(65.3-93.9)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84.5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(76.3-92.7)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81.7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(71.4-92.0)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94.7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(91.5-97.9)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yellow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on-neoplasm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90.6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(88.4-92.8)</w:t>
            </w:r>
          </w:p>
        </w:tc>
        <w:tc>
          <w:tcPr>
            <w:tcW w:w="17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93.9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(88.1-99.7)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89.1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(84.4-93.8)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91.3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(88.2-94.4)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96.5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(95.3-97.7)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auto"/>
                <w:sz w:val="21"/>
                <w:szCs w:val="21"/>
                <w:lang w:val="en-US" w:eastAsia="zh-CN"/>
              </w:rPr>
              <w:t>Zheng W, et al.[55]</w:t>
            </w:r>
          </w:p>
        </w:tc>
        <w:tc>
          <w:tcPr>
            <w:tcW w:w="148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EGC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96.5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(94.7-98.3)</w:t>
            </w:r>
          </w:p>
        </w:tc>
        <w:tc>
          <w:tcPr>
            <w:tcW w:w="176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64.1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(42.5-85.7)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89.8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(85.9-93.7)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73.8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(56.5-91.1)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98.2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(96.6-99.8)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LGIN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88.5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(84.4-92.6)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79.9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(69.3-90.5)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81.9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(69.2-94.6)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80.0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(74.1-85.9)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94.5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(91.8-97.2)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yellow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on-neoplasm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89.3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(85.1-93.5)</w:t>
            </w:r>
          </w:p>
        </w:tc>
        <w:tc>
          <w:tcPr>
            <w:tcW w:w="17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93.4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(87.1-99.7)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90.2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(85.1-95.3)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91.6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(87.9-95.3)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96.1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(94.0-98.2)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MainNet</w:t>
            </w:r>
          </w:p>
        </w:tc>
        <w:tc>
          <w:tcPr>
            <w:tcW w:w="148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EGC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97.2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(95.4-99.0)</w:t>
            </w:r>
          </w:p>
        </w:tc>
        <w:tc>
          <w:tcPr>
            <w:tcW w:w="176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85.3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(73.5-97.1)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82.2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(68.5-95.9)</w:t>
            </w:r>
          </w:p>
        </w:tc>
        <w:tc>
          <w:tcPr>
            <w:tcW w:w="17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81.5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(73.9-89.1)</w:t>
            </w:r>
          </w:p>
        </w:tc>
        <w:tc>
          <w:tcPr>
            <w:tcW w:w="174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98.4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(96.9-99.9)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LGIN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92.0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(87.6-96.4)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78.8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(64.9-92.7)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92.5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(87.1-97.9)</w:t>
            </w:r>
          </w:p>
        </w:tc>
        <w:tc>
          <w:tcPr>
            <w:tcW w:w="1745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82.8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(77.4-88.2)</w:t>
            </w:r>
          </w:p>
        </w:tc>
        <w:tc>
          <w:tcPr>
            <w:tcW w:w="174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97.0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(94.3-99.7)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 w:colFirst="1" w:colLast="1"/>
          </w:p>
        </w:tc>
        <w:tc>
          <w:tcPr>
            <w:tcW w:w="148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highlight w:val="yellow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  <w:t>on-neoplasm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92.0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(87.7-96.3)</w:t>
            </w:r>
          </w:p>
        </w:tc>
        <w:tc>
          <w:tcPr>
            <w:tcW w:w="17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96.7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(93.6-99.8)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91.4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(85.6-97.2)</w:t>
            </w:r>
          </w:p>
        </w:tc>
        <w:tc>
          <w:tcPr>
            <w:tcW w:w="17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92.0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(88.7-95.3)</w:t>
            </w:r>
          </w:p>
        </w:tc>
        <w:tc>
          <w:tcPr>
            <w:tcW w:w="174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97.1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(94.8-99.4)</w:t>
            </w:r>
          </w:p>
        </w:tc>
      </w:tr>
      <w:bookmarkEnd w:id="0"/>
    </w:tbl>
    <w:p>
      <w:pPr>
        <w:keepNext/>
        <w:rPr>
          <w:rFonts w:cs="Times New Roman"/>
          <w:szCs w:val="24"/>
        </w:rPr>
      </w:pPr>
    </w:p>
    <w:p>
      <w:pPr>
        <w:spacing w:before="240"/>
      </w:pPr>
    </w:p>
    <w:sectPr>
      <w:headerReference r:id="rId5" w:type="first"/>
      <w:footerReference r:id="rId6" w:type="default"/>
      <w:headerReference r:id="rId4" w:type="even"/>
      <w:footerReference r:id="rId7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b/>
        <w:sz w:val="20"/>
        <w:szCs w:val="24"/>
      </w:rPr>
    </w:pPr>
    <w:r>
      <w:rPr>
        <w:rFonts w:ascii="Times New Roman" w:hAnsi="Times New Roman" w:eastAsia="Calibri" w:cs="Times New Roman"/>
        <w:sz w:val="24"/>
        <w:szCs w:val="22"/>
        <w:lang w:val="en-US" w:eastAsia="en-US" w:bidi="ar-SA"/>
      </w:rPr>
      <w:pict>
        <v:rect id="Text Box 56" o:spid="_x0000_s1026" style="position:absolute;left:0;margin-top:735.1pt;height:31.15pt;width:118.8pt;mso-position-horizontal:right;mso-position-horizontal-relative:margin;mso-position-vertical-relative:pag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>
                <w:pPr>
                  <w:jc w:val="right"/>
                  <w:rPr>
                    <w:color w:val="000000"/>
                    <w:szCs w:val="40"/>
                  </w:rPr>
                </w:pPr>
                <w:r>
                  <w:rPr>
                    <w:color w:val="000000"/>
                    <w:szCs w:val="40"/>
                  </w:rPr>
                  <w:fldChar w:fldCharType="begin"/>
                </w:r>
                <w:r>
                  <w:rPr>
                    <w:color w:val="000000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/>
                    <w:szCs w:val="40"/>
                  </w:rPr>
                  <w:fldChar w:fldCharType="separate"/>
                </w:r>
                <w:r>
                  <w:rPr>
                    <w:color w:val="000000"/>
                    <w:szCs w:val="40"/>
                  </w:rPr>
                  <w:t>3</w:t>
                </w:r>
                <w:r>
                  <w:rPr>
                    <w:color w:val="000000"/>
                    <w:szCs w:val="40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color w:val="C00000"/>
        <w:szCs w:val="24"/>
      </w:rPr>
    </w:pPr>
    <w:r>
      <w:rPr>
        <w:rFonts w:ascii="Times New Roman" w:hAnsi="Times New Roman" w:eastAsia="Calibri" w:cs="Times New Roman"/>
        <w:sz w:val="24"/>
        <w:szCs w:val="22"/>
        <w:lang w:val="en-US" w:eastAsia="en-US" w:bidi="ar-SA"/>
      </w:rPr>
      <w:pict>
        <v:rect id="Text Box 1" o:spid="_x0000_s1027" style="position:absolute;left:0;margin-top:735.1pt;height:31.15pt;width:118.8pt;mso-position-horizontal:right;mso-position-horizontal-relative:margin;mso-position-vertical-relative:pag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>
                <w:pPr>
                  <w:jc w:val="right"/>
                  <w:rPr>
                    <w:color w:val="000000"/>
                    <w:szCs w:val="40"/>
                  </w:rPr>
                </w:pPr>
                <w:r>
                  <w:rPr>
                    <w:color w:val="000000"/>
                    <w:szCs w:val="40"/>
                  </w:rPr>
                  <w:fldChar w:fldCharType="begin"/>
                </w:r>
                <w:r>
                  <w:rPr>
                    <w:color w:val="000000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/>
                    <w:szCs w:val="40"/>
                  </w:rPr>
                  <w:fldChar w:fldCharType="separate"/>
                </w:r>
                <w:r>
                  <w:rPr>
                    <w:color w:val="000000"/>
                    <w:szCs w:val="40"/>
                  </w:rPr>
                  <w:t>2</w:t>
                </w:r>
                <w:r>
                  <w:rPr>
                    <w:color w:val="000000"/>
                    <w:szCs w:val="40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cs="Times New Roman"/>
      </w:rPr>
    </w:pP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Fonts w:ascii="Times New Roman" w:hAnsi="Times New Roman" w:eastAsia="Calibri" w:cs="Times New Roman"/>
        <w:b/>
        <w:color w:val="A5A5A5"/>
        <w:sz w:val="24"/>
        <w:szCs w:val="22"/>
        <w:lang w:val="en-US" w:eastAsia="en-US" w:bidi="ar-SA"/>
      </w:rPr>
      <w:pict>
        <v:shape id="Picture 7" o:spid="_x0000_s1025" type="#_x0000_t75" style="height:39.15pt;width:108.8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15923994">
    <w:nsid w:val="1EC0601A"/>
    <w:multiLevelType w:val="multilevel"/>
    <w:tmpl w:val="1EC0601A"/>
    <w:lvl w:ilvl="0" w:tentative="1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1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1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1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1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575866293">
    <w:nsid w:val="225305B5"/>
    <w:multiLevelType w:val="multilevel"/>
    <w:tmpl w:val="225305B5"/>
    <w:lvl w:ilvl="0" w:tentative="1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15923994"/>
  </w:num>
  <w:num w:numId="2">
    <w:abstractNumId w:val="5758662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EEB60BF"/>
    <w:rsid w:val="33C455C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99" w:semiHidden="0" w:name="annotation reference"/>
    <w:lsdException w:uiPriority="99" w:semiHidden="0" w:name="line number"/>
    <w:lsdException w:uiPriority="0" w:name="page number"/>
    <w:lsdException w:uiPriority="99" w:semiHidden="0" w:name="endnote reference"/>
    <w:lsdException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4"/>
    <w:qFormat/>
    <w:uiPriority w:val="2"/>
    <w:pPr>
      <w:numPr>
        <w:ilvl w:val="0"/>
        <w:numId w:val="1"/>
      </w:numPr>
      <w:spacing w:before="240"/>
      <w:outlineLvl w:val="0"/>
    </w:pPr>
    <w:rPr>
      <w:b/>
    </w:rPr>
  </w:style>
  <w:style w:type="paragraph" w:styleId="4">
    <w:name w:val="heading 2"/>
    <w:basedOn w:val="2"/>
    <w:next w:val="1"/>
    <w:link w:val="35"/>
    <w:qFormat/>
    <w:uiPriority w:val="2"/>
    <w:pPr>
      <w:numPr>
        <w:ilvl w:val="1"/>
        <w:numId w:val="1"/>
      </w:numPr>
      <w:spacing w:after="200"/>
      <w:outlineLvl w:val="1"/>
    </w:pPr>
  </w:style>
  <w:style w:type="paragraph" w:styleId="5">
    <w:name w:val="heading 3"/>
    <w:basedOn w:val="1"/>
    <w:next w:val="1"/>
    <w:link w:val="47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b/>
      <w:szCs w:val="24"/>
    </w:rPr>
  </w:style>
  <w:style w:type="paragraph" w:styleId="6">
    <w:name w:val="heading 4"/>
    <w:basedOn w:val="5"/>
    <w:next w:val="1"/>
    <w:link w:val="48"/>
    <w:qFormat/>
    <w:uiPriority w:val="2"/>
    <w:pPr>
      <w:numPr>
        <w:ilvl w:val="3"/>
        <w:numId w:val="1"/>
      </w:numPr>
      <w:outlineLvl w:val="3"/>
    </w:pPr>
    <w:rPr>
      <w:iCs/>
    </w:rPr>
  </w:style>
  <w:style w:type="paragraph" w:styleId="7">
    <w:name w:val="heading 5"/>
    <w:basedOn w:val="6"/>
    <w:next w:val="1"/>
    <w:link w:val="49"/>
    <w:qFormat/>
    <w:uiPriority w:val="2"/>
    <w:pPr>
      <w:numPr>
        <w:ilvl w:val="4"/>
        <w:numId w:val="1"/>
      </w:numPr>
      <w:outlineLvl w:val="4"/>
    </w:pPr>
  </w:style>
  <w:style w:type="character" w:default="1" w:styleId="20">
    <w:name w:val="Default Paragraph Font"/>
    <w:unhideWhenUsed/>
    <w:uiPriority w:val="1"/>
  </w:style>
  <w:style w:type="table" w:default="1" w:styleId="29">
    <w:name w:val="Normal Table"/>
    <w:unhideWhenUsed/>
    <w:uiPriority w:val="99"/>
    <w:tblPr>
      <w:tblStyle w:val="2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annotation subject"/>
    <w:basedOn w:val="9"/>
    <w:next w:val="9"/>
    <w:link w:val="40"/>
    <w:unhideWhenUsed/>
    <w:uiPriority w:val="99"/>
    <w:rPr>
      <w:b/>
      <w:bCs/>
    </w:rPr>
  </w:style>
  <w:style w:type="paragraph" w:styleId="9">
    <w:name w:val="annotation text"/>
    <w:basedOn w:val="1"/>
    <w:link w:val="39"/>
    <w:unhideWhenUsed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11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paragraph" w:styleId="12">
    <w:name w:val="endnote text"/>
    <w:basedOn w:val="1"/>
    <w:link w:val="41"/>
    <w:unhideWhenUsed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7"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2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4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6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3"/>
    <w:unhideWhenUsed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2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uiPriority w:val="99"/>
    <w:rPr>
      <w:vertAlign w:val="superscript"/>
    </w:rPr>
  </w:style>
  <w:style w:type="character" w:styleId="23">
    <w:name w:val="FollowedHyperlink"/>
    <w:basedOn w:val="20"/>
    <w:unhideWhenUsed/>
    <w:uiPriority w:val="99"/>
    <w:rPr>
      <w:color w:val="800080"/>
      <w:u w:val="single"/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uiPriority w:val="99"/>
    <w:rPr/>
  </w:style>
  <w:style w:type="character" w:styleId="26">
    <w:name w:val="Hyperlink"/>
    <w:basedOn w:val="20"/>
    <w:unhideWhenUsed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uiPriority w:val="99"/>
    <w:rPr>
      <w:sz w:val="16"/>
      <w:szCs w:val="16"/>
    </w:rPr>
  </w:style>
  <w:style w:type="character" w:styleId="28">
    <w:name w:val="footnote reference"/>
    <w:basedOn w:val="20"/>
    <w:unhideWhenUsed/>
    <w:uiPriority w:val="99"/>
    <w:rPr>
      <w:vertAlign w:val="superscript"/>
    </w:rPr>
  </w:style>
  <w:style w:type="table" w:styleId="30">
    <w:name w:val="Table Grid"/>
    <w:basedOn w:val="29"/>
    <w:uiPriority w:val="59"/>
    <w:pPr>
      <w:spacing w:after="0" w:line="240" w:lineRule="auto"/>
    </w:pPr>
    <w:rPr>
      <w:rFonts w:ascii="Cambria" w:hAnsi="Cambria"/>
    </w:rPr>
    <w:tblPr>
      <w:tblStyle w:val="2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Author List"/>
    <w:basedOn w:val="16"/>
    <w:next w:val="1"/>
    <w:qFormat/>
    <w:uiPriority w:val="1"/>
  </w:style>
  <w:style w:type="paragraph" w:customStyle="1" w:styleId="32">
    <w:name w:val="Quote"/>
    <w:basedOn w:val="1"/>
    <w:next w:val="1"/>
    <w:link w:val="50"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paragraph" w:customStyle="1" w:styleId="33">
    <w:name w:val="Supplementary Material"/>
    <w:basedOn w:val="19"/>
    <w:next w:val="19"/>
    <w:qFormat/>
    <w:uiPriority w:val="0"/>
    <w:pPr>
      <w:spacing w:after="120"/>
    </w:pPr>
    <w:rPr>
      <w:i/>
    </w:rPr>
  </w:style>
  <w:style w:type="character" w:customStyle="1" w:styleId="34">
    <w:name w:val="Heading 1 Char"/>
    <w:basedOn w:val="20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5">
    <w:name w:val="Heading 2 Char"/>
    <w:basedOn w:val="20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6">
    <w:name w:val="Subtitle Char"/>
    <w:basedOn w:val="20"/>
    <w:link w:val="16"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37">
    <w:name w:val="Balloon Text Char"/>
    <w:basedOn w:val="20"/>
    <w:link w:val="13"/>
    <w:semiHidden/>
    <w:uiPriority w:val="99"/>
    <w:rPr>
      <w:rFonts w:ascii="Tahoma" w:hAnsi="Tahoma" w:cs="Tahoma"/>
      <w:sz w:val="16"/>
      <w:szCs w:val="16"/>
    </w:rPr>
  </w:style>
  <w:style w:type="character" w:customStyle="1" w:styleId="38">
    <w:name w:val="Book Title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9">
    <w:name w:val="Comment Text Char"/>
    <w:basedOn w:val="20"/>
    <w:link w:val="9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Comment Subject Char"/>
    <w:basedOn w:val="39"/>
    <w:link w:val="8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41">
    <w:name w:val="Endnote Text Char"/>
    <w:basedOn w:val="20"/>
    <w:link w:val="12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Footer Char"/>
    <w:basedOn w:val="20"/>
    <w:link w:val="14"/>
    <w:uiPriority w:val="99"/>
    <w:rPr>
      <w:rFonts w:ascii="Times New Roman" w:hAnsi="Times New Roman"/>
      <w:sz w:val="24"/>
    </w:rPr>
  </w:style>
  <w:style w:type="character" w:customStyle="1" w:styleId="43">
    <w:name w:val="Footnote Text Char"/>
    <w:basedOn w:val="20"/>
    <w:link w:val="17"/>
    <w:semiHidden/>
    <w:uiPriority w:val="99"/>
    <w:rPr>
      <w:rFonts w:ascii="Times New Roman" w:hAnsi="Times New Roman"/>
      <w:sz w:val="20"/>
      <w:szCs w:val="20"/>
    </w:rPr>
  </w:style>
  <w:style w:type="character" w:customStyle="1" w:styleId="44">
    <w:name w:val="Header Char"/>
    <w:basedOn w:val="20"/>
    <w:link w:val="15"/>
    <w:uiPriority w:val="99"/>
    <w:rPr>
      <w:rFonts w:ascii="Times New Roman" w:hAnsi="Times New Roman"/>
      <w:b/>
      <w:sz w:val="24"/>
    </w:rPr>
  </w:style>
  <w:style w:type="character" w:customStyle="1" w:styleId="45">
    <w:name w:val="Intense Emphasis"/>
    <w:basedOn w:val="20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6">
    <w:name w:val="Intense Reference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47">
    <w:name w:val="Heading 3 Char"/>
    <w:basedOn w:val="20"/>
    <w:link w:val="5"/>
    <w:uiPriority w:val="2"/>
    <w:rPr>
      <w:rFonts w:ascii="Times New Roman" w:hAnsi="Times New Roman"/>
      <w:b/>
      <w:sz w:val="24"/>
      <w:szCs w:val="24"/>
    </w:rPr>
  </w:style>
  <w:style w:type="character" w:customStyle="1" w:styleId="48">
    <w:name w:val="Heading 4 Char"/>
    <w:basedOn w:val="20"/>
    <w:link w:val="6"/>
    <w:uiPriority w:val="2"/>
    <w:rPr>
      <w:rFonts w:ascii="Times New Roman" w:hAnsi="Times New Roman"/>
      <w:b/>
      <w:iCs/>
      <w:sz w:val="24"/>
      <w:szCs w:val="24"/>
    </w:rPr>
  </w:style>
  <w:style w:type="character" w:customStyle="1" w:styleId="49">
    <w:name w:val="Heading 5 Char"/>
    <w:basedOn w:val="20"/>
    <w:link w:val="7"/>
    <w:uiPriority w:val="2"/>
    <w:rPr>
      <w:rFonts w:ascii="Times New Roman" w:hAnsi="Times New Roman"/>
      <w:b/>
      <w:iCs/>
      <w:sz w:val="24"/>
      <w:szCs w:val="24"/>
    </w:rPr>
  </w:style>
  <w:style w:type="character" w:customStyle="1" w:styleId="50">
    <w:name w:val="Quote Char"/>
    <w:basedOn w:val="20"/>
    <w:link w:val="32"/>
    <w:uiPriority w:val="29"/>
    <w:rPr>
      <w:rFonts w:ascii="Times New Roman" w:hAnsi="Times New Roman"/>
      <w:i/>
      <w:iCs/>
      <w:color w:val="3F3F3F"/>
      <w:sz w:val="24"/>
    </w:rPr>
  </w:style>
  <w:style w:type="character" w:customStyle="1" w:styleId="51">
    <w:name w:val="Subtle Emphasis"/>
    <w:basedOn w:val="20"/>
    <w:qFormat/>
    <w:uiPriority w:val="19"/>
    <w:rPr>
      <w:rFonts w:ascii="Times New Roman" w:hAnsi="Times New Roman"/>
      <w:i/>
      <w:iCs/>
      <w:color w:val="3F3F3F"/>
    </w:rPr>
  </w:style>
  <w:style w:type="character" w:customStyle="1" w:styleId="52">
    <w:name w:val="Title Char"/>
    <w:basedOn w:val="20"/>
    <w:link w:val="19"/>
    <w:uiPriority w:val="0"/>
    <w:rPr>
      <w:rFonts w:ascii="Times New Roman" w:hAnsi="Times New Roman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numbering" Target="numbering.xml"/><Relationship Id="rId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wlx</cp:lastModifiedBy>
  <cp:lastPrinted>2013-10-03T12:51:00Z</cp:lastPrinted>
  <dcterms:modified xsi:type="dcterms:W3CDTF">2022-09-30T00:23:04Z</dcterms:modified>
  <dc:title>Supplementary Material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