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18"/>
          <w:szCs w:val="18"/>
        </w:rPr>
      </w:pPr>
      <w:r>
        <w:rPr>
          <w:rFonts w:hint="eastAsia" w:ascii="Times New Roman" w:hAnsi="Times New Roman" w:eastAsia="宋体" w:cs="Times New Roman"/>
          <w:b/>
          <w:bCs/>
          <w:kern w:val="0"/>
          <w:sz w:val="18"/>
          <w:szCs w:val="18"/>
          <w:lang w:bidi="ar"/>
        </w:rPr>
        <w:t xml:space="preserve">Supplementary </w:t>
      </w:r>
      <w:r>
        <w:rPr>
          <w:rFonts w:ascii="Times New Roman" w:hAnsi="Times New Roman" w:eastAsia="宋体" w:cs="Times New Roman"/>
          <w:b/>
          <w:bCs/>
          <w:kern w:val="0"/>
          <w:sz w:val="18"/>
          <w:szCs w:val="18"/>
          <w:lang w:bidi="ar"/>
        </w:rPr>
        <w:t>Table 1. Age-standardized rates of years lived with disability due to moderate vision loss, severe vision loss, blindness and presbyopia in 2019 and their temporal trend from 1990 to 2019 at the global and regional levels</w:t>
      </w:r>
    </w:p>
    <w:tbl>
      <w:tblPr>
        <w:tblStyle w:val="4"/>
        <w:tblW w:w="5000" w:type="pct"/>
        <w:tblInd w:w="0" w:type="dxa"/>
        <w:tblLayout w:type="autofit"/>
        <w:tblCellMar>
          <w:top w:w="0" w:type="dxa"/>
          <w:left w:w="108" w:type="dxa"/>
          <w:bottom w:w="0" w:type="dxa"/>
          <w:right w:w="108" w:type="dxa"/>
        </w:tblCellMar>
      </w:tblPr>
      <w:tblGrid>
        <w:gridCol w:w="2583"/>
        <w:gridCol w:w="1264"/>
        <w:gridCol w:w="1264"/>
        <w:gridCol w:w="1933"/>
        <w:gridCol w:w="241"/>
        <w:gridCol w:w="1265"/>
        <w:gridCol w:w="1265"/>
        <w:gridCol w:w="1933"/>
        <w:gridCol w:w="241"/>
        <w:gridCol w:w="1265"/>
        <w:gridCol w:w="1265"/>
        <w:gridCol w:w="1933"/>
        <w:gridCol w:w="241"/>
        <w:gridCol w:w="1265"/>
        <w:gridCol w:w="1265"/>
        <w:gridCol w:w="1924"/>
      </w:tblGrid>
      <w:tr>
        <w:tblPrEx>
          <w:tblCellMar>
            <w:top w:w="0" w:type="dxa"/>
            <w:left w:w="108" w:type="dxa"/>
            <w:bottom w:w="0" w:type="dxa"/>
            <w:right w:w="108" w:type="dxa"/>
          </w:tblCellMar>
        </w:tblPrEx>
        <w:trPr>
          <w:trHeight w:val="225" w:hRule="atLeast"/>
        </w:trPr>
        <w:tc>
          <w:tcPr>
            <w:tcW w:w="611" w:type="pct"/>
            <w:tcBorders>
              <w:top w:val="single" w:color="000000" w:sz="4" w:space="0"/>
              <w:left w:val="nil"/>
              <w:bottom w:val="nil"/>
              <w:right w:val="nil"/>
            </w:tcBorders>
            <w:shd w:val="clear" w:color="auto" w:fill="auto"/>
            <w:noWrap/>
            <w:vAlign w:val="bottom"/>
          </w:tcPr>
          <w:p>
            <w:pPr>
              <w:jc w:val="center"/>
              <w:rPr>
                <w:rFonts w:ascii="Times New Roman" w:hAnsi="Times New Roman" w:eastAsia="宋体" w:cs="Times New Roman"/>
                <w:sz w:val="15"/>
                <w:szCs w:val="15"/>
              </w:rPr>
            </w:pPr>
          </w:p>
        </w:tc>
        <w:tc>
          <w:tcPr>
            <w:tcW w:w="1054" w:type="pct"/>
            <w:gridSpan w:val="3"/>
            <w:tcBorders>
              <w:top w:val="single" w:color="000000" w:sz="4" w:space="0"/>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宋体" w:cs="Times New Roman"/>
                <w:sz w:val="15"/>
                <w:szCs w:val="15"/>
              </w:rPr>
            </w:pPr>
            <w:r>
              <w:rPr>
                <w:rFonts w:ascii="Times New Roman" w:hAnsi="Times New Roman" w:eastAsia="宋体" w:cs="Times New Roman"/>
                <w:kern w:val="0"/>
                <w:sz w:val="15"/>
                <w:szCs w:val="15"/>
                <w:lang w:bidi="ar"/>
              </w:rPr>
              <w:t>Moderate vision lo</w:t>
            </w:r>
            <w:bookmarkStart w:id="0" w:name="_GoBack"/>
            <w:bookmarkEnd w:id="0"/>
            <w:r>
              <w:rPr>
                <w:rFonts w:ascii="Times New Roman" w:hAnsi="Times New Roman" w:eastAsia="宋体" w:cs="Times New Roman"/>
                <w:kern w:val="0"/>
                <w:sz w:val="15"/>
                <w:szCs w:val="15"/>
                <w:lang w:bidi="ar"/>
              </w:rPr>
              <w:t>ss</w:t>
            </w:r>
            <w:r>
              <w:rPr>
                <w:rStyle w:val="8"/>
                <w:rFonts w:hint="default"/>
                <w:color w:val="auto"/>
                <w:sz w:val="15"/>
                <w:szCs w:val="15"/>
                <w:lang w:bidi="ar"/>
              </w:rPr>
              <w:t>（</w:t>
            </w:r>
            <w:r>
              <w:rPr>
                <w:rStyle w:val="9"/>
                <w:rFonts w:eastAsia="宋体"/>
                <w:color w:val="auto"/>
                <w:sz w:val="15"/>
                <w:szCs w:val="15"/>
                <w:lang w:bidi="ar"/>
              </w:rPr>
              <w:t>per 100000 population</w:t>
            </w:r>
            <w:r>
              <w:rPr>
                <w:rStyle w:val="8"/>
                <w:rFonts w:hint="default"/>
                <w:color w:val="auto"/>
                <w:sz w:val="15"/>
                <w:szCs w:val="15"/>
                <w:lang w:bidi="ar"/>
              </w:rPr>
              <w:t>）</w:t>
            </w:r>
          </w:p>
        </w:tc>
        <w:tc>
          <w:tcPr>
            <w:tcW w:w="57" w:type="pct"/>
            <w:tcBorders>
              <w:top w:val="single" w:color="000000" w:sz="4" w:space="0"/>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1054" w:type="pct"/>
            <w:gridSpan w:val="3"/>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Severe vision loss</w:t>
            </w:r>
            <w:r>
              <w:rPr>
                <w:rStyle w:val="8"/>
                <w:rFonts w:hint="default"/>
                <w:color w:val="auto"/>
                <w:sz w:val="15"/>
                <w:szCs w:val="15"/>
                <w:lang w:bidi="ar"/>
              </w:rPr>
              <w:t>（</w:t>
            </w:r>
            <w:r>
              <w:rPr>
                <w:rStyle w:val="9"/>
                <w:rFonts w:eastAsia="宋体"/>
                <w:color w:val="auto"/>
                <w:sz w:val="15"/>
                <w:szCs w:val="15"/>
                <w:lang w:bidi="ar"/>
              </w:rPr>
              <w:t>per 100000 population</w:t>
            </w:r>
            <w:r>
              <w:rPr>
                <w:rStyle w:val="8"/>
                <w:rFonts w:hint="default"/>
                <w:color w:val="auto"/>
                <w:sz w:val="15"/>
                <w:szCs w:val="15"/>
                <w:lang w:bidi="ar"/>
              </w:rPr>
              <w:t>）</w:t>
            </w:r>
          </w:p>
        </w:tc>
        <w:tc>
          <w:tcPr>
            <w:tcW w:w="57" w:type="pct"/>
            <w:tcBorders>
              <w:top w:val="single" w:color="000000" w:sz="4" w:space="0"/>
              <w:left w:val="nil"/>
              <w:bottom w:val="nil"/>
              <w:right w:val="nil"/>
            </w:tcBorders>
            <w:shd w:val="clear" w:color="auto" w:fill="auto"/>
            <w:noWrap/>
            <w:vAlign w:val="bottom"/>
          </w:tcPr>
          <w:p>
            <w:pPr>
              <w:jc w:val="center"/>
              <w:rPr>
                <w:rFonts w:ascii="Times New Roman" w:hAnsi="Times New Roman" w:eastAsia="宋体" w:cs="Times New Roman"/>
                <w:sz w:val="15"/>
                <w:szCs w:val="15"/>
              </w:rPr>
            </w:pPr>
          </w:p>
        </w:tc>
        <w:tc>
          <w:tcPr>
            <w:tcW w:w="1054" w:type="pct"/>
            <w:gridSpan w:val="3"/>
            <w:tcBorders>
              <w:top w:val="single" w:color="000000" w:sz="4" w:space="0"/>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宋体" w:cs="Times New Roman"/>
                <w:sz w:val="15"/>
                <w:szCs w:val="15"/>
              </w:rPr>
            </w:pPr>
            <w:r>
              <w:rPr>
                <w:rFonts w:ascii="Times New Roman" w:hAnsi="Times New Roman" w:eastAsia="宋体" w:cs="Times New Roman"/>
                <w:kern w:val="0"/>
                <w:sz w:val="15"/>
                <w:szCs w:val="15"/>
                <w:lang w:bidi="ar"/>
              </w:rPr>
              <w:t>Blindness</w:t>
            </w:r>
            <w:r>
              <w:rPr>
                <w:rStyle w:val="8"/>
                <w:rFonts w:hint="default"/>
                <w:color w:val="auto"/>
                <w:sz w:val="15"/>
                <w:szCs w:val="15"/>
                <w:lang w:bidi="ar"/>
              </w:rPr>
              <w:t>（</w:t>
            </w:r>
            <w:r>
              <w:rPr>
                <w:rStyle w:val="9"/>
                <w:rFonts w:eastAsia="宋体"/>
                <w:color w:val="auto"/>
                <w:sz w:val="15"/>
                <w:szCs w:val="15"/>
                <w:lang w:bidi="ar"/>
              </w:rPr>
              <w:t>per 100000 population</w:t>
            </w:r>
            <w:r>
              <w:rPr>
                <w:rStyle w:val="8"/>
                <w:rFonts w:hint="default"/>
                <w:color w:val="auto"/>
                <w:sz w:val="15"/>
                <w:szCs w:val="15"/>
                <w:lang w:bidi="ar"/>
              </w:rPr>
              <w:t>）</w:t>
            </w:r>
          </w:p>
        </w:tc>
        <w:tc>
          <w:tcPr>
            <w:tcW w:w="57" w:type="pct"/>
            <w:tcBorders>
              <w:top w:val="single" w:color="000000" w:sz="4" w:space="0"/>
              <w:left w:val="nil"/>
              <w:bottom w:val="nil"/>
              <w:right w:val="nil"/>
            </w:tcBorders>
            <w:shd w:val="clear" w:color="auto" w:fill="auto"/>
            <w:noWrap/>
            <w:vAlign w:val="center"/>
          </w:tcPr>
          <w:p>
            <w:pPr>
              <w:rPr>
                <w:rFonts w:ascii="Times New Roman" w:hAnsi="Times New Roman" w:eastAsia="宋体" w:cs="Times New Roman"/>
                <w:sz w:val="15"/>
                <w:szCs w:val="15"/>
              </w:rPr>
            </w:pPr>
          </w:p>
        </w:tc>
        <w:tc>
          <w:tcPr>
            <w:tcW w:w="1054" w:type="pct"/>
            <w:gridSpan w:val="3"/>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Presbyopia</w:t>
            </w:r>
            <w:r>
              <w:rPr>
                <w:rStyle w:val="8"/>
                <w:rFonts w:hint="default"/>
                <w:color w:val="auto"/>
                <w:sz w:val="15"/>
                <w:szCs w:val="15"/>
                <w:lang w:bidi="ar"/>
              </w:rPr>
              <w:t>（</w:t>
            </w:r>
            <w:r>
              <w:rPr>
                <w:rStyle w:val="9"/>
                <w:rFonts w:eastAsia="宋体"/>
                <w:color w:val="auto"/>
                <w:sz w:val="15"/>
                <w:szCs w:val="15"/>
                <w:lang w:bidi="ar"/>
              </w:rPr>
              <w:t>per 100000 population</w:t>
            </w:r>
            <w:r>
              <w:rPr>
                <w:rStyle w:val="8"/>
                <w:rFonts w:hint="default"/>
                <w:color w:val="auto"/>
                <w:sz w:val="15"/>
                <w:szCs w:val="15"/>
                <w:lang w:bidi="ar"/>
              </w:rPr>
              <w:t>）</w:t>
            </w:r>
          </w:p>
        </w:tc>
      </w:tr>
      <w:tr>
        <w:tblPrEx>
          <w:tblCellMar>
            <w:top w:w="0" w:type="dxa"/>
            <w:left w:w="108" w:type="dxa"/>
            <w:bottom w:w="0" w:type="dxa"/>
            <w:right w:w="108" w:type="dxa"/>
          </w:tblCellMar>
        </w:tblPrEx>
        <w:trPr>
          <w:trHeight w:val="450" w:hRule="atLeast"/>
        </w:trPr>
        <w:tc>
          <w:tcPr>
            <w:tcW w:w="611" w:type="pct"/>
            <w:tcBorders>
              <w:top w:val="nil"/>
              <w:left w:val="nil"/>
              <w:bottom w:val="single" w:color="000000" w:sz="4" w:space="0"/>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AS</w:t>
            </w:r>
            <w:r>
              <w:rPr>
                <w:rFonts w:hint="eastAsia" w:ascii="Times New Roman" w:hAnsi="Times New Roman" w:eastAsia="宋体" w:cs="Times New Roman"/>
                <w:kern w:val="0"/>
                <w:sz w:val="15"/>
                <w:szCs w:val="15"/>
                <w:lang w:val="en-US" w:eastAsia="zh-CN" w:bidi="ar"/>
              </w:rPr>
              <w:t>Y</w:t>
            </w:r>
            <w:r>
              <w:rPr>
                <w:rFonts w:ascii="Times New Roman" w:hAnsi="Times New Roman" w:eastAsia="宋体" w:cs="Times New Roman"/>
                <w:kern w:val="0"/>
                <w:sz w:val="15"/>
                <w:szCs w:val="15"/>
                <w:lang w:bidi="ar"/>
              </w:rPr>
              <w:t>R</w:t>
            </w:r>
            <w:r>
              <w:rPr>
                <w:rFonts w:hint="eastAsia" w:ascii="Times New Roman" w:hAnsi="Times New Roman" w:eastAsia="宋体" w:cs="Times New Roman"/>
                <w:kern w:val="0"/>
                <w:sz w:val="15"/>
                <w:szCs w:val="15"/>
                <w:lang w:val="en-US" w:eastAsia="zh-CN" w:bidi="ar"/>
              </w:rPr>
              <w:t>s</w:t>
            </w:r>
            <w:r>
              <w:rPr>
                <w:rFonts w:ascii="Times New Roman" w:hAnsi="Times New Roman" w:eastAsia="宋体" w:cs="Times New Roman"/>
                <w:kern w:val="0"/>
                <w:sz w:val="15"/>
                <w:szCs w:val="15"/>
                <w:lang w:bidi="ar"/>
              </w:rPr>
              <w:t xml:space="preserve"> in 1990</w:t>
            </w:r>
          </w:p>
        </w:tc>
        <w:tc>
          <w:tcPr>
            <w:tcW w:w="299" w:type="pct"/>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AS</w:t>
            </w:r>
            <w:r>
              <w:rPr>
                <w:rFonts w:hint="eastAsia" w:ascii="Times New Roman" w:hAnsi="Times New Roman" w:eastAsia="宋体" w:cs="Times New Roman"/>
                <w:kern w:val="0"/>
                <w:sz w:val="15"/>
                <w:szCs w:val="15"/>
                <w:lang w:val="en-US" w:eastAsia="zh-CN" w:bidi="ar"/>
              </w:rPr>
              <w:t>Y</w:t>
            </w:r>
            <w:r>
              <w:rPr>
                <w:rFonts w:ascii="Times New Roman" w:hAnsi="Times New Roman" w:eastAsia="宋体" w:cs="Times New Roman"/>
                <w:kern w:val="0"/>
                <w:sz w:val="15"/>
                <w:szCs w:val="15"/>
                <w:lang w:bidi="ar"/>
              </w:rPr>
              <w:t>R</w:t>
            </w:r>
            <w:r>
              <w:rPr>
                <w:rFonts w:hint="eastAsia" w:ascii="Times New Roman" w:hAnsi="Times New Roman" w:eastAsia="宋体" w:cs="Times New Roman"/>
                <w:kern w:val="0"/>
                <w:sz w:val="15"/>
                <w:szCs w:val="15"/>
                <w:lang w:val="en-US" w:eastAsia="zh-CN" w:bidi="ar"/>
              </w:rPr>
              <w:t>s</w:t>
            </w:r>
            <w:r>
              <w:rPr>
                <w:rFonts w:ascii="Times New Roman" w:hAnsi="Times New Roman" w:eastAsia="宋体" w:cs="Times New Roman"/>
                <w:kern w:val="0"/>
                <w:sz w:val="15"/>
                <w:szCs w:val="15"/>
                <w:lang w:bidi="ar"/>
              </w:rPr>
              <w:t xml:space="preserve"> in 2019</w:t>
            </w:r>
          </w:p>
        </w:tc>
        <w:tc>
          <w:tcPr>
            <w:tcW w:w="457" w:type="pct"/>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EAPC</w:t>
            </w:r>
            <w:r>
              <w:rPr>
                <w:rFonts w:ascii="Times New Roman" w:hAnsi="Times New Roman" w:eastAsia="宋体" w:cs="Times New Roman"/>
                <w:kern w:val="0"/>
                <w:sz w:val="15"/>
                <w:szCs w:val="15"/>
                <w:lang w:bidi="ar"/>
              </w:rPr>
              <w:br w:type="textWrapping"/>
            </w:r>
            <w:r>
              <w:rPr>
                <w:rFonts w:ascii="Times New Roman" w:hAnsi="Times New Roman" w:eastAsia="宋体" w:cs="Times New Roman"/>
                <w:kern w:val="0"/>
                <w:sz w:val="15"/>
                <w:szCs w:val="15"/>
                <w:lang w:bidi="ar"/>
              </w:rPr>
              <w:t>(1990-2019, 95% UI)</w:t>
            </w:r>
          </w:p>
        </w:tc>
        <w:tc>
          <w:tcPr>
            <w:tcW w:w="57" w:type="pct"/>
            <w:tcBorders>
              <w:top w:val="nil"/>
              <w:left w:val="nil"/>
              <w:bottom w:val="single" w:color="000000" w:sz="4" w:space="0"/>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AS</w:t>
            </w:r>
            <w:r>
              <w:rPr>
                <w:rFonts w:hint="eastAsia" w:ascii="Times New Roman" w:hAnsi="Times New Roman" w:eastAsia="宋体" w:cs="Times New Roman"/>
                <w:kern w:val="0"/>
                <w:sz w:val="15"/>
                <w:szCs w:val="15"/>
                <w:lang w:val="en-US" w:eastAsia="zh-CN" w:bidi="ar"/>
              </w:rPr>
              <w:t>Y</w:t>
            </w:r>
            <w:r>
              <w:rPr>
                <w:rFonts w:ascii="Times New Roman" w:hAnsi="Times New Roman" w:eastAsia="宋体" w:cs="Times New Roman"/>
                <w:kern w:val="0"/>
                <w:sz w:val="15"/>
                <w:szCs w:val="15"/>
                <w:lang w:bidi="ar"/>
              </w:rPr>
              <w:t>R</w:t>
            </w:r>
            <w:r>
              <w:rPr>
                <w:rFonts w:hint="eastAsia" w:ascii="Times New Roman" w:hAnsi="Times New Roman" w:eastAsia="宋体" w:cs="Times New Roman"/>
                <w:kern w:val="0"/>
                <w:sz w:val="15"/>
                <w:szCs w:val="15"/>
                <w:lang w:val="en-US" w:eastAsia="zh-CN" w:bidi="ar"/>
              </w:rPr>
              <w:t>s</w:t>
            </w:r>
            <w:r>
              <w:rPr>
                <w:rFonts w:ascii="Times New Roman" w:hAnsi="Times New Roman" w:eastAsia="宋体" w:cs="Times New Roman"/>
                <w:kern w:val="0"/>
                <w:sz w:val="15"/>
                <w:szCs w:val="15"/>
                <w:lang w:bidi="ar"/>
              </w:rPr>
              <w:t xml:space="preserve"> in 1990</w:t>
            </w:r>
          </w:p>
        </w:tc>
        <w:tc>
          <w:tcPr>
            <w:tcW w:w="299" w:type="pct"/>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AS</w:t>
            </w:r>
            <w:r>
              <w:rPr>
                <w:rFonts w:hint="eastAsia" w:ascii="Times New Roman" w:hAnsi="Times New Roman" w:eastAsia="宋体" w:cs="Times New Roman"/>
                <w:kern w:val="0"/>
                <w:sz w:val="15"/>
                <w:szCs w:val="15"/>
                <w:lang w:val="en-US" w:eastAsia="zh-CN" w:bidi="ar"/>
              </w:rPr>
              <w:t>Y</w:t>
            </w:r>
            <w:r>
              <w:rPr>
                <w:rFonts w:ascii="Times New Roman" w:hAnsi="Times New Roman" w:eastAsia="宋体" w:cs="Times New Roman"/>
                <w:kern w:val="0"/>
                <w:sz w:val="15"/>
                <w:szCs w:val="15"/>
                <w:lang w:bidi="ar"/>
              </w:rPr>
              <w:t>R</w:t>
            </w:r>
            <w:r>
              <w:rPr>
                <w:rFonts w:hint="eastAsia" w:ascii="Times New Roman" w:hAnsi="Times New Roman" w:eastAsia="宋体" w:cs="Times New Roman"/>
                <w:kern w:val="0"/>
                <w:sz w:val="15"/>
                <w:szCs w:val="15"/>
                <w:lang w:val="en-US" w:eastAsia="zh-CN" w:bidi="ar"/>
              </w:rPr>
              <w:t>s</w:t>
            </w:r>
            <w:r>
              <w:rPr>
                <w:rFonts w:ascii="Times New Roman" w:hAnsi="Times New Roman" w:eastAsia="宋体" w:cs="Times New Roman"/>
                <w:kern w:val="0"/>
                <w:sz w:val="15"/>
                <w:szCs w:val="15"/>
                <w:lang w:bidi="ar"/>
              </w:rPr>
              <w:t xml:space="preserve"> in 2019</w:t>
            </w:r>
          </w:p>
        </w:tc>
        <w:tc>
          <w:tcPr>
            <w:tcW w:w="457" w:type="pct"/>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EAPC </w:t>
            </w:r>
            <w:r>
              <w:rPr>
                <w:rFonts w:ascii="Times New Roman" w:hAnsi="Times New Roman" w:eastAsia="宋体" w:cs="Times New Roman"/>
                <w:kern w:val="0"/>
                <w:sz w:val="15"/>
                <w:szCs w:val="15"/>
                <w:lang w:bidi="ar"/>
              </w:rPr>
              <w:br w:type="textWrapping"/>
            </w:r>
            <w:r>
              <w:rPr>
                <w:rFonts w:ascii="Times New Roman" w:hAnsi="Times New Roman" w:eastAsia="宋体" w:cs="Times New Roman"/>
                <w:kern w:val="0"/>
                <w:sz w:val="15"/>
                <w:szCs w:val="15"/>
                <w:lang w:bidi="ar"/>
              </w:rPr>
              <w:t>(1990-2019, 95% UI)</w:t>
            </w:r>
          </w:p>
        </w:tc>
        <w:tc>
          <w:tcPr>
            <w:tcW w:w="57" w:type="pct"/>
            <w:tcBorders>
              <w:top w:val="nil"/>
              <w:left w:val="nil"/>
              <w:bottom w:val="single" w:color="000000" w:sz="4" w:space="0"/>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AS</w:t>
            </w:r>
            <w:r>
              <w:rPr>
                <w:rFonts w:hint="eastAsia" w:ascii="Times New Roman" w:hAnsi="Times New Roman" w:eastAsia="宋体" w:cs="Times New Roman"/>
                <w:kern w:val="0"/>
                <w:sz w:val="15"/>
                <w:szCs w:val="15"/>
                <w:lang w:val="en-US" w:eastAsia="zh-CN" w:bidi="ar"/>
              </w:rPr>
              <w:t>Y</w:t>
            </w:r>
            <w:r>
              <w:rPr>
                <w:rFonts w:ascii="Times New Roman" w:hAnsi="Times New Roman" w:eastAsia="宋体" w:cs="Times New Roman"/>
                <w:kern w:val="0"/>
                <w:sz w:val="15"/>
                <w:szCs w:val="15"/>
                <w:lang w:bidi="ar"/>
              </w:rPr>
              <w:t>R</w:t>
            </w:r>
            <w:r>
              <w:rPr>
                <w:rFonts w:hint="eastAsia" w:ascii="Times New Roman" w:hAnsi="Times New Roman" w:eastAsia="宋体" w:cs="Times New Roman"/>
                <w:kern w:val="0"/>
                <w:sz w:val="15"/>
                <w:szCs w:val="15"/>
                <w:lang w:val="en-US" w:eastAsia="zh-CN" w:bidi="ar"/>
              </w:rPr>
              <w:t>s</w:t>
            </w:r>
            <w:r>
              <w:rPr>
                <w:rFonts w:ascii="Times New Roman" w:hAnsi="Times New Roman" w:eastAsia="宋体" w:cs="Times New Roman"/>
                <w:kern w:val="0"/>
                <w:sz w:val="15"/>
                <w:szCs w:val="15"/>
                <w:lang w:bidi="ar"/>
              </w:rPr>
              <w:t xml:space="preserve"> in 1990</w:t>
            </w:r>
          </w:p>
        </w:tc>
        <w:tc>
          <w:tcPr>
            <w:tcW w:w="299" w:type="pct"/>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AS</w:t>
            </w:r>
            <w:r>
              <w:rPr>
                <w:rFonts w:hint="eastAsia" w:ascii="Times New Roman" w:hAnsi="Times New Roman" w:eastAsia="宋体" w:cs="Times New Roman"/>
                <w:kern w:val="0"/>
                <w:sz w:val="15"/>
                <w:szCs w:val="15"/>
                <w:lang w:val="en-US" w:eastAsia="zh-CN" w:bidi="ar"/>
              </w:rPr>
              <w:t>Y</w:t>
            </w:r>
            <w:r>
              <w:rPr>
                <w:rFonts w:ascii="Times New Roman" w:hAnsi="Times New Roman" w:eastAsia="宋体" w:cs="Times New Roman"/>
                <w:kern w:val="0"/>
                <w:sz w:val="15"/>
                <w:szCs w:val="15"/>
                <w:lang w:bidi="ar"/>
              </w:rPr>
              <w:t>R</w:t>
            </w:r>
            <w:r>
              <w:rPr>
                <w:rFonts w:hint="eastAsia" w:ascii="Times New Roman" w:hAnsi="Times New Roman" w:eastAsia="宋体" w:cs="Times New Roman"/>
                <w:kern w:val="0"/>
                <w:sz w:val="15"/>
                <w:szCs w:val="15"/>
                <w:lang w:val="en-US" w:eastAsia="zh-CN" w:bidi="ar"/>
              </w:rPr>
              <w:t>s</w:t>
            </w:r>
            <w:r>
              <w:rPr>
                <w:rFonts w:ascii="Times New Roman" w:hAnsi="Times New Roman" w:eastAsia="宋体" w:cs="Times New Roman"/>
                <w:kern w:val="0"/>
                <w:sz w:val="15"/>
                <w:szCs w:val="15"/>
                <w:lang w:bidi="ar"/>
              </w:rPr>
              <w:t xml:space="preserve"> in 2019</w:t>
            </w:r>
          </w:p>
        </w:tc>
        <w:tc>
          <w:tcPr>
            <w:tcW w:w="457" w:type="pct"/>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EAPC </w:t>
            </w:r>
            <w:r>
              <w:rPr>
                <w:rFonts w:ascii="Times New Roman" w:hAnsi="Times New Roman" w:eastAsia="宋体" w:cs="Times New Roman"/>
                <w:kern w:val="0"/>
                <w:sz w:val="15"/>
                <w:szCs w:val="15"/>
                <w:lang w:bidi="ar"/>
              </w:rPr>
              <w:br w:type="textWrapping"/>
            </w:r>
            <w:r>
              <w:rPr>
                <w:rFonts w:ascii="Times New Roman" w:hAnsi="Times New Roman" w:eastAsia="宋体" w:cs="Times New Roman"/>
                <w:kern w:val="0"/>
                <w:sz w:val="15"/>
                <w:szCs w:val="15"/>
                <w:lang w:bidi="ar"/>
              </w:rPr>
              <w:t>(1990-2019, 95% UI)</w:t>
            </w:r>
          </w:p>
        </w:tc>
        <w:tc>
          <w:tcPr>
            <w:tcW w:w="57" w:type="pct"/>
            <w:tcBorders>
              <w:top w:val="nil"/>
              <w:left w:val="nil"/>
              <w:bottom w:val="single" w:color="000000" w:sz="4" w:space="0"/>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AS</w:t>
            </w:r>
            <w:r>
              <w:rPr>
                <w:rFonts w:hint="eastAsia" w:ascii="Times New Roman" w:hAnsi="Times New Roman" w:eastAsia="宋体" w:cs="Times New Roman"/>
                <w:kern w:val="0"/>
                <w:sz w:val="15"/>
                <w:szCs w:val="15"/>
                <w:lang w:val="en-US" w:eastAsia="zh-CN" w:bidi="ar"/>
              </w:rPr>
              <w:t>Y</w:t>
            </w:r>
            <w:r>
              <w:rPr>
                <w:rFonts w:ascii="Times New Roman" w:hAnsi="Times New Roman" w:eastAsia="宋体" w:cs="Times New Roman"/>
                <w:kern w:val="0"/>
                <w:sz w:val="15"/>
                <w:szCs w:val="15"/>
                <w:lang w:bidi="ar"/>
              </w:rPr>
              <w:t>R</w:t>
            </w:r>
            <w:r>
              <w:rPr>
                <w:rFonts w:hint="eastAsia" w:ascii="Times New Roman" w:hAnsi="Times New Roman" w:eastAsia="宋体" w:cs="Times New Roman"/>
                <w:kern w:val="0"/>
                <w:sz w:val="15"/>
                <w:szCs w:val="15"/>
                <w:lang w:val="en-US" w:eastAsia="zh-CN" w:bidi="ar"/>
              </w:rPr>
              <w:t>s</w:t>
            </w:r>
            <w:r>
              <w:rPr>
                <w:rFonts w:ascii="Times New Roman" w:hAnsi="Times New Roman" w:eastAsia="宋体" w:cs="Times New Roman"/>
                <w:kern w:val="0"/>
                <w:sz w:val="15"/>
                <w:szCs w:val="15"/>
                <w:lang w:bidi="ar"/>
              </w:rPr>
              <w:t xml:space="preserve"> in 1990</w:t>
            </w:r>
          </w:p>
        </w:tc>
        <w:tc>
          <w:tcPr>
            <w:tcW w:w="299" w:type="pct"/>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AS</w:t>
            </w:r>
            <w:r>
              <w:rPr>
                <w:rFonts w:hint="eastAsia" w:ascii="Times New Roman" w:hAnsi="Times New Roman" w:eastAsia="宋体" w:cs="Times New Roman"/>
                <w:kern w:val="0"/>
                <w:sz w:val="15"/>
                <w:szCs w:val="15"/>
                <w:lang w:val="en-US" w:eastAsia="zh-CN" w:bidi="ar"/>
              </w:rPr>
              <w:t>Y</w:t>
            </w:r>
            <w:r>
              <w:rPr>
                <w:rFonts w:ascii="Times New Roman" w:hAnsi="Times New Roman" w:eastAsia="宋体" w:cs="Times New Roman"/>
                <w:kern w:val="0"/>
                <w:sz w:val="15"/>
                <w:szCs w:val="15"/>
                <w:lang w:bidi="ar"/>
              </w:rPr>
              <w:t>R</w:t>
            </w:r>
            <w:r>
              <w:rPr>
                <w:rFonts w:hint="eastAsia" w:ascii="Times New Roman" w:hAnsi="Times New Roman" w:eastAsia="宋体" w:cs="Times New Roman"/>
                <w:kern w:val="0"/>
                <w:sz w:val="15"/>
                <w:szCs w:val="15"/>
                <w:lang w:val="en-US" w:eastAsia="zh-CN" w:bidi="ar"/>
              </w:rPr>
              <w:t>s</w:t>
            </w:r>
            <w:r>
              <w:rPr>
                <w:rFonts w:ascii="Times New Roman" w:hAnsi="Times New Roman" w:eastAsia="宋体" w:cs="Times New Roman"/>
                <w:kern w:val="0"/>
                <w:sz w:val="15"/>
                <w:szCs w:val="15"/>
                <w:lang w:bidi="ar"/>
              </w:rPr>
              <w:t xml:space="preserve"> in 2019</w:t>
            </w:r>
          </w:p>
        </w:tc>
        <w:tc>
          <w:tcPr>
            <w:tcW w:w="457" w:type="pct"/>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EAPC </w:t>
            </w:r>
            <w:r>
              <w:rPr>
                <w:rFonts w:ascii="Times New Roman" w:hAnsi="Times New Roman" w:eastAsia="宋体" w:cs="Times New Roman"/>
                <w:kern w:val="0"/>
                <w:sz w:val="15"/>
                <w:szCs w:val="15"/>
                <w:lang w:bidi="ar"/>
              </w:rPr>
              <w:br w:type="textWrapping"/>
            </w:r>
            <w:r>
              <w:rPr>
                <w:rFonts w:ascii="Times New Roman" w:hAnsi="Times New Roman" w:eastAsia="宋体" w:cs="Times New Roman"/>
                <w:kern w:val="0"/>
                <w:sz w:val="15"/>
                <w:szCs w:val="15"/>
                <w:lang w:bidi="ar"/>
              </w:rPr>
              <w:t>(1990-2019, 95% UI)</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jc w:val="left"/>
              <w:textAlignment w:val="center"/>
              <w:rPr>
                <w:rFonts w:ascii="Times New Roman" w:hAnsi="Times New Roman" w:eastAsia="宋体" w:cs="Times New Roman"/>
                <w:b/>
                <w:bCs/>
                <w:sz w:val="15"/>
                <w:szCs w:val="15"/>
              </w:rPr>
            </w:pPr>
            <w:r>
              <w:rPr>
                <w:rFonts w:ascii="Times New Roman" w:hAnsi="Times New Roman" w:eastAsia="宋体" w:cs="Times New Roman"/>
                <w:b/>
                <w:bCs/>
                <w:kern w:val="0"/>
                <w:sz w:val="15"/>
                <w:szCs w:val="15"/>
                <w:lang w:bidi="ar"/>
              </w:rPr>
              <w:t>Global</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94.26</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95.81</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0.11 (0.08 ‒ 0.14)</w:t>
            </w:r>
          </w:p>
        </w:tc>
        <w:tc>
          <w:tcPr>
            <w:tcW w:w="57" w:type="pct"/>
            <w:tcBorders>
              <w:top w:val="nil"/>
              <w:left w:val="nil"/>
              <w:bottom w:val="nil"/>
              <w:right w:val="nil"/>
            </w:tcBorders>
            <w:shd w:val="clear" w:color="auto" w:fill="auto"/>
            <w:noWrap/>
            <w:vAlign w:val="center"/>
          </w:tcPr>
          <w:p>
            <w:pPr>
              <w:widowControl/>
              <w:jc w:val="left"/>
              <w:textAlignment w:val="center"/>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76.75</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74.86</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0.02 (-0.05 ‒ 0.09)</w:t>
            </w:r>
          </w:p>
        </w:tc>
        <w:tc>
          <w:tcPr>
            <w:tcW w:w="57" w:type="pct"/>
            <w:tcBorders>
              <w:top w:val="nil"/>
              <w:left w:val="nil"/>
              <w:bottom w:val="nil"/>
              <w:right w:val="nil"/>
            </w:tcBorders>
            <w:shd w:val="clear" w:color="auto" w:fill="auto"/>
            <w:noWrap/>
            <w:vAlign w:val="center"/>
          </w:tcPr>
          <w:p>
            <w:pPr>
              <w:widowControl/>
              <w:jc w:val="left"/>
              <w:textAlignment w:val="center"/>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129.69</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95.03</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-1.10 (-1.15 ‒ -1.05)</w:t>
            </w:r>
          </w:p>
        </w:tc>
        <w:tc>
          <w:tcPr>
            <w:tcW w:w="57" w:type="pct"/>
            <w:tcBorders>
              <w:top w:val="nil"/>
              <w:left w:val="nil"/>
              <w:bottom w:val="nil"/>
              <w:right w:val="nil"/>
            </w:tcBorders>
            <w:shd w:val="clear" w:color="auto" w:fill="auto"/>
            <w:noWrap/>
            <w:vAlign w:val="center"/>
          </w:tcPr>
          <w:p>
            <w:pPr>
              <w:widowControl/>
              <w:jc w:val="left"/>
              <w:textAlignment w:val="center"/>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58.76</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62.27</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0.05 (-0.01 ‒ 0.11)</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jc w:val="left"/>
              <w:textAlignment w:val="center"/>
              <w:rPr>
                <w:rFonts w:ascii="Times New Roman" w:hAnsi="Times New Roman" w:eastAsia="宋体" w:cs="Times New Roman"/>
                <w:b/>
                <w:bCs/>
                <w:sz w:val="15"/>
                <w:szCs w:val="15"/>
              </w:rPr>
            </w:pPr>
            <w:r>
              <w:rPr>
                <w:rFonts w:ascii="Times New Roman" w:hAnsi="Times New Roman" w:eastAsia="宋体" w:cs="Times New Roman"/>
                <w:b/>
                <w:bCs/>
                <w:kern w:val="0"/>
                <w:sz w:val="15"/>
                <w:szCs w:val="15"/>
                <w:lang w:bidi="ar"/>
              </w:rPr>
              <w:t>Sex</w:t>
            </w: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457"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457"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457"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457"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Male</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90.43</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90.61</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0.06 (0.03 ‒ 0.09)</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73.58</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69.40</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-0.11 (-0.18 ‒ -0.04)</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131.29</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91.83</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-1.27 (-1.32 ‒ -1.22)</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57.09</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58.88</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-0.05 (-0.11 ‒ 0.01)</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Female</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97.83</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100.65</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0.15 (0.12 ‒ 0.19)</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79.80</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79.81</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0.11 (0.04 ‒ 0.19)</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128.73</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97.68</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-0.97 (-1.02 ‒ -0.92)</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60.34</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65.37</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0.13 (0.07 ‒ 0.18)</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jc w:val="left"/>
              <w:textAlignment w:val="center"/>
              <w:rPr>
                <w:rFonts w:ascii="Times New Roman" w:hAnsi="Times New Roman" w:eastAsia="宋体" w:cs="Times New Roman"/>
                <w:b/>
                <w:bCs/>
                <w:sz w:val="15"/>
                <w:szCs w:val="15"/>
              </w:rPr>
            </w:pPr>
            <w:r>
              <w:rPr>
                <w:rFonts w:ascii="Times New Roman" w:hAnsi="Times New Roman" w:eastAsia="宋体" w:cs="Times New Roman"/>
                <w:b/>
                <w:bCs/>
                <w:kern w:val="0"/>
                <w:sz w:val="15"/>
                <w:szCs w:val="15"/>
                <w:lang w:bidi="ar"/>
              </w:rPr>
              <w:t>Socio-demographic index</w:t>
            </w: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457"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457"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457"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457"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High SDI</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53.05</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53.86</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0.06 (0.04 ‒ 0.08)</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36.37</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35.01</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-0.12 (-0.14 ‒ -0.10)</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32.50</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26.95</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-0.67 (-0.77 ‒ -0.58)</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11.55</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12.98</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0.37 (0.34 ‒ 0.41)</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High-middle SDI</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84.78</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87.57</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0.17 (0.13 ‒ 0.21)</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56.93</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56.14</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0.15 (0.05 ‒ 0.24)</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87.10</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69.21</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-0.78 (-0.86 ‒ -0.70)</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57.08</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60.61</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0.04 (-0.02 ‒ 0.10)</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Middle SDI</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105.39</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108.45</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0.14 (0.09 ‒ 0.18)</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90.79</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84.89</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-0.10 (-0.20 ‒ 0.01)</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187.55</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123.20</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-1.42 (-1.49 ‒ -1.35)</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72.31</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70.21</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-0.25 (-0.31 ‒ -0.19)</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Low-middle SDI</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153.88</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137.99</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-0.25 (-0.30 ‒ -0.21)</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143.48</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123.84</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-0.43 (-0.49 ‒ -0.36)</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254.74</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148.86</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-1.93 (-1.98 ‒ -1.87)</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99.35</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93.48</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-0.34 (-0.39 ‒ -0.28)</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Low SDI</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129.24</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120.41</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-0.19 (-0.21 ‒ -0.17)</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140.29</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122.22</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-0.43 (-0.46 ‒ -0.40)</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278.79</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187.30</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-1.46 (-1.52 ‒ -1.41)</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110.61</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106.67</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-0.22 (-0.28 ‒ -0.16)</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jc w:val="left"/>
              <w:textAlignment w:val="center"/>
              <w:rPr>
                <w:rFonts w:ascii="Times New Roman" w:hAnsi="Times New Roman" w:eastAsia="宋体" w:cs="Times New Roman"/>
                <w:b/>
                <w:bCs/>
                <w:sz w:val="15"/>
                <w:szCs w:val="15"/>
              </w:rPr>
            </w:pPr>
            <w:r>
              <w:rPr>
                <w:rFonts w:ascii="Times New Roman" w:hAnsi="Times New Roman" w:eastAsia="宋体" w:cs="Times New Roman"/>
                <w:b/>
                <w:bCs/>
                <w:kern w:val="0"/>
                <w:sz w:val="15"/>
                <w:szCs w:val="15"/>
                <w:lang w:bidi="ar"/>
              </w:rPr>
              <w:t>Geographic region</w:t>
            </w: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457"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457"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457"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c>
          <w:tcPr>
            <w:tcW w:w="457" w:type="pct"/>
            <w:tcBorders>
              <w:top w:val="nil"/>
              <w:left w:val="nil"/>
              <w:bottom w:val="nil"/>
              <w:right w:val="nil"/>
            </w:tcBorders>
            <w:shd w:val="clear" w:color="auto" w:fill="auto"/>
            <w:noWrap/>
            <w:vAlign w:val="center"/>
          </w:tcPr>
          <w:p>
            <w:pPr>
              <w:jc w:val="cente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High-income Asia Pacific</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47.75</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48.25</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0.06 (0.04 ‒ 0.08)</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36.12</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35.69</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-0.09 (-0.12 ‒ -0.06)</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36.47</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26.74</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-1.08 (-1.18 ‒ -0.98)</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4.80</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4.81</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-0.04 (-0.07 ‒ -0.02)</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Central Asia</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102.64</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99.65</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-0.10 (-0.11 ‒ -0.09)</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78.14</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70.88</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-0.32 (-0.33 ‒ -0.31)</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97.34</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74.00</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-1.05 (-1.12 ‒ -0.97)</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71.29</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68.61</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-0.16 (-0.18 ‒ -0.15)</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East Asia</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68.71</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77.05</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0.42 (0.30 ‒ 0.54)</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42.18</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43.79</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0.67 (0.33 ‒ 1.01)</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112.60</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85.55</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-0.80 (-1.02 ‒ -0.59)</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79.06</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77.54</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-0.25 (-0.32 ‒ -0.18)</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South Asia</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191.50</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166.77</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-0.37 (-0.42 ‒ -0.32)</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187.61</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160.29</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-0.48 (-0.55 ‒ -0.40)</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297.83</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160.01</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-2.29 (-2.38 ‒ -2.21)</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119.29</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114.89</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-0.27 (-0.34 ‒ -0.20)</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Southeast Asia</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129.23</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123.04</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-0.19 (-0.20 ‒ -0.17)</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128.75</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105.93</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-0.70 (-0.74 ‒ -0.66)</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294.59</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180.92</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-1.76 (-1.83 ‒ -1.69)</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54.73</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49.63</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-0.33 (-0.34 ‒ -0.32)</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Australasia</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56.45</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57.10</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0.06 (0.02 ‒ 0.11)</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29.33</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29.81</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0.11 (0.07 ‒ 0.15)</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33.58</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27.22</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-0.66 (-0.74 ‒ -0.58)</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9.25</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6.97</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-1.00 (-1.25 ‒ -0.74)</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Caribbean</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86.90</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84.38</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-0.10 (-0.11 ‒ -0.09)</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58.18</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52.81</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-0.35 (-0.37 ‒ -0.33)</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124.49</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90.50</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-1.10 (-1.16 ‒ -1.05)</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56.82</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53.11</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-0.26 (-0.28 ‒ -0.24)</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Central Europe</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62.69</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61.39</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-0.08 (-0.09 ‒ -0.06)</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30.41</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28.67</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-0.23 (-0.25 ‒ -0.21)</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38.47</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31.04</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-0.77 (-0.81 ‒ -0.73)</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63.96</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60.02</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-0.21 (-0.23 ‒ -0.19)</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Eastern Europe</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102.42</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101.42</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-0.02 (-0.03 ‒ 0.00)</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60.59</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55.49</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-0.32 (-0.34 ‒ -0.30)</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59.14</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44.56</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-1.22 (-1.33 ‒ -1.10)</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72.31</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78.98</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0.09 (0.01 ‒ 0.18)</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Western Europe</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66.96</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65.86</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-0.04 (-0.05 ‒ -0.02)</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46.91</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44.54</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-0.13 (-0.15 ‒ -0.11)</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42.93</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32.72</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-0.94 (-1.03 ‒ -0.86)</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5.53</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5.35</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-0.12 (-0.14 ‒ -0.11)</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Andean Latin America</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128.70</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124.65</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-0.21 (-0.30 ‒ -0.12)</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91.05</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83.44</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-0.40 (-0.48 ‒ -0.32)</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184.07</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108.17</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-2.00 (-2.09 ‒ -1.90)</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51.74</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49.50</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-0.15 (-0.16 ‒ -0.14)</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Central Latin America</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107.63</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102.82</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-0.12 (-0.14 ‒ -0.11)</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97.10</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84.60</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-0.52 (-0.55 ‒ -0.49)</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150.15</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92.58</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-1.6 (-1.72 ‒ -1.48)</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58.45</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57.46</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-0.09 (-0.11 ‒ -0.08)</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Southern Latin America</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79.11</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77.95</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-0.03 (-0.04 ‒ -0.01)</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51.44</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47.60</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-0.22 (-0.25 ‒ -0.20)</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49.40</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35.44</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-1.10 (-1.14 ‒ -1.07)</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6.45</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6.08</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-0.22 (-0.24 ‒ -0.19)</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Tropical Latin America</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124.73</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120.55</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0.40 (0.25 ‒ 0.54)</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83.57</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73.52</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-0.30 (-0.38 ‒ -0.21)</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184.87</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134.88</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-0.73 (-0.98 ‒ -0.48)</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40.61</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37.54</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-0.28 (-0.30 ‒ -0.26)</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North Africa and Middle East</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119.26</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114.90</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 (-0.12 ‒ -0.07)</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117.49</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96.17</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-0.68 (-0.70 ‒ -0.66)</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215.50</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126.92</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-1.82 (-1.84 ‒ -1.80)</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39.00</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33.61</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-0.51 (-0.53 ‒ -0.49)</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High-income North America</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43.33</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43.67</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0.05 (0.02 ‒ 0.07)</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32.16</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30.71</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-0.15 (-0.17 ‒ -0.13)</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22.63</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22.71</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-0.02 (-0.18 ‒ 0.14)</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8.37</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8.35</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-0.01 (-0.03 ‒ 0.00)</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Oceania</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133.13</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133.28</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-0.03 (-0.13 ‒ 0.06)</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102.28</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94.10</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-0.32 (-0.43 ‒ -0.22)</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131.40</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100.45</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-0.85 (-0.92 ‒ -0.78)</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64.54</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61.82</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-0.15 (-0.17 ‒ -0.13)</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Central Sub-Saharan Africa</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82.21</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80.37</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-0.08 (-0.10 ‒ -0.07)</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47.92</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43.95</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-0.26 (-0.32 ‒ -0.20)</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118.32</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88.34</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-0.90 (-1.00 ‒ -0.8)</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92.14</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86.87</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-0.20 (-0.26 ‒ -0.14)</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Eastern Sub-Saharan Africa</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85.67</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81.46</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-0.17 (-0.17 ‒ -0.17)</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114.78</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98.5</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-0.51 (-0.53 ‒ -0.48)</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260.87</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192.32</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-1.14 (-1.17 ‒ -1.10)</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108.16</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99.76</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-0.27 (-0.29 ‒ -0.25)</w:t>
            </w:r>
          </w:p>
        </w:tc>
      </w:tr>
      <w:tr>
        <w:tblPrEx>
          <w:tblCellMar>
            <w:top w:w="0" w:type="dxa"/>
            <w:left w:w="108" w:type="dxa"/>
            <w:bottom w:w="0" w:type="dxa"/>
            <w:right w:w="108" w:type="dxa"/>
          </w:tblCellMar>
        </w:tblPrEx>
        <w:trPr>
          <w:trHeight w:val="225" w:hRule="atLeast"/>
        </w:trPr>
        <w:tc>
          <w:tcPr>
            <w:tcW w:w="611" w:type="pct"/>
            <w:tcBorders>
              <w:top w:val="nil"/>
              <w:left w:val="nil"/>
              <w:bottom w:val="nil"/>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Southern Sub-Saharan Africa</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64.53</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63.13</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-0.05 (-0.08 ‒ -0.03)</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59.60</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56.54</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-0.06 (-0.16 ‒ 0.04)</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208.36</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149.24</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-1.17 (-1.28 ‒ -1.06)</w:t>
            </w:r>
          </w:p>
        </w:tc>
        <w:tc>
          <w:tcPr>
            <w:tcW w:w="57" w:type="pct"/>
            <w:tcBorders>
              <w:top w:val="nil"/>
              <w:left w:val="nil"/>
              <w:bottom w:val="nil"/>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152.22</w:t>
            </w:r>
          </w:p>
        </w:tc>
        <w:tc>
          <w:tcPr>
            <w:tcW w:w="299"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157.32</w:t>
            </w:r>
          </w:p>
        </w:tc>
        <w:tc>
          <w:tcPr>
            <w:tcW w:w="457" w:type="pct"/>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-0.06 (-0.13 ‒ 0.02)</w:t>
            </w:r>
          </w:p>
        </w:tc>
      </w:tr>
      <w:tr>
        <w:tblPrEx>
          <w:tblCellMar>
            <w:top w:w="0" w:type="dxa"/>
            <w:left w:w="108" w:type="dxa"/>
            <w:bottom w:w="0" w:type="dxa"/>
            <w:right w:w="108" w:type="dxa"/>
          </w:tblCellMar>
        </w:tblPrEx>
        <w:trPr>
          <w:trHeight w:val="225" w:hRule="atLeast"/>
        </w:trPr>
        <w:tc>
          <w:tcPr>
            <w:tcW w:w="611" w:type="pct"/>
            <w:tcBorders>
              <w:top w:val="nil"/>
              <w:left w:val="nil"/>
              <w:bottom w:val="single" w:color="000000" w:sz="4" w:space="0"/>
              <w:right w:val="nil"/>
            </w:tcBorders>
            <w:shd w:val="clear" w:color="auto" w:fill="auto"/>
            <w:noWrap/>
            <w:vAlign w:val="center"/>
          </w:tcPr>
          <w:p>
            <w:pPr>
              <w:widowControl/>
              <w:ind w:firstLine="75" w:firstLineChars="50"/>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Western Sub-Saharan Africa</w:t>
            </w:r>
          </w:p>
        </w:tc>
        <w:tc>
          <w:tcPr>
            <w:tcW w:w="299" w:type="pct"/>
            <w:tcBorders>
              <w:top w:val="nil"/>
              <w:left w:val="nil"/>
              <w:bottom w:val="single" w:color="000000" w:sz="4" w:space="0"/>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105.52</w:t>
            </w:r>
          </w:p>
        </w:tc>
        <w:tc>
          <w:tcPr>
            <w:tcW w:w="299" w:type="pct"/>
            <w:tcBorders>
              <w:top w:val="nil"/>
              <w:left w:val="nil"/>
              <w:bottom w:val="single" w:color="000000" w:sz="4" w:space="0"/>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104.19</w:t>
            </w:r>
          </w:p>
        </w:tc>
        <w:tc>
          <w:tcPr>
            <w:tcW w:w="457" w:type="pct"/>
            <w:tcBorders>
              <w:top w:val="nil"/>
              <w:left w:val="nil"/>
              <w:bottom w:val="single" w:color="000000" w:sz="4" w:space="0"/>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-0.07 (-0.13 ‒ -0.01)</w:t>
            </w:r>
          </w:p>
        </w:tc>
        <w:tc>
          <w:tcPr>
            <w:tcW w:w="57" w:type="pct"/>
            <w:tcBorders>
              <w:top w:val="nil"/>
              <w:left w:val="nil"/>
              <w:bottom w:val="single" w:color="000000" w:sz="4" w:space="0"/>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single" w:color="000000" w:sz="4" w:space="0"/>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126.60</w:t>
            </w:r>
          </w:p>
        </w:tc>
        <w:tc>
          <w:tcPr>
            <w:tcW w:w="299" w:type="pct"/>
            <w:tcBorders>
              <w:top w:val="nil"/>
              <w:left w:val="nil"/>
              <w:bottom w:val="single" w:color="000000" w:sz="4" w:space="0"/>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110.45</w:t>
            </w:r>
          </w:p>
        </w:tc>
        <w:tc>
          <w:tcPr>
            <w:tcW w:w="457" w:type="pct"/>
            <w:tcBorders>
              <w:top w:val="nil"/>
              <w:left w:val="nil"/>
              <w:bottom w:val="single" w:color="000000" w:sz="4" w:space="0"/>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-0.52 (-0.58 ‒ -0.47)</w:t>
            </w:r>
          </w:p>
        </w:tc>
        <w:tc>
          <w:tcPr>
            <w:tcW w:w="57" w:type="pct"/>
            <w:tcBorders>
              <w:top w:val="nil"/>
              <w:left w:val="nil"/>
              <w:bottom w:val="single" w:color="000000" w:sz="4" w:space="0"/>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single" w:color="000000" w:sz="4" w:space="0"/>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274.58</w:t>
            </w:r>
          </w:p>
        </w:tc>
        <w:tc>
          <w:tcPr>
            <w:tcW w:w="299" w:type="pct"/>
            <w:tcBorders>
              <w:top w:val="nil"/>
              <w:left w:val="nil"/>
              <w:bottom w:val="single" w:color="000000" w:sz="4" w:space="0"/>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200.34</w:t>
            </w:r>
          </w:p>
        </w:tc>
        <w:tc>
          <w:tcPr>
            <w:tcW w:w="457" w:type="pct"/>
            <w:tcBorders>
              <w:top w:val="nil"/>
              <w:left w:val="nil"/>
              <w:bottom w:val="single" w:color="000000" w:sz="4" w:space="0"/>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-1.07 (-1.11 ‒ -1.03)</w:t>
            </w:r>
          </w:p>
        </w:tc>
        <w:tc>
          <w:tcPr>
            <w:tcW w:w="57" w:type="pct"/>
            <w:tcBorders>
              <w:top w:val="nil"/>
              <w:left w:val="nil"/>
              <w:bottom w:val="single" w:color="000000" w:sz="4" w:space="0"/>
              <w:right w:val="nil"/>
            </w:tcBorders>
            <w:shd w:val="clear" w:color="auto" w:fill="auto"/>
            <w:noWrap/>
            <w:vAlign w:val="center"/>
          </w:tcPr>
          <w:p>
            <w:pPr>
              <w:jc w:val="left"/>
              <w:rPr>
                <w:rFonts w:ascii="Times New Roman" w:hAnsi="Times New Roman" w:eastAsia="宋体" w:cs="Times New Roman"/>
                <w:sz w:val="15"/>
                <w:szCs w:val="15"/>
              </w:rPr>
            </w:pPr>
          </w:p>
        </w:tc>
        <w:tc>
          <w:tcPr>
            <w:tcW w:w="299" w:type="pct"/>
            <w:tcBorders>
              <w:top w:val="nil"/>
              <w:left w:val="nil"/>
              <w:bottom w:val="single" w:color="000000" w:sz="4" w:space="0"/>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92.43</w:t>
            </w:r>
          </w:p>
        </w:tc>
        <w:tc>
          <w:tcPr>
            <w:tcW w:w="299" w:type="pct"/>
            <w:tcBorders>
              <w:top w:val="nil"/>
              <w:left w:val="nil"/>
              <w:bottom w:val="single" w:color="000000" w:sz="4" w:space="0"/>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97.07</w:t>
            </w:r>
          </w:p>
        </w:tc>
        <w:tc>
          <w:tcPr>
            <w:tcW w:w="457" w:type="pct"/>
            <w:tcBorders>
              <w:top w:val="nil"/>
              <w:left w:val="nil"/>
              <w:bottom w:val="single" w:color="000000" w:sz="4" w:space="0"/>
              <w:right w:val="nil"/>
            </w:tcBorders>
            <w:shd w:val="clear" w:color="auto" w:fill="auto"/>
            <w:noWrap/>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-0.12 (-0.26 ‒ 0.01)</w:t>
            </w:r>
          </w:p>
        </w:tc>
      </w:tr>
      <w:tr>
        <w:tblPrEx>
          <w:tblCellMar>
            <w:top w:w="0" w:type="dxa"/>
            <w:left w:w="108" w:type="dxa"/>
            <w:bottom w:w="0" w:type="dxa"/>
            <w:right w:w="108" w:type="dxa"/>
          </w:tblCellMar>
        </w:tblPrEx>
        <w:trPr>
          <w:trHeight w:val="225" w:hRule="atLeast"/>
        </w:trPr>
        <w:tc>
          <w:tcPr>
            <w:tcW w:w="5000" w:type="pct"/>
            <w:gridSpan w:val="16"/>
            <w:tcBorders>
              <w:top w:val="nil"/>
              <w:left w:val="nil"/>
              <w:bottom w:val="nil"/>
              <w:right w:val="nil"/>
            </w:tcBorders>
            <w:shd w:val="clear" w:color="auto" w:fill="auto"/>
            <w:noWrap/>
            <w:vAlign w:val="center"/>
          </w:tcPr>
          <w:p>
            <w:pPr>
              <w:widowControl/>
              <w:jc w:val="left"/>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YLDs, years lived with disability; AS</w:t>
            </w:r>
            <w:r>
              <w:rPr>
                <w:rFonts w:hint="eastAsia" w:ascii="Times New Roman" w:hAnsi="Times New Roman" w:eastAsia="宋体" w:cs="Times New Roman"/>
                <w:kern w:val="0"/>
                <w:sz w:val="15"/>
                <w:szCs w:val="15"/>
                <w:lang w:val="en-US" w:eastAsia="zh-CN" w:bidi="ar"/>
              </w:rPr>
              <w:t>Y</w:t>
            </w:r>
            <w:r>
              <w:rPr>
                <w:rFonts w:ascii="Times New Roman" w:hAnsi="Times New Roman" w:eastAsia="宋体" w:cs="Times New Roman"/>
                <w:kern w:val="0"/>
                <w:sz w:val="15"/>
                <w:szCs w:val="15"/>
                <w:lang w:bidi="ar"/>
              </w:rPr>
              <w:t>R, age-standardized</w:t>
            </w:r>
            <w:r>
              <w:rPr>
                <w:rFonts w:hint="eastAsia" w:ascii="Times New Roman" w:hAnsi="Times New Roman" w:eastAsia="宋体" w:cs="Times New Roman"/>
                <w:kern w:val="0"/>
                <w:sz w:val="15"/>
                <w:szCs w:val="15"/>
                <w:lang w:val="en-US" w:eastAsia="zh-CN" w:bidi="ar"/>
              </w:rPr>
              <w:t xml:space="preserve"> YLD</w:t>
            </w:r>
            <w:r>
              <w:rPr>
                <w:rFonts w:ascii="Times New Roman" w:hAnsi="Times New Roman" w:eastAsia="宋体" w:cs="Times New Roman"/>
                <w:kern w:val="0"/>
                <w:sz w:val="15"/>
                <w:szCs w:val="15"/>
                <w:lang w:bidi="ar"/>
              </w:rPr>
              <w:t xml:space="preserve"> rate; EAPC, estimated annual percentage change; UI, uncertainty interval.</w:t>
            </w:r>
          </w:p>
        </w:tc>
      </w:tr>
    </w:tbl>
    <w:p>
      <w:pPr>
        <w:rPr>
          <w:szCs w:val="21"/>
        </w:rPr>
      </w:pP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73169"/>
    <w:rsid w:val="000D74FA"/>
    <w:rsid w:val="00105749"/>
    <w:rsid w:val="001A7CED"/>
    <w:rsid w:val="002B565E"/>
    <w:rsid w:val="002C5CBE"/>
    <w:rsid w:val="00391008"/>
    <w:rsid w:val="00405E78"/>
    <w:rsid w:val="0048338B"/>
    <w:rsid w:val="00585282"/>
    <w:rsid w:val="006B75C4"/>
    <w:rsid w:val="00820FC0"/>
    <w:rsid w:val="009247D5"/>
    <w:rsid w:val="009E25D3"/>
    <w:rsid w:val="00A060BE"/>
    <w:rsid w:val="00C2600B"/>
    <w:rsid w:val="00D613B8"/>
    <w:rsid w:val="00E157C2"/>
    <w:rsid w:val="2A773169"/>
    <w:rsid w:val="528C5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6">
    <w:name w:val="font61"/>
    <w:basedOn w:val="5"/>
    <w:qFormat/>
    <w:uiPriority w:val="0"/>
    <w:rPr>
      <w:rFonts w:hint="eastAsia" w:ascii="宋体" w:hAnsi="宋体" w:eastAsia="宋体" w:cs="宋体"/>
      <w:color w:val="000000"/>
      <w:sz w:val="16"/>
      <w:szCs w:val="16"/>
      <w:u w:val="none"/>
    </w:rPr>
  </w:style>
  <w:style w:type="character" w:customStyle="1" w:styleId="7">
    <w:name w:val="font51"/>
    <w:basedOn w:val="5"/>
    <w:uiPriority w:val="0"/>
    <w:rPr>
      <w:rFonts w:hint="default" w:ascii="Times New Roman" w:hAnsi="Times New Roman" w:cs="Times New Roman"/>
      <w:color w:val="000000"/>
      <w:sz w:val="16"/>
      <w:szCs w:val="16"/>
      <w:u w:val="none"/>
    </w:rPr>
  </w:style>
  <w:style w:type="character" w:customStyle="1" w:styleId="8">
    <w:name w:val="font31"/>
    <w:basedOn w:val="5"/>
    <w:uiPriority w:val="0"/>
    <w:rPr>
      <w:rFonts w:hint="eastAsia" w:ascii="宋体" w:hAnsi="宋体" w:eastAsia="宋体" w:cs="宋体"/>
      <w:color w:val="000000"/>
      <w:sz w:val="16"/>
      <w:szCs w:val="16"/>
      <w:u w:val="none"/>
    </w:rPr>
  </w:style>
  <w:style w:type="character" w:customStyle="1" w:styleId="9">
    <w:name w:val="font11"/>
    <w:basedOn w:val="5"/>
    <w:uiPriority w:val="0"/>
    <w:rPr>
      <w:rFonts w:hint="default" w:ascii="Times New Roman" w:hAnsi="Times New Roman" w:cs="Times New Roman"/>
      <w:color w:val="000000"/>
      <w:sz w:val="16"/>
      <w:szCs w:val="16"/>
      <w:u w:val="none"/>
    </w:rPr>
  </w:style>
  <w:style w:type="character" w:customStyle="1" w:styleId="10">
    <w:name w:val="页眉 字符"/>
    <w:basedOn w:val="5"/>
    <w:link w:val="3"/>
    <w:uiPriority w:val="0"/>
    <w:rPr>
      <w:rFonts w:asciiTheme="minorHAnsi" w:hAnsiTheme="minorHAnsi" w:eastAsiaTheme="minorEastAsia" w:cstheme="minorBidi"/>
      <w:kern w:val="2"/>
      <w:sz w:val="18"/>
      <w:szCs w:val="18"/>
    </w:rPr>
  </w:style>
  <w:style w:type="character" w:customStyle="1" w:styleId="11">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799</Words>
  <Characters>4560</Characters>
  <Lines>38</Lines>
  <Paragraphs>10</Paragraphs>
  <TotalTime>27</TotalTime>
  <ScaleCrop>false</ScaleCrop>
  <LinksUpToDate>false</LinksUpToDate>
  <CharactersWithSpaces>5349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2021-06-03T12:15:00Z</dcterms:created>
  <dc:creator>Administrator</dc:creator>
  <cp:lastModifiedBy>Administrator</cp:lastModifiedBy>
  <dcterms:modified xsi:type="dcterms:W3CDTF">2021-06-06T01:37:49Z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43833D4E5F564D9F9144662B6797EC2B</vt:lpwstr>
  </property>
</Properties>
</file>