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59D77" w14:textId="770AA68E" w:rsidR="001B24D6" w:rsidRDefault="001B24D6" w:rsidP="001B24D6">
      <w:pPr>
        <w:spacing w:after="0" w:line="240" w:lineRule="auto"/>
        <w:contextualSpacing/>
        <w:jc w:val="both"/>
        <w:rPr>
          <w:rFonts w:ascii="Palatino Linotype" w:eastAsiaTheme="majorEastAsia" w:hAnsi="Palatino Linotype" w:cstheme="majorBidi"/>
          <w:spacing w:val="-10"/>
          <w:kern w:val="28"/>
          <w:sz w:val="28"/>
          <w:szCs w:val="28"/>
          <w:lang w:bidi="he-IL"/>
        </w:rPr>
      </w:pPr>
      <w:r w:rsidRPr="004D4CB3">
        <w:rPr>
          <w:rFonts w:ascii="Palatino Linotype" w:eastAsiaTheme="majorEastAsia" w:hAnsi="Palatino Linotype" w:cstheme="majorBidi"/>
          <w:spacing w:val="-10"/>
          <w:kern w:val="28"/>
          <w:sz w:val="28"/>
          <w:szCs w:val="28"/>
          <w:lang w:bidi="he-IL"/>
        </w:rPr>
        <w:t xml:space="preserve">Rethinking Statistical Learning as a </w:t>
      </w:r>
      <w:r w:rsidR="00770110">
        <w:rPr>
          <w:rFonts w:ascii="Palatino Linotype" w:eastAsiaTheme="majorEastAsia" w:hAnsi="Palatino Linotype" w:cstheme="majorBidi"/>
          <w:spacing w:val="-10"/>
          <w:kern w:val="28"/>
          <w:sz w:val="28"/>
          <w:szCs w:val="28"/>
          <w:lang w:bidi="he-IL"/>
        </w:rPr>
        <w:t xml:space="preserve">Continuous </w:t>
      </w:r>
      <w:r w:rsidRPr="004D4CB3">
        <w:rPr>
          <w:rFonts w:ascii="Palatino Linotype" w:eastAsiaTheme="majorEastAsia" w:hAnsi="Palatino Linotype" w:cstheme="majorBidi"/>
          <w:spacing w:val="-10"/>
          <w:kern w:val="28"/>
          <w:sz w:val="28"/>
          <w:szCs w:val="28"/>
          <w:lang w:bidi="he-IL"/>
        </w:rPr>
        <w:t>Dynamic Stochastic Process, from The Motor Systems Perspective</w:t>
      </w:r>
    </w:p>
    <w:p w14:paraId="47155E9F" w14:textId="77777777" w:rsidR="004D4CB3" w:rsidRPr="004D4CB3" w:rsidRDefault="004D4CB3" w:rsidP="001B24D6">
      <w:pPr>
        <w:spacing w:after="0" w:line="240" w:lineRule="auto"/>
        <w:contextualSpacing/>
        <w:jc w:val="both"/>
        <w:rPr>
          <w:rFonts w:ascii="Palatino Linotype" w:eastAsiaTheme="majorEastAsia" w:hAnsi="Palatino Linotype" w:cstheme="majorBidi"/>
          <w:spacing w:val="-10"/>
          <w:kern w:val="28"/>
          <w:sz w:val="28"/>
          <w:szCs w:val="28"/>
          <w:lang w:bidi="he-IL"/>
        </w:rPr>
      </w:pPr>
    </w:p>
    <w:p w14:paraId="3B3DBEEE" w14:textId="77777777" w:rsidR="004D4CB3" w:rsidRPr="004D4CB3" w:rsidRDefault="004D4CB3" w:rsidP="004D4CB3">
      <w:pPr>
        <w:spacing w:after="200" w:line="240" w:lineRule="auto"/>
        <w:rPr>
          <w:rFonts w:ascii="Palatino Linotype" w:hAnsi="Palatino Linotype"/>
          <w:color w:val="000000"/>
          <w:shd w:val="clear" w:color="auto" w:fill="FFFFFF"/>
          <w:lang w:bidi="he-IL"/>
        </w:rPr>
      </w:pPr>
      <w:r w:rsidRPr="004D4CB3">
        <w:rPr>
          <w:rFonts w:ascii="Palatino Linotype" w:hAnsi="Palatino Linotype"/>
          <w:color w:val="000000"/>
          <w:shd w:val="clear" w:color="auto" w:fill="FFFFFF"/>
          <w:lang w:bidi="he-IL"/>
        </w:rPr>
        <w:t>Anna Vaskevich</w:t>
      </w:r>
      <w:r w:rsidRPr="004D4CB3">
        <w:rPr>
          <w:rFonts w:ascii="Palatino Linotype" w:hAnsi="Palatino Linotype"/>
          <w:color w:val="000000"/>
          <w:shd w:val="clear" w:color="auto" w:fill="FFFFFF"/>
          <w:vertAlign w:val="superscript"/>
          <w:lang w:bidi="he-IL"/>
        </w:rPr>
        <w:t>1*</w:t>
      </w:r>
      <w:r w:rsidRPr="004D4CB3">
        <w:rPr>
          <w:rFonts w:ascii="Palatino Linotype" w:hAnsi="Palatino Linotype"/>
          <w:color w:val="000000"/>
          <w:shd w:val="clear" w:color="auto" w:fill="FFFFFF"/>
          <w:lang w:bidi="he-IL"/>
        </w:rPr>
        <w:t>, Elizabeth B Torres</w:t>
      </w:r>
      <w:r w:rsidRPr="004D4CB3">
        <w:rPr>
          <w:rFonts w:ascii="Palatino Linotype" w:hAnsi="Palatino Linotype"/>
          <w:color w:val="000000"/>
          <w:shd w:val="clear" w:color="auto" w:fill="FFFFFF"/>
          <w:vertAlign w:val="superscript"/>
          <w:lang w:bidi="he-IL"/>
        </w:rPr>
        <w:t>1,2,3,*</w:t>
      </w:r>
      <w:bookmarkStart w:id="0" w:name="_Hlk92814900"/>
      <w:r w:rsidRPr="004D4CB3">
        <w:rPr>
          <w:rFonts w:ascii="Palatino Linotype" w:hAnsi="Palatino Linotype"/>
          <w:color w:val="000000"/>
          <w:shd w:val="clear" w:color="auto" w:fill="FFFFFF"/>
          <w:vertAlign w:val="superscript"/>
          <w:lang w:bidi="he-IL"/>
        </w:rPr>
        <w:t>‡</w:t>
      </w:r>
      <w:bookmarkEnd w:id="0"/>
    </w:p>
    <w:p w14:paraId="4AD28BF3" w14:textId="77777777" w:rsidR="004D4CB3" w:rsidRPr="004D4CB3" w:rsidRDefault="004D4CB3" w:rsidP="004D4CB3">
      <w:pPr>
        <w:spacing w:after="200" w:line="240" w:lineRule="auto"/>
        <w:rPr>
          <w:rFonts w:ascii="Palatino Linotype" w:hAnsi="Palatino Linotype"/>
          <w:color w:val="000000"/>
          <w:shd w:val="clear" w:color="auto" w:fill="FFFFFF"/>
          <w:lang w:bidi="he-IL"/>
        </w:rPr>
      </w:pPr>
      <w:r w:rsidRPr="004D4CB3">
        <w:rPr>
          <w:rFonts w:ascii="Palatino Linotype" w:hAnsi="Palatino Linotype"/>
          <w:color w:val="000000"/>
          <w:shd w:val="clear" w:color="auto" w:fill="FFFFFF"/>
          <w:vertAlign w:val="superscript"/>
          <w:lang w:bidi="he-IL"/>
        </w:rPr>
        <w:t>1</w:t>
      </w:r>
      <w:r w:rsidRPr="004D4CB3">
        <w:rPr>
          <w:rFonts w:ascii="Palatino Linotype" w:hAnsi="Palatino Linotype"/>
          <w:color w:val="000000"/>
          <w:shd w:val="clear" w:color="auto" w:fill="FFFFFF"/>
          <w:lang w:bidi="he-IL"/>
        </w:rPr>
        <w:t xml:space="preserve"> Rutgers University Psychology Department, Sensory Motor Integration Lab</w:t>
      </w:r>
    </w:p>
    <w:p w14:paraId="0A4FBACE" w14:textId="77777777" w:rsidR="004D4CB3" w:rsidRPr="004D4CB3" w:rsidRDefault="004D4CB3" w:rsidP="004D4CB3">
      <w:pPr>
        <w:spacing w:after="200" w:line="240" w:lineRule="auto"/>
        <w:rPr>
          <w:rFonts w:ascii="Palatino Linotype" w:hAnsi="Palatino Linotype"/>
          <w:color w:val="000000"/>
          <w:shd w:val="clear" w:color="auto" w:fill="FFFFFF"/>
          <w:lang w:bidi="he-IL"/>
        </w:rPr>
      </w:pPr>
      <w:r w:rsidRPr="004D4CB3">
        <w:rPr>
          <w:rFonts w:ascii="Palatino Linotype" w:hAnsi="Palatino Linotype"/>
          <w:color w:val="000000"/>
          <w:shd w:val="clear" w:color="auto" w:fill="FFFFFF"/>
          <w:vertAlign w:val="superscript"/>
          <w:lang w:bidi="he-IL"/>
        </w:rPr>
        <w:t>2</w:t>
      </w:r>
      <w:r w:rsidRPr="004D4CB3">
        <w:rPr>
          <w:rFonts w:ascii="Palatino Linotype" w:hAnsi="Palatino Linotype"/>
          <w:color w:val="000000"/>
          <w:shd w:val="clear" w:color="auto" w:fill="FFFFFF"/>
          <w:lang w:bidi="he-IL"/>
        </w:rPr>
        <w:t xml:space="preserve"> Rutgers Center for Cognitive Science</w:t>
      </w:r>
    </w:p>
    <w:p w14:paraId="2FBE15ED" w14:textId="77777777" w:rsidR="004D4CB3" w:rsidRPr="004D4CB3" w:rsidRDefault="004D4CB3" w:rsidP="004D4CB3">
      <w:pPr>
        <w:spacing w:after="200" w:line="240" w:lineRule="auto"/>
        <w:rPr>
          <w:rFonts w:ascii="Palatino Linotype" w:hAnsi="Palatino Linotype"/>
          <w:color w:val="000000"/>
          <w:shd w:val="clear" w:color="auto" w:fill="FFFFFF"/>
          <w:lang w:bidi="he-IL"/>
        </w:rPr>
      </w:pPr>
      <w:r w:rsidRPr="004D4CB3">
        <w:rPr>
          <w:rFonts w:ascii="Palatino Linotype" w:hAnsi="Palatino Linotype"/>
          <w:color w:val="000000"/>
          <w:shd w:val="clear" w:color="auto" w:fill="FFFFFF"/>
          <w:vertAlign w:val="superscript"/>
          <w:lang w:bidi="he-IL"/>
        </w:rPr>
        <w:t>3</w:t>
      </w:r>
      <w:r w:rsidRPr="004D4CB3">
        <w:rPr>
          <w:rFonts w:ascii="Palatino Linotype" w:hAnsi="Palatino Linotype"/>
          <w:color w:val="000000"/>
          <w:shd w:val="clear" w:color="auto" w:fill="FFFFFF"/>
          <w:lang w:bidi="he-IL"/>
        </w:rPr>
        <w:t xml:space="preserve"> Rutgers Computer Science Center of Computational Biomedicine Imaging and Modelling</w:t>
      </w:r>
    </w:p>
    <w:p w14:paraId="2A5BFB91" w14:textId="77777777" w:rsidR="004D4CB3" w:rsidRPr="004D4CB3" w:rsidRDefault="004D4CB3" w:rsidP="004D4CB3">
      <w:pPr>
        <w:spacing w:after="200" w:line="240" w:lineRule="auto"/>
        <w:rPr>
          <w:rFonts w:ascii="Palatino Linotype" w:hAnsi="Palatino Linotype"/>
          <w:color w:val="000000"/>
          <w:shd w:val="clear" w:color="auto" w:fill="FFFFFF"/>
          <w:lang w:bidi="he-IL"/>
        </w:rPr>
      </w:pPr>
      <w:r w:rsidRPr="004D4CB3">
        <w:rPr>
          <w:rFonts w:ascii="Palatino Linotype" w:hAnsi="Palatino Linotype"/>
          <w:color w:val="000000"/>
          <w:shd w:val="clear" w:color="auto" w:fill="FFFFFF"/>
          <w:lang w:bidi="he-IL"/>
        </w:rPr>
        <w:t>*Equal complementary contributions</w:t>
      </w:r>
    </w:p>
    <w:p w14:paraId="25CEB4AE" w14:textId="52E5183A" w:rsidR="004D4CB3" w:rsidRDefault="004D4CB3" w:rsidP="004D4CB3">
      <w:pPr>
        <w:spacing w:after="200" w:line="240" w:lineRule="auto"/>
        <w:rPr>
          <w:rFonts w:ascii="Palatino Linotype" w:hAnsi="Palatino Linotype"/>
          <w:color w:val="000000"/>
          <w:shd w:val="clear" w:color="auto" w:fill="FFFFFF"/>
          <w:lang w:bidi="he-IL"/>
        </w:rPr>
      </w:pPr>
      <w:r w:rsidRPr="004D4CB3">
        <w:rPr>
          <w:rFonts w:ascii="Palatino Linotype" w:hAnsi="Palatino Linotype"/>
          <w:color w:val="000000"/>
          <w:shd w:val="clear" w:color="auto" w:fill="FFFFFF"/>
          <w:vertAlign w:val="superscript"/>
          <w:lang w:bidi="he-IL"/>
        </w:rPr>
        <w:t xml:space="preserve">‡ </w:t>
      </w:r>
      <w:r w:rsidRPr="004D4CB3">
        <w:rPr>
          <w:rFonts w:ascii="Palatino Linotype" w:hAnsi="Palatino Linotype"/>
          <w:color w:val="000000"/>
          <w:shd w:val="clear" w:color="auto" w:fill="FFFFFF"/>
          <w:lang w:bidi="he-IL"/>
        </w:rPr>
        <w:t>Corresponding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47DD6" w14:paraId="3503654C" w14:textId="77777777" w:rsidTr="00833CFB">
        <w:tc>
          <w:tcPr>
            <w:tcW w:w="9350" w:type="dxa"/>
          </w:tcPr>
          <w:p w14:paraId="780A0F8C" w14:textId="5742A888" w:rsidR="00A47DD6" w:rsidRPr="00833CFB" w:rsidRDefault="00A47DD6" w:rsidP="004D4CB3">
            <w:pPr>
              <w:spacing w:after="200"/>
              <w:rPr>
                <w:rFonts w:ascii="Palatino Linotype" w:hAnsi="Palatino Linotype"/>
                <w:color w:val="000000"/>
                <w:sz w:val="18"/>
                <w:szCs w:val="18"/>
                <w:shd w:val="clear" w:color="auto" w:fill="FFFFFF"/>
                <w:lang w:bidi="he-IL"/>
              </w:rPr>
            </w:pPr>
            <w:r w:rsidRPr="00833CFB">
              <w:rPr>
                <w:noProof/>
                <w:sz w:val="18"/>
                <w:szCs w:val="18"/>
              </w:rPr>
              <w:drawing>
                <wp:inline distT="0" distB="0" distL="0" distR="0" wp14:anchorId="61367B8C" wp14:editId="062C15F3">
                  <wp:extent cx="5716402" cy="321730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0766" cy="3219764"/>
                          </a:xfrm>
                          <a:prstGeom prst="rect">
                            <a:avLst/>
                          </a:prstGeom>
                          <a:noFill/>
                          <a:ln>
                            <a:noFill/>
                          </a:ln>
                        </pic:spPr>
                      </pic:pic>
                    </a:graphicData>
                  </a:graphic>
                </wp:inline>
              </w:drawing>
            </w:r>
          </w:p>
        </w:tc>
      </w:tr>
      <w:tr w:rsidR="00A47DD6" w14:paraId="058F21F9" w14:textId="77777777" w:rsidTr="00833CFB">
        <w:tc>
          <w:tcPr>
            <w:tcW w:w="9350" w:type="dxa"/>
          </w:tcPr>
          <w:p w14:paraId="5E51DCC4" w14:textId="607CC635" w:rsidR="00A47DD6" w:rsidRPr="00833CFB" w:rsidRDefault="00A47DD6" w:rsidP="004D4CB3">
            <w:pPr>
              <w:spacing w:after="200"/>
              <w:rPr>
                <w:rFonts w:ascii="Palatino Linotype" w:hAnsi="Palatino Linotype"/>
                <w:color w:val="000000"/>
                <w:sz w:val="18"/>
                <w:szCs w:val="18"/>
                <w:shd w:val="clear" w:color="auto" w:fill="FFFFFF"/>
                <w:lang w:bidi="he-IL"/>
              </w:rPr>
            </w:pPr>
            <w:r w:rsidRPr="00833CFB">
              <w:rPr>
                <w:rFonts w:ascii="Palatino Linotype" w:hAnsi="Palatino Linotype"/>
                <w:color w:val="000000"/>
                <w:sz w:val="18"/>
                <w:szCs w:val="18"/>
                <w:shd w:val="clear" w:color="auto" w:fill="FFFFFF"/>
                <w:lang w:bidi="he-IL"/>
              </w:rPr>
              <w:t xml:space="preserve">Supplementary Figure 1. </w:t>
            </w:r>
            <w:r w:rsidRPr="001D1884">
              <w:rPr>
                <w:rFonts w:ascii="Palatino Linotype" w:hAnsi="Palatino Linotype"/>
                <w:b/>
                <w:bCs/>
                <w:color w:val="000000"/>
                <w:sz w:val="18"/>
                <w:szCs w:val="18"/>
                <w:shd w:val="clear" w:color="auto" w:fill="FFFFFF"/>
                <w:lang w:bidi="he-IL"/>
              </w:rPr>
              <w:t>Determining the EEG hub lead</w:t>
            </w:r>
            <w:r w:rsidRPr="00833CFB">
              <w:rPr>
                <w:rFonts w:ascii="Palatino Linotype" w:hAnsi="Palatino Linotype"/>
                <w:color w:val="000000"/>
                <w:sz w:val="18"/>
                <w:szCs w:val="18"/>
                <w:shd w:val="clear" w:color="auto" w:fill="FFFFFF"/>
                <w:lang w:bidi="he-IL"/>
              </w:rPr>
              <w:t>.</w:t>
            </w:r>
            <w:r w:rsidR="00833CFB" w:rsidRPr="00833CFB">
              <w:rPr>
                <w:rFonts w:ascii="Palatino Linotype" w:hAnsi="Palatino Linotype"/>
                <w:sz w:val="18"/>
                <w:szCs w:val="18"/>
              </w:rPr>
              <w:t xml:space="preserve"> Pipeline of network connectivity analyses to select hubs for stochastic analyses. (A) The electroencephalographic (EEG) activities from twenty channels and approximately ½ hour is sampled at 256Hz. (B) Two sample leads are used to instantiate the analyses. The pairwise cross-coherence is obtained. (C) For each pair, the maximal cross-coherence is obtained, with corresponding phase and frequency values at which the maximum is attained. These build three 20x20 matrices to parameterize (for each window and across each block of the session) the activity and build adjacency matrices (using the maximal cross-coherence matrix.) (D) The maximum clustering coefficient in each window is obtained, here represented in schematic form for Blocks 1 and 8 (using windows 19 and 5 for visualization purposes.) (E) The MMS are obtained, and the frequency histo</w:t>
            </w:r>
            <w:r w:rsidR="00833CFB" w:rsidRPr="003E4DA8">
              <w:rPr>
                <w:rFonts w:ascii="Palatino Linotype" w:hAnsi="Palatino Linotype"/>
                <w:sz w:val="18"/>
                <w:szCs w:val="18"/>
              </w:rPr>
              <w:t xml:space="preserve">grams (as in Figure </w:t>
            </w:r>
            <w:r w:rsidR="003E4DA8" w:rsidRPr="003E4DA8">
              <w:rPr>
                <w:rFonts w:ascii="Palatino Linotype" w:hAnsi="Palatino Linotype"/>
                <w:sz w:val="18"/>
                <w:szCs w:val="18"/>
              </w:rPr>
              <w:t>2</w:t>
            </w:r>
            <w:r w:rsidR="00EA1563">
              <w:rPr>
                <w:rFonts w:ascii="Palatino Linotype" w:hAnsi="Palatino Linotype"/>
                <w:sz w:val="18"/>
                <w:szCs w:val="18"/>
              </w:rPr>
              <w:t xml:space="preserve"> of the main paper</w:t>
            </w:r>
            <w:r w:rsidR="00833CFB" w:rsidRPr="003E4DA8">
              <w:rPr>
                <w:rFonts w:ascii="Palatino Linotype" w:hAnsi="Palatino Linotype"/>
                <w:sz w:val="18"/>
                <w:szCs w:val="18"/>
              </w:rPr>
              <w:t>) use</w:t>
            </w:r>
            <w:r w:rsidR="00833CFB" w:rsidRPr="00833CFB">
              <w:rPr>
                <w:rFonts w:ascii="Palatino Linotype" w:hAnsi="Palatino Linotype"/>
                <w:sz w:val="18"/>
                <w:szCs w:val="18"/>
              </w:rPr>
              <w:t xml:space="preserve">d to obtain, pairwise, the </w:t>
            </w:r>
            <w:r w:rsidR="00E76BCC">
              <w:rPr>
                <w:rFonts w:ascii="Palatino Linotype" w:hAnsi="Palatino Linotype"/>
                <w:sz w:val="18"/>
                <w:szCs w:val="18"/>
              </w:rPr>
              <w:t>Earth Movers’ Distance (</w:t>
            </w:r>
            <w:r w:rsidR="00833CFB" w:rsidRPr="00833CFB">
              <w:rPr>
                <w:rFonts w:ascii="Palatino Linotype" w:hAnsi="Palatino Linotype"/>
                <w:sz w:val="18"/>
                <w:szCs w:val="18"/>
              </w:rPr>
              <w:t>EMD</w:t>
            </w:r>
            <w:r w:rsidR="00E76BCC">
              <w:rPr>
                <w:rFonts w:ascii="Palatino Linotype" w:hAnsi="Palatino Linotype"/>
                <w:sz w:val="18"/>
                <w:szCs w:val="18"/>
              </w:rPr>
              <w:t>)</w:t>
            </w:r>
            <w:r w:rsidR="00833CFB" w:rsidRPr="00833CFB">
              <w:rPr>
                <w:rFonts w:ascii="Palatino Linotype" w:hAnsi="Palatino Linotype"/>
                <w:sz w:val="18"/>
                <w:szCs w:val="18"/>
              </w:rPr>
              <w:t xml:space="preserve"> matrix</w:t>
            </w:r>
            <w:r w:rsidR="00EA1563">
              <w:rPr>
                <w:rFonts w:ascii="Palatino Linotype" w:hAnsi="Palatino Linotype"/>
                <w:sz w:val="18"/>
                <w:szCs w:val="18"/>
              </w:rPr>
              <w:t xml:space="preserve"> denoting how much effort it takes to convert one histogram into the other. This quantity allows us to track moment by moment (at 5 second window) how the stochastic signals best fitting the frequency histogram of MMS peaks change</w:t>
            </w:r>
            <w:r w:rsidR="00833CFB" w:rsidRPr="00833CFB">
              <w:rPr>
                <w:rFonts w:ascii="Palatino Linotype" w:hAnsi="Palatino Linotype"/>
                <w:sz w:val="18"/>
                <w:szCs w:val="18"/>
              </w:rPr>
              <w:t>.</w:t>
            </w:r>
            <w:r w:rsidR="003B21CA">
              <w:rPr>
                <w:rFonts w:ascii="Palatino Linotype" w:hAnsi="Palatino Linotype"/>
                <w:sz w:val="18"/>
                <w:szCs w:val="18"/>
              </w:rPr>
              <w:t xml:space="preserve"> For illustrative purposes we show MMS and histograms for block1 window 5 and block 8 window 19.</w:t>
            </w:r>
          </w:p>
        </w:tc>
      </w:tr>
    </w:tbl>
    <w:p w14:paraId="0C71DAB2" w14:textId="77777777" w:rsidR="00A47DD6" w:rsidRPr="004D4CB3" w:rsidRDefault="00A47DD6" w:rsidP="004D4CB3">
      <w:pPr>
        <w:spacing w:after="200" w:line="240" w:lineRule="auto"/>
        <w:rPr>
          <w:rFonts w:ascii="Palatino Linotype" w:hAnsi="Palatino Linotype"/>
          <w:color w:val="000000"/>
          <w:shd w:val="clear" w:color="auto" w:fill="FFFFFF"/>
          <w:lang w:bidi="he-IL"/>
        </w:rPr>
      </w:pPr>
    </w:p>
    <w:p w14:paraId="33DFE01A" w14:textId="48557381" w:rsidR="001B24D6" w:rsidRDefault="001B24D6">
      <w:pPr>
        <w:rPr>
          <w:rFonts w:ascii="Palatino Linotype" w:hAnsi="Palatino Linotype"/>
          <w:color w:val="000000"/>
          <w:shd w:val="clear" w:color="auto" w:fill="FFFFFF"/>
        </w:rPr>
      </w:pPr>
      <w:r>
        <w:rPr>
          <w:rFonts w:ascii="Palatino Linotype" w:hAnsi="Palatino Linotype"/>
          <w:color w:val="000000"/>
          <w:shd w:val="clear" w:color="auto" w:fill="FFFFFF"/>
        </w:rPr>
        <w:t xml:space="preserve">Additional Results on Global Analyses of PDF transitions evaluated through the EMD (as explained in Figure </w:t>
      </w:r>
      <w:r w:rsidR="00A47DD6">
        <w:rPr>
          <w:rFonts w:ascii="Palatino Linotype" w:hAnsi="Palatino Linotype"/>
          <w:color w:val="000000"/>
          <w:shd w:val="clear" w:color="auto" w:fill="FFFFFF"/>
        </w:rPr>
        <w:t>4</w:t>
      </w:r>
      <w:r>
        <w:rPr>
          <w:rFonts w:ascii="Palatino Linotype" w:hAnsi="Palatino Linotype"/>
          <w:color w:val="000000"/>
          <w:shd w:val="clear" w:color="auto" w:fill="FFFFFF"/>
        </w:rPr>
        <w:t xml:space="preserve"> of the Methods section of the main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B24D6" w14:paraId="2BD6142E" w14:textId="77777777" w:rsidTr="00FD1B10">
        <w:tc>
          <w:tcPr>
            <w:tcW w:w="9350" w:type="dxa"/>
          </w:tcPr>
          <w:p w14:paraId="5E2AD263" w14:textId="4B9A383C" w:rsidR="001B24D6" w:rsidRDefault="001B24D6" w:rsidP="001B24D6">
            <w:pPr>
              <w:jc w:val="center"/>
            </w:pPr>
            <w:r>
              <w:rPr>
                <w:noProof/>
              </w:rPr>
              <w:drawing>
                <wp:inline distT="0" distB="0" distL="0" distR="0" wp14:anchorId="3A877FDC" wp14:editId="105076AC">
                  <wp:extent cx="5183580" cy="2916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9928" cy="2925515"/>
                          </a:xfrm>
                          <a:prstGeom prst="rect">
                            <a:avLst/>
                          </a:prstGeom>
                          <a:noFill/>
                          <a:ln>
                            <a:noFill/>
                          </a:ln>
                        </pic:spPr>
                      </pic:pic>
                    </a:graphicData>
                  </a:graphic>
                </wp:inline>
              </w:drawing>
            </w:r>
          </w:p>
        </w:tc>
      </w:tr>
      <w:tr w:rsidR="001B24D6" w:rsidRPr="004D4CB3" w14:paraId="41C65F21" w14:textId="77777777" w:rsidTr="00FD1B10">
        <w:tc>
          <w:tcPr>
            <w:tcW w:w="9350" w:type="dxa"/>
          </w:tcPr>
          <w:p w14:paraId="4ED0F7FC" w14:textId="3DE75B7A" w:rsidR="001B24D6" w:rsidRPr="004D4CB3" w:rsidRDefault="001B24D6">
            <w:pPr>
              <w:rPr>
                <w:rFonts w:ascii="Palatino Linotype" w:hAnsi="Palatino Linotype"/>
                <w:sz w:val="18"/>
                <w:szCs w:val="18"/>
              </w:rPr>
            </w:pPr>
            <w:r w:rsidRPr="004D4CB3">
              <w:rPr>
                <w:rFonts w:ascii="Palatino Linotype" w:hAnsi="Palatino Linotype"/>
                <w:sz w:val="18"/>
                <w:szCs w:val="18"/>
              </w:rPr>
              <w:t xml:space="preserve">Supplementary Figure </w:t>
            </w:r>
            <w:r w:rsidR="00F651D9">
              <w:rPr>
                <w:rFonts w:ascii="Palatino Linotype" w:hAnsi="Palatino Linotype"/>
                <w:sz w:val="18"/>
                <w:szCs w:val="18"/>
              </w:rPr>
              <w:t>2</w:t>
            </w:r>
            <w:r w:rsidR="00490ED9" w:rsidRPr="004D4CB3">
              <w:rPr>
                <w:rFonts w:ascii="Palatino Linotype" w:hAnsi="Palatino Linotype"/>
                <w:sz w:val="18"/>
                <w:szCs w:val="18"/>
              </w:rPr>
              <w:t>. Global analyses of the pooled data from all trials and blocks across participants for the mixed condition. Left and right oriented target trials on the top and bottom panels of the first column, respectively, showing the sequence of EMD values obtained by pooling across all data (order does not matter). Peaks (red) are used to build the frequency histograms depicted on the top (left target) and bottom (right target) panels of the second column. This are the fluctuations in EMD peak amplitude, quantifying the shifts in PDF</w:t>
            </w:r>
            <w:r w:rsidR="00FD1B10" w:rsidRPr="004D4CB3">
              <w:rPr>
                <w:rFonts w:ascii="Palatino Linotype" w:hAnsi="Palatino Linotype"/>
                <w:sz w:val="18"/>
                <w:szCs w:val="18"/>
              </w:rPr>
              <w:t xml:space="preserve"> empirically approximating the histograms using MLE. Panels on the third column show the frequency histograms of the interpeak intervals measuring the peaks’ distances from EMD window t and t+1, t represents the 5second-long window sweeping through the data with 50% overlap.</w:t>
            </w:r>
          </w:p>
        </w:tc>
      </w:tr>
    </w:tbl>
    <w:p w14:paraId="74D0B856" w14:textId="6F6E12C2" w:rsidR="001B24D6" w:rsidRDefault="001B24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1B10" w14:paraId="77D25155" w14:textId="77777777" w:rsidTr="000122E0">
        <w:tc>
          <w:tcPr>
            <w:tcW w:w="9350" w:type="dxa"/>
          </w:tcPr>
          <w:p w14:paraId="0877D27A" w14:textId="6D335A6C" w:rsidR="00FD1B10" w:rsidRDefault="00FD1B10" w:rsidP="000122E0">
            <w:pPr>
              <w:jc w:val="center"/>
            </w:pPr>
            <w:r>
              <w:rPr>
                <w:noProof/>
              </w:rPr>
              <w:drawing>
                <wp:inline distT="0" distB="0" distL="0" distR="0" wp14:anchorId="1360089C" wp14:editId="744DEA97">
                  <wp:extent cx="5023627" cy="282632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4880" cy="2832658"/>
                          </a:xfrm>
                          <a:prstGeom prst="rect">
                            <a:avLst/>
                          </a:prstGeom>
                          <a:noFill/>
                          <a:ln>
                            <a:noFill/>
                          </a:ln>
                        </pic:spPr>
                      </pic:pic>
                    </a:graphicData>
                  </a:graphic>
                </wp:inline>
              </w:drawing>
            </w:r>
          </w:p>
        </w:tc>
      </w:tr>
      <w:tr w:rsidR="00FD1B10" w:rsidRPr="004D4CB3" w14:paraId="0D04A936" w14:textId="77777777" w:rsidTr="000122E0">
        <w:tc>
          <w:tcPr>
            <w:tcW w:w="9350" w:type="dxa"/>
          </w:tcPr>
          <w:p w14:paraId="19529CE8" w14:textId="6212E5C3" w:rsidR="00FD1B10" w:rsidRDefault="00FD1B10" w:rsidP="000122E0">
            <w:pPr>
              <w:rPr>
                <w:rFonts w:ascii="Palatino Linotype" w:hAnsi="Palatino Linotype"/>
                <w:sz w:val="18"/>
                <w:szCs w:val="18"/>
              </w:rPr>
            </w:pPr>
            <w:r w:rsidRPr="004D4CB3">
              <w:rPr>
                <w:rFonts w:ascii="Palatino Linotype" w:hAnsi="Palatino Linotype"/>
                <w:sz w:val="18"/>
                <w:szCs w:val="18"/>
              </w:rPr>
              <w:lastRenderedPageBreak/>
              <w:t xml:space="preserve">Supplementary Figure </w:t>
            </w:r>
            <w:r w:rsidR="00F651D9">
              <w:rPr>
                <w:rFonts w:ascii="Palatino Linotype" w:hAnsi="Palatino Linotype"/>
                <w:sz w:val="18"/>
                <w:szCs w:val="18"/>
              </w:rPr>
              <w:t>3</w:t>
            </w:r>
            <w:r w:rsidRPr="004D4CB3">
              <w:rPr>
                <w:rFonts w:ascii="Palatino Linotype" w:hAnsi="Palatino Linotype"/>
                <w:sz w:val="18"/>
                <w:szCs w:val="18"/>
              </w:rPr>
              <w:t>. Same as Supplementary Figure 1 for the random condition.</w:t>
            </w:r>
          </w:p>
          <w:p w14:paraId="4B8A8A98" w14:textId="77777777" w:rsidR="004D4CB3" w:rsidRDefault="004D4CB3" w:rsidP="000122E0">
            <w:pPr>
              <w:rPr>
                <w:rFonts w:ascii="Palatino Linotype" w:hAnsi="Palatino Linotype"/>
                <w:sz w:val="18"/>
                <w:szCs w:val="18"/>
              </w:rPr>
            </w:pPr>
          </w:p>
          <w:p w14:paraId="4FED9858" w14:textId="77777777" w:rsidR="004D4CB3" w:rsidRDefault="004D4CB3" w:rsidP="000122E0">
            <w:pPr>
              <w:rPr>
                <w:rFonts w:ascii="Palatino Linotype" w:hAnsi="Palatino Linotype"/>
                <w:sz w:val="18"/>
                <w:szCs w:val="18"/>
              </w:rPr>
            </w:pPr>
          </w:p>
          <w:p w14:paraId="5A8720DD" w14:textId="1CF3CC34" w:rsidR="004D4CB3" w:rsidRPr="004D4CB3" w:rsidRDefault="004D4CB3" w:rsidP="000122E0">
            <w:pPr>
              <w:rPr>
                <w:rFonts w:ascii="Palatino Linotype" w:hAnsi="Palatino Linotype"/>
                <w:sz w:val="18"/>
                <w:szCs w:val="18"/>
              </w:rPr>
            </w:pPr>
          </w:p>
        </w:tc>
      </w:tr>
      <w:tr w:rsidR="00FD1B10" w14:paraId="4120A05D" w14:textId="77777777" w:rsidTr="00FD1B10">
        <w:tc>
          <w:tcPr>
            <w:tcW w:w="9350" w:type="dxa"/>
          </w:tcPr>
          <w:p w14:paraId="187E521B" w14:textId="0E670C72" w:rsidR="00FD1B10" w:rsidRDefault="00FD1B10" w:rsidP="000122E0">
            <w:pPr>
              <w:jc w:val="center"/>
            </w:pPr>
            <w:r>
              <w:rPr>
                <w:noProof/>
              </w:rPr>
              <w:drawing>
                <wp:inline distT="0" distB="0" distL="0" distR="0" wp14:anchorId="73F28979" wp14:editId="7F0A5396">
                  <wp:extent cx="5371904" cy="3022270"/>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7502" cy="3025419"/>
                          </a:xfrm>
                          <a:prstGeom prst="rect">
                            <a:avLst/>
                          </a:prstGeom>
                          <a:noFill/>
                          <a:ln>
                            <a:noFill/>
                          </a:ln>
                        </pic:spPr>
                      </pic:pic>
                    </a:graphicData>
                  </a:graphic>
                </wp:inline>
              </w:drawing>
            </w:r>
          </w:p>
        </w:tc>
      </w:tr>
      <w:tr w:rsidR="00FD1B10" w:rsidRPr="004D4CB3" w14:paraId="04E9A285" w14:textId="77777777" w:rsidTr="00FD1B10">
        <w:tc>
          <w:tcPr>
            <w:tcW w:w="9350" w:type="dxa"/>
          </w:tcPr>
          <w:p w14:paraId="1BB4DF5D" w14:textId="0BB3C5D4" w:rsidR="00FD1B10" w:rsidRPr="004D4CB3" w:rsidRDefault="00FD1B10" w:rsidP="000122E0">
            <w:pPr>
              <w:rPr>
                <w:rFonts w:ascii="Palatino Linotype" w:hAnsi="Palatino Linotype"/>
                <w:sz w:val="18"/>
                <w:szCs w:val="18"/>
              </w:rPr>
            </w:pPr>
            <w:r w:rsidRPr="004D4CB3">
              <w:rPr>
                <w:rFonts w:ascii="Palatino Linotype" w:hAnsi="Palatino Linotype"/>
                <w:sz w:val="18"/>
                <w:szCs w:val="18"/>
              </w:rPr>
              <w:t xml:space="preserve">Supplementary Figure </w:t>
            </w:r>
            <w:r w:rsidR="00F651D9">
              <w:rPr>
                <w:rFonts w:ascii="Palatino Linotype" w:hAnsi="Palatino Linotype"/>
                <w:sz w:val="18"/>
                <w:szCs w:val="18"/>
              </w:rPr>
              <w:t>4</w:t>
            </w:r>
            <w:r w:rsidRPr="004D4CB3">
              <w:rPr>
                <w:rFonts w:ascii="Palatino Linotype" w:hAnsi="Palatino Linotype"/>
                <w:sz w:val="18"/>
                <w:szCs w:val="18"/>
              </w:rPr>
              <w:t>. Same as Supplementary Figure 2 for the correlated condition.</w:t>
            </w:r>
          </w:p>
        </w:tc>
      </w:tr>
    </w:tbl>
    <w:p w14:paraId="6CD28A18" w14:textId="1FA9DD04" w:rsidR="004D4CB3" w:rsidRDefault="004D4CB3"/>
    <w:p w14:paraId="5290B818" w14:textId="77777777" w:rsidR="004D4CB3" w:rsidRDefault="004D4CB3">
      <w:r>
        <w:br w:type="page"/>
      </w:r>
    </w:p>
    <w:p w14:paraId="1F3DC48B" w14:textId="77777777" w:rsidR="00FD1B10" w:rsidRDefault="00FD1B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1B10" w14:paraId="1DE99425" w14:textId="77777777" w:rsidTr="00BD78F6">
        <w:tc>
          <w:tcPr>
            <w:tcW w:w="9350" w:type="dxa"/>
          </w:tcPr>
          <w:p w14:paraId="7076F032" w14:textId="64498855" w:rsidR="00FD1B10" w:rsidRDefault="009B6DFC" w:rsidP="009B6DFC">
            <w:pPr>
              <w:jc w:val="center"/>
            </w:pPr>
            <w:r>
              <w:rPr>
                <w:noProof/>
              </w:rPr>
              <w:drawing>
                <wp:inline distT="0" distB="0" distL="0" distR="0" wp14:anchorId="1B1D1CA7" wp14:editId="7494853B">
                  <wp:extent cx="5491686" cy="15841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128" cy="1589170"/>
                          </a:xfrm>
                          <a:prstGeom prst="rect">
                            <a:avLst/>
                          </a:prstGeom>
                          <a:noFill/>
                          <a:ln>
                            <a:noFill/>
                          </a:ln>
                        </pic:spPr>
                      </pic:pic>
                    </a:graphicData>
                  </a:graphic>
                </wp:inline>
              </w:drawing>
            </w:r>
          </w:p>
        </w:tc>
      </w:tr>
      <w:tr w:rsidR="00FD1B10" w:rsidRPr="004D4CB3" w14:paraId="01E9F4D2" w14:textId="77777777" w:rsidTr="00BD78F6">
        <w:tc>
          <w:tcPr>
            <w:tcW w:w="9350" w:type="dxa"/>
          </w:tcPr>
          <w:p w14:paraId="24E50B29" w14:textId="5C3B39FE" w:rsidR="00FD1B10" w:rsidRPr="004D4CB3" w:rsidRDefault="009B6DFC">
            <w:pPr>
              <w:rPr>
                <w:rFonts w:ascii="Palatino Linotype" w:hAnsi="Palatino Linotype"/>
                <w:sz w:val="18"/>
                <w:szCs w:val="18"/>
              </w:rPr>
            </w:pPr>
            <w:r w:rsidRPr="004D4CB3">
              <w:rPr>
                <w:rFonts w:ascii="Palatino Linotype" w:hAnsi="Palatino Linotype"/>
                <w:sz w:val="18"/>
                <w:szCs w:val="18"/>
              </w:rPr>
              <w:t>Supplementary Figure</w:t>
            </w:r>
            <w:r w:rsidR="00F651D9">
              <w:rPr>
                <w:rFonts w:ascii="Palatino Linotype" w:hAnsi="Palatino Linotype"/>
                <w:sz w:val="18"/>
                <w:szCs w:val="18"/>
              </w:rPr>
              <w:t xml:space="preserve"> 5</w:t>
            </w:r>
            <w:r w:rsidRPr="004D4CB3">
              <w:rPr>
                <w:rFonts w:ascii="Palatino Linotype" w:hAnsi="Palatino Linotype"/>
                <w:sz w:val="18"/>
                <w:szCs w:val="18"/>
              </w:rPr>
              <w:t>. Gamma process approximation of the global data for the fluctuations in amplitude. (A) Left oriented target global stochastic signatures mapped as empirically estimated parameters of the continuous Gamma family of probability distribution (see methods) plotted as points on the (shape, scale) parameter plane with 95% confidence intervals.</w:t>
            </w:r>
            <w:r w:rsidR="00BD78F6" w:rsidRPr="004D4CB3">
              <w:rPr>
                <w:rFonts w:ascii="Palatino Linotype" w:hAnsi="Palatino Linotype"/>
                <w:sz w:val="18"/>
                <w:szCs w:val="18"/>
              </w:rPr>
              <w:t xml:space="preserve"> (B) Same as in (A) for the right oriented target. (C) Corresponding PDFs estimated using MLE.</w:t>
            </w:r>
          </w:p>
        </w:tc>
      </w:tr>
    </w:tbl>
    <w:p w14:paraId="3C7C528D" w14:textId="33E16368" w:rsidR="00FD1B10" w:rsidRDefault="00FD1B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D78F6" w:rsidRPr="00BD78F6" w14:paraId="46ED46BC" w14:textId="77777777" w:rsidTr="000122E0">
        <w:tc>
          <w:tcPr>
            <w:tcW w:w="9350" w:type="dxa"/>
          </w:tcPr>
          <w:p w14:paraId="16794F8B" w14:textId="77777777" w:rsidR="00BD78F6" w:rsidRPr="00BD78F6" w:rsidRDefault="00BD78F6" w:rsidP="00BD78F6">
            <w:pPr>
              <w:spacing w:after="200"/>
              <w:jc w:val="center"/>
              <w:rPr>
                <w:rFonts w:ascii="Palatino Linotype" w:hAnsi="Palatino Linotype"/>
                <w:lang w:bidi="he-IL"/>
              </w:rPr>
            </w:pPr>
            <w:r w:rsidRPr="00BD78F6">
              <w:rPr>
                <w:rFonts w:ascii="Palatino Linotype" w:hAnsi="Palatino Linotype"/>
                <w:noProof/>
              </w:rPr>
              <w:drawing>
                <wp:inline distT="0" distB="0" distL="0" distR="0" wp14:anchorId="5BEA1A4C" wp14:editId="3EFFB7EA">
                  <wp:extent cx="5231081" cy="3635489"/>
                  <wp:effectExtent l="0" t="0" r="8255" b="3175"/>
                  <wp:docPr id="17" name="Picture 1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44961" cy="3645135"/>
                          </a:xfrm>
                          <a:prstGeom prst="rect">
                            <a:avLst/>
                          </a:prstGeom>
                        </pic:spPr>
                      </pic:pic>
                    </a:graphicData>
                  </a:graphic>
                </wp:inline>
              </w:drawing>
            </w:r>
          </w:p>
        </w:tc>
      </w:tr>
      <w:tr w:rsidR="00BD78F6" w:rsidRPr="004D4CB3" w14:paraId="2897A037" w14:textId="77777777" w:rsidTr="000122E0">
        <w:tc>
          <w:tcPr>
            <w:tcW w:w="9350" w:type="dxa"/>
          </w:tcPr>
          <w:p w14:paraId="17BF7FD4" w14:textId="539D8E6B" w:rsidR="00BD78F6" w:rsidRPr="004D4CB3" w:rsidRDefault="00BD78F6" w:rsidP="00BD78F6">
            <w:pPr>
              <w:adjustRightInd w:val="0"/>
              <w:snapToGrid w:val="0"/>
              <w:spacing w:before="120" w:after="240" w:line="260" w:lineRule="atLeast"/>
              <w:ind w:left="425" w:right="425"/>
              <w:jc w:val="both"/>
              <w:rPr>
                <w:rFonts w:ascii="Palatino Linotype" w:eastAsia="Times New Roman" w:hAnsi="Palatino Linotype" w:cs="Times New Roman"/>
                <w:color w:val="000000"/>
                <w:sz w:val="18"/>
                <w:szCs w:val="18"/>
                <w:lang w:eastAsia="de-DE" w:bidi="en-US"/>
              </w:rPr>
            </w:pPr>
            <w:r w:rsidRPr="004D4CB3">
              <w:rPr>
                <w:rFonts w:ascii="Palatino Linotype" w:eastAsia="Times New Roman" w:hAnsi="Palatino Linotype" w:cs="Times New Roman"/>
                <w:color w:val="000000"/>
                <w:sz w:val="18"/>
                <w:szCs w:val="18"/>
                <w:lang w:eastAsia="de-DE" w:bidi="en-US"/>
              </w:rPr>
              <w:t xml:space="preserve">Supplementary Figure </w:t>
            </w:r>
            <w:r w:rsidR="00F651D9">
              <w:rPr>
                <w:rFonts w:ascii="Palatino Linotype" w:eastAsia="Times New Roman" w:hAnsi="Palatino Linotype" w:cs="Times New Roman"/>
                <w:color w:val="000000"/>
                <w:sz w:val="18"/>
                <w:szCs w:val="18"/>
                <w:lang w:eastAsia="de-DE" w:bidi="en-US"/>
              </w:rPr>
              <w:t>6</w:t>
            </w:r>
            <w:r w:rsidRPr="004D4CB3">
              <w:rPr>
                <w:rFonts w:ascii="Palatino Linotype" w:eastAsia="Times New Roman" w:hAnsi="Palatino Linotype" w:cs="Times New Roman"/>
                <w:color w:val="000000"/>
                <w:sz w:val="18"/>
                <w:szCs w:val="18"/>
                <w:lang w:eastAsia="de-DE" w:bidi="en-US"/>
              </w:rPr>
              <w:t>. Differentiation between error corrective and exploratory modes in the hubs’ activities across the leads under consideration. Center figure shows the leads used in the analyses. The leads acting as hubs of the network were quantified across trials and blocks (color bar in log scale) for each subgroup of participants, by pooling across participant type for all trials of each block in the mixed condition. The exploratory subgroup reveals a far more distributed code than the error corrective subgroup, with different patterns between target type.</w:t>
            </w:r>
            <w:r w:rsidR="007C642A" w:rsidRPr="004D4CB3">
              <w:rPr>
                <w:rFonts w:ascii="Palatino Linotype" w:eastAsia="Times New Roman" w:hAnsi="Palatino Linotype" w:cs="Times New Roman"/>
                <w:color w:val="000000"/>
                <w:sz w:val="18"/>
                <w:szCs w:val="18"/>
                <w:lang w:eastAsia="de-DE" w:bidi="en-US"/>
              </w:rPr>
              <w:t xml:space="preserve"> Notice </w:t>
            </w:r>
            <w:r w:rsidR="00F651D9" w:rsidRPr="004D4CB3">
              <w:rPr>
                <w:rFonts w:ascii="Palatino Linotype" w:eastAsia="Times New Roman" w:hAnsi="Palatino Linotype" w:cs="Times New Roman"/>
                <w:color w:val="000000"/>
                <w:sz w:val="18"/>
                <w:szCs w:val="18"/>
                <w:lang w:eastAsia="de-DE" w:bidi="en-US"/>
              </w:rPr>
              <w:t>the dynamic nature of this process as well</w:t>
            </w:r>
            <w:r w:rsidR="007C642A" w:rsidRPr="004D4CB3">
              <w:rPr>
                <w:rFonts w:ascii="Palatino Linotype" w:eastAsia="Times New Roman" w:hAnsi="Palatino Linotype" w:cs="Times New Roman"/>
                <w:color w:val="000000"/>
                <w:sz w:val="18"/>
                <w:szCs w:val="18"/>
                <w:lang w:eastAsia="de-DE" w:bidi="en-US"/>
              </w:rPr>
              <w:t>, shifting from blocks 1 to 8.</w:t>
            </w:r>
          </w:p>
        </w:tc>
      </w:tr>
    </w:tbl>
    <w:p w14:paraId="68AF6B90" w14:textId="77777777" w:rsidR="00BD78F6" w:rsidRPr="004D4CB3" w:rsidRDefault="00BD78F6">
      <w:pPr>
        <w:rPr>
          <w:sz w:val="18"/>
          <w:szCs w:val="18"/>
        </w:rPr>
      </w:pPr>
    </w:p>
    <w:sectPr w:rsidR="00BD78F6" w:rsidRPr="004D4C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657"/>
    <w:rsid w:val="00084AAF"/>
    <w:rsid w:val="001B24D6"/>
    <w:rsid w:val="001D1884"/>
    <w:rsid w:val="003B21CA"/>
    <w:rsid w:val="003E4DA8"/>
    <w:rsid w:val="003F4657"/>
    <w:rsid w:val="00490ED9"/>
    <w:rsid w:val="004C59EB"/>
    <w:rsid w:val="004D4CB3"/>
    <w:rsid w:val="004F0C8B"/>
    <w:rsid w:val="007672BF"/>
    <w:rsid w:val="00770110"/>
    <w:rsid w:val="007C642A"/>
    <w:rsid w:val="007F6057"/>
    <w:rsid w:val="00833CFB"/>
    <w:rsid w:val="00841F9A"/>
    <w:rsid w:val="009B6DFC"/>
    <w:rsid w:val="00A47DD6"/>
    <w:rsid w:val="00BD78F6"/>
    <w:rsid w:val="00C80A4B"/>
    <w:rsid w:val="00CF0AD6"/>
    <w:rsid w:val="00DE535F"/>
    <w:rsid w:val="00E76BCC"/>
    <w:rsid w:val="00EA1563"/>
    <w:rsid w:val="00F651D9"/>
    <w:rsid w:val="00FD1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2A4D2"/>
  <w15:chartTrackingRefBased/>
  <w15:docId w15:val="{78D3F19B-81B9-4AD5-93CF-9A14357FB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4</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Torres</dc:creator>
  <cp:keywords/>
  <dc:description/>
  <cp:lastModifiedBy>Elizabeth Torres</cp:lastModifiedBy>
  <cp:revision>17</cp:revision>
  <dcterms:created xsi:type="dcterms:W3CDTF">2022-01-11T21:14:00Z</dcterms:created>
  <dcterms:modified xsi:type="dcterms:W3CDTF">2022-10-12T18:22:00Z</dcterms:modified>
</cp:coreProperties>
</file>