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1F25" w14:textId="127D76C6" w:rsidR="00FD2CB9" w:rsidRPr="0028117D" w:rsidRDefault="00FD2CB9">
      <w:pPr>
        <w:rPr>
          <w:b/>
          <w:bCs/>
        </w:rPr>
      </w:pPr>
    </w:p>
    <w:tbl>
      <w:tblPr>
        <w:tblStyle w:val="TableGrid"/>
        <w:tblW w:w="49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725"/>
        <w:gridCol w:w="899"/>
        <w:gridCol w:w="540"/>
        <w:gridCol w:w="3868"/>
        <w:gridCol w:w="3242"/>
        <w:gridCol w:w="4500"/>
      </w:tblGrid>
      <w:tr w:rsidR="0028117D" w:rsidRPr="0028117D" w14:paraId="5DB991EC" w14:textId="77777777" w:rsidTr="003E5532">
        <w:trPr>
          <w:trHeight w:val="432"/>
        </w:trPr>
        <w:tc>
          <w:tcPr>
            <w:tcW w:w="5000" w:type="pct"/>
            <w:gridSpan w:val="7"/>
            <w:tcBorders>
              <w:bottom w:val="single" w:sz="4" w:space="0" w:color="auto"/>
            </w:tcBorders>
            <w:noWrap/>
            <w:vAlign w:val="center"/>
          </w:tcPr>
          <w:p w14:paraId="6E0F5840" w14:textId="72425382" w:rsidR="003E5532" w:rsidRPr="0028117D" w:rsidRDefault="003E5532" w:rsidP="004054E8">
            <w:pPr>
              <w:jc w:val="center"/>
              <w:rPr>
                <w:rFonts w:ascii="Times New Roman" w:eastAsia="Times New Roman" w:hAnsi="Times New Roman" w:cs="Times New Roman"/>
                <w:b/>
                <w:bCs/>
                <w:sz w:val="18"/>
                <w:szCs w:val="18"/>
              </w:rPr>
            </w:pPr>
            <w:r w:rsidRPr="0028117D">
              <w:rPr>
                <w:rFonts w:ascii="Times New Roman" w:hAnsi="Times New Roman" w:cs="Times New Roman"/>
                <w:b/>
                <w:bCs/>
              </w:rPr>
              <w:t>Supplementary Table 1. Clinical profiles of patients with cholesteatoma included in this study</w:t>
            </w:r>
          </w:p>
        </w:tc>
      </w:tr>
      <w:tr w:rsidR="0028117D" w:rsidRPr="0028117D" w14:paraId="388E34A5" w14:textId="77777777" w:rsidTr="003E5532">
        <w:trPr>
          <w:trHeight w:val="432"/>
        </w:trPr>
        <w:tc>
          <w:tcPr>
            <w:tcW w:w="157" w:type="pct"/>
            <w:tcBorders>
              <w:top w:val="single" w:sz="4" w:space="0" w:color="auto"/>
              <w:bottom w:val="single" w:sz="6" w:space="0" w:color="000000" w:themeColor="text1"/>
            </w:tcBorders>
            <w:noWrap/>
            <w:vAlign w:val="center"/>
            <w:hideMark/>
          </w:tcPr>
          <w:p w14:paraId="6906317C" w14:textId="77777777" w:rsidR="003E5532" w:rsidRPr="0028117D" w:rsidRDefault="003E5532" w:rsidP="004054E8">
            <w:pPr>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ID</w:t>
            </w:r>
          </w:p>
        </w:tc>
        <w:tc>
          <w:tcPr>
            <w:tcW w:w="255" w:type="pct"/>
            <w:tcBorders>
              <w:top w:val="single" w:sz="4" w:space="0" w:color="auto"/>
              <w:bottom w:val="single" w:sz="6" w:space="0" w:color="000000" w:themeColor="text1"/>
            </w:tcBorders>
            <w:noWrap/>
            <w:vAlign w:val="center"/>
            <w:hideMark/>
          </w:tcPr>
          <w:p w14:paraId="7D5F28B8" w14:textId="77777777" w:rsidR="00835EA7" w:rsidRPr="0028117D" w:rsidRDefault="003E5532" w:rsidP="00835EA7">
            <w:pPr>
              <w:ind w:right="-324" w:hanging="324"/>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Tissue</w:t>
            </w:r>
          </w:p>
          <w:p w14:paraId="2DA5421B" w14:textId="15EE988D" w:rsidR="003E5532" w:rsidRPr="0028117D" w:rsidRDefault="003E5532" w:rsidP="00835EA7">
            <w:pPr>
              <w:ind w:right="-324" w:hanging="324"/>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Type</w:t>
            </w:r>
          </w:p>
        </w:tc>
        <w:tc>
          <w:tcPr>
            <w:tcW w:w="316" w:type="pct"/>
            <w:tcBorders>
              <w:top w:val="single" w:sz="4" w:space="0" w:color="auto"/>
              <w:bottom w:val="single" w:sz="6" w:space="0" w:color="000000" w:themeColor="text1"/>
            </w:tcBorders>
            <w:noWrap/>
            <w:vAlign w:val="center"/>
            <w:hideMark/>
          </w:tcPr>
          <w:p w14:paraId="07F87E08" w14:textId="3D99A2EC" w:rsidR="003E5532" w:rsidRPr="0028117D" w:rsidRDefault="003E5532" w:rsidP="003E5532">
            <w:pPr>
              <w:ind w:right="-148" w:hanging="114"/>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Ethnicity</w:t>
            </w:r>
          </w:p>
        </w:tc>
        <w:tc>
          <w:tcPr>
            <w:tcW w:w="190" w:type="pct"/>
            <w:tcBorders>
              <w:top w:val="single" w:sz="4" w:space="0" w:color="auto"/>
              <w:bottom w:val="single" w:sz="6" w:space="0" w:color="000000" w:themeColor="text1"/>
            </w:tcBorders>
            <w:noWrap/>
            <w:vAlign w:val="center"/>
            <w:hideMark/>
          </w:tcPr>
          <w:p w14:paraId="6C5D4AC6" w14:textId="77777777" w:rsidR="003E5532" w:rsidRPr="0028117D" w:rsidRDefault="003E5532" w:rsidP="004054E8">
            <w:pPr>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Age</w:t>
            </w:r>
          </w:p>
          <w:p w14:paraId="6307BFDD" w14:textId="77C509B0" w:rsidR="003E5532" w:rsidRPr="0028117D" w:rsidRDefault="003E5532" w:rsidP="003E5532">
            <w:pPr>
              <w:ind w:right="-500" w:hanging="500"/>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w:t>
            </w:r>
            <w:proofErr w:type="spellStart"/>
            <w:r w:rsidRPr="0028117D">
              <w:rPr>
                <w:rFonts w:ascii="Times New Roman" w:eastAsia="Times New Roman" w:hAnsi="Times New Roman" w:cs="Times New Roman"/>
                <w:b/>
                <w:bCs/>
                <w:sz w:val="19"/>
                <w:szCs w:val="19"/>
              </w:rPr>
              <w:t>yrs</w:t>
            </w:r>
            <w:proofErr w:type="spellEnd"/>
            <w:r w:rsidRPr="0028117D">
              <w:rPr>
                <w:rFonts w:ascii="Times New Roman" w:eastAsia="Times New Roman" w:hAnsi="Times New Roman" w:cs="Times New Roman"/>
                <w:b/>
                <w:bCs/>
                <w:sz w:val="19"/>
                <w:szCs w:val="19"/>
              </w:rPr>
              <w:t>)</w:t>
            </w:r>
          </w:p>
        </w:tc>
        <w:tc>
          <w:tcPr>
            <w:tcW w:w="1360" w:type="pct"/>
            <w:tcBorders>
              <w:top w:val="single" w:sz="4" w:space="0" w:color="auto"/>
              <w:bottom w:val="single" w:sz="6" w:space="0" w:color="000000" w:themeColor="text1"/>
            </w:tcBorders>
            <w:noWrap/>
            <w:vAlign w:val="center"/>
            <w:hideMark/>
          </w:tcPr>
          <w:p w14:paraId="3B585BA6" w14:textId="77777777" w:rsidR="003E5532" w:rsidRPr="0028117D" w:rsidRDefault="003E5532" w:rsidP="004054E8">
            <w:pPr>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Otoscopic Findings</w:t>
            </w:r>
          </w:p>
        </w:tc>
        <w:tc>
          <w:tcPr>
            <w:tcW w:w="1140" w:type="pct"/>
            <w:tcBorders>
              <w:top w:val="single" w:sz="4" w:space="0" w:color="auto"/>
              <w:bottom w:val="single" w:sz="6" w:space="0" w:color="000000" w:themeColor="text1"/>
            </w:tcBorders>
            <w:noWrap/>
            <w:vAlign w:val="center"/>
            <w:hideMark/>
          </w:tcPr>
          <w:p w14:paraId="47C0CB64" w14:textId="7CAF3176" w:rsidR="003E5532" w:rsidRPr="0028117D" w:rsidRDefault="003E5532" w:rsidP="004054E8">
            <w:pPr>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CT Findings</w:t>
            </w:r>
          </w:p>
        </w:tc>
        <w:tc>
          <w:tcPr>
            <w:tcW w:w="1582" w:type="pct"/>
            <w:tcBorders>
              <w:top w:val="single" w:sz="4" w:space="0" w:color="auto"/>
              <w:bottom w:val="single" w:sz="6" w:space="0" w:color="000000" w:themeColor="text1"/>
            </w:tcBorders>
            <w:noWrap/>
            <w:vAlign w:val="center"/>
            <w:hideMark/>
          </w:tcPr>
          <w:p w14:paraId="4A479E3C" w14:textId="77777777" w:rsidR="003E5532" w:rsidRPr="0028117D" w:rsidRDefault="003E5532" w:rsidP="004054E8">
            <w:pPr>
              <w:jc w:val="center"/>
              <w:rPr>
                <w:rFonts w:ascii="Times New Roman" w:eastAsia="Times New Roman" w:hAnsi="Times New Roman" w:cs="Times New Roman"/>
                <w:b/>
                <w:bCs/>
                <w:sz w:val="19"/>
                <w:szCs w:val="19"/>
              </w:rPr>
            </w:pPr>
            <w:r w:rsidRPr="0028117D">
              <w:rPr>
                <w:rFonts w:ascii="Times New Roman" w:eastAsia="Times New Roman" w:hAnsi="Times New Roman" w:cs="Times New Roman"/>
                <w:b/>
                <w:bCs/>
                <w:sz w:val="19"/>
                <w:szCs w:val="19"/>
              </w:rPr>
              <w:t>Intraoperative Findings</w:t>
            </w:r>
          </w:p>
        </w:tc>
      </w:tr>
      <w:tr w:rsidR="0028117D" w:rsidRPr="0028117D" w14:paraId="0C909E13" w14:textId="77777777" w:rsidTr="003E5532">
        <w:trPr>
          <w:trHeight w:val="1584"/>
        </w:trPr>
        <w:tc>
          <w:tcPr>
            <w:tcW w:w="157" w:type="pct"/>
            <w:tcBorders>
              <w:top w:val="single" w:sz="6" w:space="0" w:color="000000" w:themeColor="text1"/>
              <w:bottom w:val="single" w:sz="6" w:space="0" w:color="AEAAAA" w:themeColor="background2" w:themeShade="BF"/>
            </w:tcBorders>
            <w:noWrap/>
            <w:hideMark/>
          </w:tcPr>
          <w:p w14:paraId="42867768" w14:textId="77777777" w:rsidR="003E5532" w:rsidRPr="0028117D" w:rsidRDefault="003E5532" w:rsidP="003E5532">
            <w:pPr>
              <w:jc w:val="center"/>
              <w:rPr>
                <w:rFonts w:ascii="Times New Roman" w:eastAsia="Times New Roman" w:hAnsi="Times New Roman" w:cs="Times New Roman"/>
                <w:b/>
                <w:bCs/>
                <w:sz w:val="18"/>
                <w:szCs w:val="18"/>
              </w:rPr>
            </w:pPr>
            <w:r w:rsidRPr="0028117D">
              <w:rPr>
                <w:rFonts w:ascii="Times New Roman" w:eastAsia="Times New Roman" w:hAnsi="Times New Roman" w:cs="Times New Roman"/>
                <w:b/>
                <w:bCs/>
                <w:sz w:val="18"/>
                <w:szCs w:val="18"/>
              </w:rPr>
              <w:t>1</w:t>
            </w:r>
          </w:p>
        </w:tc>
        <w:tc>
          <w:tcPr>
            <w:tcW w:w="255" w:type="pct"/>
            <w:tcBorders>
              <w:top w:val="single" w:sz="6" w:space="0" w:color="000000" w:themeColor="text1"/>
              <w:bottom w:val="single" w:sz="6" w:space="0" w:color="AEAAAA" w:themeColor="background2" w:themeShade="BF"/>
            </w:tcBorders>
            <w:noWrap/>
            <w:hideMark/>
          </w:tcPr>
          <w:p w14:paraId="3B9FA5FA"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Chol</w:t>
            </w:r>
          </w:p>
        </w:tc>
        <w:tc>
          <w:tcPr>
            <w:tcW w:w="316" w:type="pct"/>
            <w:tcBorders>
              <w:top w:val="single" w:sz="6" w:space="0" w:color="000000" w:themeColor="text1"/>
              <w:bottom w:val="single" w:sz="6" w:space="0" w:color="AEAAAA" w:themeColor="background2" w:themeShade="BF"/>
            </w:tcBorders>
            <w:noWrap/>
            <w:hideMark/>
          </w:tcPr>
          <w:p w14:paraId="39BC417E"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Hispanic</w:t>
            </w:r>
          </w:p>
        </w:tc>
        <w:tc>
          <w:tcPr>
            <w:tcW w:w="190" w:type="pct"/>
            <w:tcBorders>
              <w:top w:val="single" w:sz="6" w:space="0" w:color="000000" w:themeColor="text1"/>
              <w:bottom w:val="single" w:sz="6" w:space="0" w:color="AEAAAA" w:themeColor="background2" w:themeShade="BF"/>
            </w:tcBorders>
            <w:noWrap/>
            <w:hideMark/>
          </w:tcPr>
          <w:p w14:paraId="06295C36"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9.6</w:t>
            </w:r>
          </w:p>
        </w:tc>
        <w:tc>
          <w:tcPr>
            <w:tcW w:w="1360" w:type="pct"/>
            <w:tcBorders>
              <w:top w:val="single" w:sz="6" w:space="0" w:color="000000" w:themeColor="text1"/>
              <w:bottom w:val="single" w:sz="6" w:space="0" w:color="AEAAAA" w:themeColor="background2" w:themeShade="BF"/>
            </w:tcBorders>
            <w:noWrap/>
            <w:hideMark/>
          </w:tcPr>
          <w:p w14:paraId="7BC34A7F" w14:textId="280970E4" w:rsidR="003E5532" w:rsidRPr="0028117D" w:rsidRDefault="003E5532" w:rsidP="005F19D3">
            <w:pP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Left TM is retracted, whitish mass behind eardrum, malleus remnant visualized</w:t>
            </w:r>
          </w:p>
          <w:p w14:paraId="0E0DE3E6" w14:textId="77777777" w:rsidR="003E5532" w:rsidRPr="0028117D" w:rsidRDefault="003E5532" w:rsidP="00E56323">
            <w:pPr>
              <w:ind w:left="162"/>
              <w:rPr>
                <w:rFonts w:ascii="Times New Roman" w:eastAsia="Times New Roman" w:hAnsi="Times New Roman" w:cs="Times New Roman"/>
                <w:sz w:val="18"/>
                <w:szCs w:val="18"/>
              </w:rPr>
            </w:pPr>
          </w:p>
        </w:tc>
        <w:tc>
          <w:tcPr>
            <w:tcW w:w="1140" w:type="pct"/>
            <w:tcBorders>
              <w:top w:val="single" w:sz="6" w:space="0" w:color="000000" w:themeColor="text1"/>
              <w:bottom w:val="single" w:sz="6" w:space="0" w:color="AEAAAA" w:themeColor="background2" w:themeShade="BF"/>
            </w:tcBorders>
            <w:noWrap/>
            <w:hideMark/>
          </w:tcPr>
          <w:p w14:paraId="45ECA879" w14:textId="1DC8BBFE" w:rsidR="003E5532" w:rsidRPr="0028117D" w:rsidRDefault="003E5532" w:rsidP="00E56323">
            <w:pPr>
              <w:pStyle w:val="ListParagraph"/>
              <w:numPr>
                <w:ilvl w:val="0"/>
                <w:numId w:val="2"/>
              </w:numPr>
              <w:ind w:left="194"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Near complete opacification of left EAC and middle ear cavity</w:t>
            </w:r>
          </w:p>
          <w:p w14:paraId="23081375" w14:textId="5D993446" w:rsidR="003E5532" w:rsidRPr="0028117D" w:rsidRDefault="003E5532" w:rsidP="00E56323">
            <w:pPr>
              <w:pStyle w:val="ListParagraph"/>
              <w:numPr>
                <w:ilvl w:val="0"/>
                <w:numId w:val="2"/>
              </w:numPr>
              <w:ind w:left="194"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Complete opacification of left mastoid</w:t>
            </w:r>
          </w:p>
          <w:p w14:paraId="07DF3FC2" w14:textId="77777777" w:rsidR="003E5532" w:rsidRPr="0028117D" w:rsidRDefault="003E5532" w:rsidP="00E56323">
            <w:pPr>
              <w:pStyle w:val="ListParagraph"/>
              <w:numPr>
                <w:ilvl w:val="0"/>
                <w:numId w:val="2"/>
              </w:numPr>
              <w:ind w:left="194"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Blunting of the scutum and demineralized appearance of the ossicles suggests underlying cholesteatoma</w:t>
            </w:r>
          </w:p>
        </w:tc>
        <w:tc>
          <w:tcPr>
            <w:tcW w:w="1582" w:type="pct"/>
            <w:tcBorders>
              <w:top w:val="single" w:sz="6" w:space="0" w:color="000000" w:themeColor="text1"/>
              <w:bottom w:val="single" w:sz="6" w:space="0" w:color="AEAAAA" w:themeColor="background2" w:themeShade="BF"/>
            </w:tcBorders>
            <w:noWrap/>
            <w:hideMark/>
          </w:tcPr>
          <w:p w14:paraId="1A9D9732" w14:textId="77777777" w:rsidR="003E5532" w:rsidRPr="0028117D" w:rsidRDefault="003E5532" w:rsidP="00E56323">
            <w:pPr>
              <w:pStyle w:val="ListParagraph"/>
              <w:numPr>
                <w:ilvl w:val="0"/>
                <w:numId w:val="1"/>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Chorda tympani preserved but stretched</w:t>
            </w:r>
          </w:p>
          <w:p w14:paraId="2ABE28F7" w14:textId="77777777" w:rsidR="003E5532" w:rsidRPr="0028117D" w:rsidRDefault="003E5532" w:rsidP="00E56323">
            <w:pPr>
              <w:pStyle w:val="ListParagraph"/>
              <w:numPr>
                <w:ilvl w:val="0"/>
                <w:numId w:val="1"/>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Ossicular chain intact and mobile</w:t>
            </w:r>
          </w:p>
          <w:p w14:paraId="1F9E0774" w14:textId="51A93956" w:rsidR="003E5532" w:rsidRPr="0028117D" w:rsidRDefault="003E5532" w:rsidP="00E56323">
            <w:pPr>
              <w:pStyle w:val="ListParagraph"/>
              <w:numPr>
                <w:ilvl w:val="0"/>
                <w:numId w:val="1"/>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Anterior TM atelectatic to promontory, posterior TM retraction pocket posteriorly and into sinus tympani with small cholesteatoma in posterior mesotympanum and sinus tympani. No epitympanic or mastoid extent, however likely not aerated due to atelectatic drum and retraction pocket. Mastoidectomy not indicated</w:t>
            </w:r>
          </w:p>
        </w:tc>
      </w:tr>
      <w:tr w:rsidR="0028117D" w:rsidRPr="0028117D" w14:paraId="49C7578E" w14:textId="77777777" w:rsidTr="003E5532">
        <w:trPr>
          <w:trHeight w:val="864"/>
        </w:trPr>
        <w:tc>
          <w:tcPr>
            <w:tcW w:w="157" w:type="pct"/>
            <w:tcBorders>
              <w:top w:val="single" w:sz="6" w:space="0" w:color="AEAAAA" w:themeColor="background2" w:themeShade="BF"/>
              <w:bottom w:val="single" w:sz="6" w:space="0" w:color="AEAAAA" w:themeColor="background2" w:themeShade="BF"/>
            </w:tcBorders>
            <w:noWrap/>
            <w:hideMark/>
          </w:tcPr>
          <w:p w14:paraId="230CE378" w14:textId="77777777" w:rsidR="003E5532" w:rsidRPr="0028117D" w:rsidRDefault="003E5532" w:rsidP="003E5532">
            <w:pPr>
              <w:jc w:val="center"/>
              <w:rPr>
                <w:rFonts w:ascii="Times New Roman" w:eastAsia="Times New Roman" w:hAnsi="Times New Roman" w:cs="Times New Roman"/>
                <w:b/>
                <w:bCs/>
                <w:sz w:val="18"/>
                <w:szCs w:val="18"/>
              </w:rPr>
            </w:pPr>
            <w:r w:rsidRPr="0028117D">
              <w:rPr>
                <w:rFonts w:ascii="Times New Roman" w:eastAsia="Times New Roman" w:hAnsi="Times New Roman" w:cs="Times New Roman"/>
                <w:b/>
                <w:bCs/>
                <w:sz w:val="18"/>
                <w:szCs w:val="18"/>
              </w:rPr>
              <w:t>2</w:t>
            </w:r>
          </w:p>
        </w:tc>
        <w:tc>
          <w:tcPr>
            <w:tcW w:w="255" w:type="pct"/>
            <w:tcBorders>
              <w:top w:val="single" w:sz="6" w:space="0" w:color="AEAAAA" w:themeColor="background2" w:themeShade="BF"/>
              <w:bottom w:val="single" w:sz="6" w:space="0" w:color="AEAAAA" w:themeColor="background2" w:themeShade="BF"/>
            </w:tcBorders>
            <w:noWrap/>
            <w:hideMark/>
          </w:tcPr>
          <w:p w14:paraId="407F3EA5" w14:textId="77777777" w:rsidR="003E5532" w:rsidRPr="0028117D" w:rsidRDefault="003E5532" w:rsidP="003E5532">
            <w:pPr>
              <w:ind w:right="-324" w:hanging="324"/>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Mucosa</w:t>
            </w:r>
          </w:p>
        </w:tc>
        <w:tc>
          <w:tcPr>
            <w:tcW w:w="316" w:type="pct"/>
            <w:tcBorders>
              <w:top w:val="single" w:sz="6" w:space="0" w:color="AEAAAA" w:themeColor="background2" w:themeShade="BF"/>
              <w:bottom w:val="single" w:sz="6" w:space="0" w:color="AEAAAA" w:themeColor="background2" w:themeShade="BF"/>
            </w:tcBorders>
            <w:noWrap/>
            <w:hideMark/>
          </w:tcPr>
          <w:p w14:paraId="646A6724"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White</w:t>
            </w:r>
          </w:p>
        </w:tc>
        <w:tc>
          <w:tcPr>
            <w:tcW w:w="190" w:type="pct"/>
            <w:tcBorders>
              <w:top w:val="single" w:sz="6" w:space="0" w:color="AEAAAA" w:themeColor="background2" w:themeShade="BF"/>
              <w:bottom w:val="single" w:sz="6" w:space="0" w:color="AEAAAA" w:themeColor="background2" w:themeShade="BF"/>
            </w:tcBorders>
            <w:noWrap/>
            <w:hideMark/>
          </w:tcPr>
          <w:p w14:paraId="6103CC88"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19.3</w:t>
            </w:r>
          </w:p>
        </w:tc>
        <w:tc>
          <w:tcPr>
            <w:tcW w:w="1360" w:type="pct"/>
            <w:tcBorders>
              <w:top w:val="single" w:sz="6" w:space="0" w:color="AEAAAA" w:themeColor="background2" w:themeShade="BF"/>
              <w:bottom w:val="single" w:sz="6" w:space="0" w:color="AEAAAA" w:themeColor="background2" w:themeShade="BF"/>
            </w:tcBorders>
            <w:noWrap/>
            <w:hideMark/>
          </w:tcPr>
          <w:p w14:paraId="40836F90" w14:textId="0D5BAE93" w:rsidR="003E5532" w:rsidRPr="0028117D" w:rsidRDefault="003E5532" w:rsidP="00E56323">
            <w:pPr>
              <w:pStyle w:val="ListParagraph"/>
              <w:numPr>
                <w:ilvl w:val="0"/>
                <w:numId w:val="13"/>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Right TM is intact with grafted cartilage</w:t>
            </w:r>
          </w:p>
          <w:p w14:paraId="69CA724B" w14:textId="34912D4B" w:rsidR="003E5532" w:rsidRPr="0028117D" w:rsidRDefault="003E5532" w:rsidP="00E56323">
            <w:pPr>
              <w:pStyle w:val="ListParagraph"/>
              <w:numPr>
                <w:ilvl w:val="0"/>
                <w:numId w:val="13"/>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Left with posterior mesotympanic retraction pocket (Sade grade 4)</w:t>
            </w:r>
          </w:p>
        </w:tc>
        <w:tc>
          <w:tcPr>
            <w:tcW w:w="1140" w:type="pct"/>
            <w:tcBorders>
              <w:top w:val="single" w:sz="6" w:space="0" w:color="AEAAAA" w:themeColor="background2" w:themeShade="BF"/>
              <w:bottom w:val="single" w:sz="6" w:space="0" w:color="AEAAAA" w:themeColor="background2" w:themeShade="BF"/>
            </w:tcBorders>
            <w:noWrap/>
            <w:hideMark/>
          </w:tcPr>
          <w:p w14:paraId="168F8EE0" w14:textId="4B979B8C" w:rsidR="003E5532" w:rsidRPr="0028117D" w:rsidRDefault="003E5532" w:rsidP="00E56323">
            <w:pPr>
              <w:ind w:left="194"/>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NA</w:t>
            </w:r>
          </w:p>
        </w:tc>
        <w:tc>
          <w:tcPr>
            <w:tcW w:w="1582" w:type="pct"/>
            <w:tcBorders>
              <w:top w:val="single" w:sz="6" w:space="0" w:color="AEAAAA" w:themeColor="background2" w:themeShade="BF"/>
              <w:bottom w:val="single" w:sz="6" w:space="0" w:color="AEAAAA" w:themeColor="background2" w:themeShade="BF"/>
            </w:tcBorders>
            <w:noWrap/>
            <w:hideMark/>
          </w:tcPr>
          <w:p w14:paraId="4FE97AFC" w14:textId="3DDEDD51" w:rsidR="003E5532" w:rsidRPr="0028117D" w:rsidRDefault="003E5532" w:rsidP="00E56323">
            <w:pPr>
              <w:pStyle w:val="ListParagraph"/>
              <w:numPr>
                <w:ilvl w:val="0"/>
                <w:numId w:val="3"/>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Recurrent pearl of cholesteatoma underneath the neck of the malleus, going up to the epitympanum.  </w:t>
            </w:r>
          </w:p>
          <w:p w14:paraId="2FCF9657" w14:textId="432E9844" w:rsidR="003E5532" w:rsidRPr="0028117D" w:rsidRDefault="003E5532" w:rsidP="00E56323">
            <w:pPr>
              <w:pStyle w:val="ListParagraph"/>
              <w:numPr>
                <w:ilvl w:val="0"/>
                <w:numId w:val="3"/>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No facial nerve abnormalities, dehiscence, stimulation, or aberrant course.  Chorda tympani nerve was not present.  Incus and malleus were not present</w:t>
            </w:r>
          </w:p>
        </w:tc>
      </w:tr>
      <w:tr w:rsidR="0028117D" w:rsidRPr="0028117D" w14:paraId="3415D9C4" w14:textId="77777777" w:rsidTr="003E5532">
        <w:trPr>
          <w:trHeight w:val="340"/>
        </w:trPr>
        <w:tc>
          <w:tcPr>
            <w:tcW w:w="157" w:type="pct"/>
            <w:tcBorders>
              <w:top w:val="single" w:sz="6" w:space="0" w:color="AEAAAA" w:themeColor="background2" w:themeShade="BF"/>
              <w:bottom w:val="single" w:sz="6" w:space="0" w:color="AEAAAA" w:themeColor="background2" w:themeShade="BF"/>
            </w:tcBorders>
            <w:noWrap/>
            <w:hideMark/>
          </w:tcPr>
          <w:p w14:paraId="7F76B527" w14:textId="77777777" w:rsidR="003E5532" w:rsidRPr="0028117D" w:rsidRDefault="003E5532" w:rsidP="003E5532">
            <w:pPr>
              <w:jc w:val="center"/>
              <w:rPr>
                <w:rFonts w:ascii="Times New Roman" w:eastAsia="Times New Roman" w:hAnsi="Times New Roman" w:cs="Times New Roman"/>
                <w:b/>
                <w:bCs/>
                <w:sz w:val="18"/>
                <w:szCs w:val="18"/>
              </w:rPr>
            </w:pPr>
            <w:r w:rsidRPr="0028117D">
              <w:rPr>
                <w:rFonts w:ascii="Times New Roman" w:eastAsia="Times New Roman" w:hAnsi="Times New Roman" w:cs="Times New Roman"/>
                <w:b/>
                <w:bCs/>
                <w:sz w:val="18"/>
                <w:szCs w:val="18"/>
              </w:rPr>
              <w:t>3</w:t>
            </w:r>
          </w:p>
        </w:tc>
        <w:tc>
          <w:tcPr>
            <w:tcW w:w="255" w:type="pct"/>
            <w:tcBorders>
              <w:top w:val="single" w:sz="6" w:space="0" w:color="AEAAAA" w:themeColor="background2" w:themeShade="BF"/>
              <w:bottom w:val="single" w:sz="6" w:space="0" w:color="AEAAAA" w:themeColor="background2" w:themeShade="BF"/>
            </w:tcBorders>
            <w:noWrap/>
            <w:hideMark/>
          </w:tcPr>
          <w:p w14:paraId="08109FD1" w14:textId="77777777" w:rsidR="003E5532" w:rsidRPr="0028117D" w:rsidRDefault="003E5532" w:rsidP="003E5532">
            <w:pPr>
              <w:ind w:right="-324" w:hanging="324"/>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Mucosa</w:t>
            </w:r>
          </w:p>
        </w:tc>
        <w:tc>
          <w:tcPr>
            <w:tcW w:w="316" w:type="pct"/>
            <w:tcBorders>
              <w:top w:val="single" w:sz="6" w:space="0" w:color="AEAAAA" w:themeColor="background2" w:themeShade="BF"/>
              <w:bottom w:val="single" w:sz="6" w:space="0" w:color="AEAAAA" w:themeColor="background2" w:themeShade="BF"/>
            </w:tcBorders>
            <w:noWrap/>
            <w:hideMark/>
          </w:tcPr>
          <w:p w14:paraId="40A38DEF"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White</w:t>
            </w:r>
          </w:p>
        </w:tc>
        <w:tc>
          <w:tcPr>
            <w:tcW w:w="190" w:type="pct"/>
            <w:tcBorders>
              <w:top w:val="single" w:sz="6" w:space="0" w:color="AEAAAA" w:themeColor="background2" w:themeShade="BF"/>
              <w:bottom w:val="single" w:sz="6" w:space="0" w:color="AEAAAA" w:themeColor="background2" w:themeShade="BF"/>
            </w:tcBorders>
            <w:noWrap/>
            <w:hideMark/>
          </w:tcPr>
          <w:p w14:paraId="5D88CDC9"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20</w:t>
            </w:r>
          </w:p>
        </w:tc>
        <w:tc>
          <w:tcPr>
            <w:tcW w:w="1360" w:type="pct"/>
            <w:tcBorders>
              <w:top w:val="single" w:sz="6" w:space="0" w:color="AEAAAA" w:themeColor="background2" w:themeShade="BF"/>
              <w:bottom w:val="single" w:sz="6" w:space="0" w:color="AEAAAA" w:themeColor="background2" w:themeShade="BF"/>
            </w:tcBorders>
            <w:noWrap/>
            <w:hideMark/>
          </w:tcPr>
          <w:p w14:paraId="76A1D0DB" w14:textId="678DD39C" w:rsidR="003E5532" w:rsidRPr="0028117D" w:rsidRDefault="003E5532" w:rsidP="00E56323">
            <w:pPr>
              <w:pStyle w:val="ListParagraph"/>
              <w:numPr>
                <w:ilvl w:val="0"/>
                <w:numId w:val="14"/>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Right TM is intact with no inflammation, retraction or perforation noted. Right middle ear is normal; no fluid or cholesteatoma noted. </w:t>
            </w:r>
          </w:p>
          <w:p w14:paraId="644B73A8" w14:textId="49F59A04" w:rsidR="003E5532" w:rsidRPr="0028117D" w:rsidRDefault="003E5532" w:rsidP="00E56323">
            <w:pPr>
              <w:pStyle w:val="ListParagraph"/>
              <w:numPr>
                <w:ilvl w:val="0"/>
                <w:numId w:val="14"/>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Left TM with attic retraction and crusting. Left middle ear with white mass causing bulging of the TM posteriorly</w:t>
            </w:r>
          </w:p>
        </w:tc>
        <w:tc>
          <w:tcPr>
            <w:tcW w:w="1140" w:type="pct"/>
            <w:tcBorders>
              <w:top w:val="single" w:sz="6" w:space="0" w:color="AEAAAA" w:themeColor="background2" w:themeShade="BF"/>
              <w:bottom w:val="single" w:sz="6" w:space="0" w:color="AEAAAA" w:themeColor="background2" w:themeShade="BF"/>
            </w:tcBorders>
            <w:noWrap/>
            <w:hideMark/>
          </w:tcPr>
          <w:p w14:paraId="305432C5" w14:textId="6DF31A07" w:rsidR="003E5532" w:rsidRPr="0028117D" w:rsidRDefault="003E5532" w:rsidP="005F19D3">
            <w:pPr>
              <w:pStyle w:val="ListParagraph"/>
              <w:numPr>
                <w:ilvl w:val="0"/>
                <w:numId w:val="14"/>
              </w:numPr>
              <w:ind w:left="248" w:hanging="27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Left middle ear mass involving epitympanum and mastoid antrum- compatible with cholesteatoma</w:t>
            </w:r>
          </w:p>
          <w:p w14:paraId="3DA0D37E" w14:textId="3E8ED43C" w:rsidR="003E5532" w:rsidRPr="0028117D" w:rsidRDefault="003E5532" w:rsidP="005F19D3">
            <w:pPr>
              <w:pStyle w:val="ListParagraph"/>
              <w:numPr>
                <w:ilvl w:val="0"/>
                <w:numId w:val="9"/>
              </w:numPr>
              <w:ind w:left="248" w:hanging="27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No labyrinthine erosion noted</w:t>
            </w:r>
          </w:p>
        </w:tc>
        <w:tc>
          <w:tcPr>
            <w:tcW w:w="1582" w:type="pct"/>
            <w:tcBorders>
              <w:top w:val="single" w:sz="6" w:space="0" w:color="AEAAAA" w:themeColor="background2" w:themeShade="BF"/>
              <w:bottom w:val="single" w:sz="6" w:space="0" w:color="AEAAAA" w:themeColor="background2" w:themeShade="BF"/>
            </w:tcBorders>
            <w:noWrap/>
            <w:hideMark/>
          </w:tcPr>
          <w:p w14:paraId="282AFFCC" w14:textId="77777777" w:rsidR="003E5532" w:rsidRPr="0028117D" w:rsidRDefault="003E5532" w:rsidP="00E56323">
            <w:pPr>
              <w:pStyle w:val="ListParagraph"/>
              <w:numPr>
                <w:ilvl w:val="0"/>
                <w:numId w:val="4"/>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Extensive middle ear mastoid cholesteatoma. </w:t>
            </w:r>
          </w:p>
          <w:p w14:paraId="72C4CA21" w14:textId="77777777" w:rsidR="003E5532" w:rsidRPr="0028117D" w:rsidRDefault="003E5532" w:rsidP="00E56323">
            <w:pPr>
              <w:pStyle w:val="ListParagraph"/>
              <w:numPr>
                <w:ilvl w:val="0"/>
                <w:numId w:val="4"/>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The cholesteatoma filled the entire middle ear space, at the tympanic spaces, mastoid antrum, and facial recess. </w:t>
            </w:r>
          </w:p>
          <w:p w14:paraId="3699C894" w14:textId="77777777" w:rsidR="003E5532" w:rsidRPr="0028117D" w:rsidRDefault="003E5532" w:rsidP="00E56323">
            <w:pPr>
              <w:pStyle w:val="ListParagraph"/>
              <w:numPr>
                <w:ilvl w:val="0"/>
                <w:numId w:val="4"/>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The cholesteatoma extended into the petrosal portion of the temporal bone </w:t>
            </w:r>
            <w:proofErr w:type="gramStart"/>
            <w:r w:rsidRPr="0028117D">
              <w:rPr>
                <w:rFonts w:ascii="Times New Roman" w:eastAsia="Times New Roman" w:hAnsi="Times New Roman" w:cs="Times New Roman"/>
                <w:sz w:val="18"/>
                <w:szCs w:val="18"/>
              </w:rPr>
              <w:t>in the area of</w:t>
            </w:r>
            <w:proofErr w:type="gramEnd"/>
            <w:r w:rsidRPr="0028117D">
              <w:rPr>
                <w:rFonts w:ascii="Times New Roman" w:eastAsia="Times New Roman" w:hAnsi="Times New Roman" w:cs="Times New Roman"/>
                <w:sz w:val="18"/>
                <w:szCs w:val="18"/>
              </w:rPr>
              <w:t xml:space="preserve"> the geniculate ganglion and medial to the ampulla of the superior semicircular canal. </w:t>
            </w:r>
          </w:p>
          <w:p w14:paraId="5DDE4BFC" w14:textId="028B571E" w:rsidR="003E5532" w:rsidRPr="0028117D" w:rsidRDefault="003E5532" w:rsidP="00E56323">
            <w:pPr>
              <w:pStyle w:val="ListParagraph"/>
              <w:numPr>
                <w:ilvl w:val="0"/>
                <w:numId w:val="4"/>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Gross total tumor removal was accomplished taking extended operative time.</w:t>
            </w:r>
          </w:p>
        </w:tc>
      </w:tr>
      <w:tr w:rsidR="0028117D" w:rsidRPr="0028117D" w14:paraId="7E19C45F" w14:textId="77777777" w:rsidTr="003E5532">
        <w:trPr>
          <w:trHeight w:val="340"/>
        </w:trPr>
        <w:tc>
          <w:tcPr>
            <w:tcW w:w="157" w:type="pct"/>
            <w:tcBorders>
              <w:top w:val="single" w:sz="6" w:space="0" w:color="AEAAAA" w:themeColor="background2" w:themeShade="BF"/>
              <w:bottom w:val="single" w:sz="6" w:space="0" w:color="AEAAAA" w:themeColor="background2" w:themeShade="BF"/>
            </w:tcBorders>
            <w:noWrap/>
            <w:hideMark/>
          </w:tcPr>
          <w:p w14:paraId="454FF82A" w14:textId="77777777" w:rsidR="003E5532" w:rsidRPr="0028117D" w:rsidRDefault="003E5532" w:rsidP="003E5532">
            <w:pPr>
              <w:jc w:val="center"/>
              <w:rPr>
                <w:rFonts w:ascii="Times New Roman" w:eastAsia="Times New Roman" w:hAnsi="Times New Roman" w:cs="Times New Roman"/>
                <w:b/>
                <w:bCs/>
                <w:sz w:val="18"/>
                <w:szCs w:val="18"/>
              </w:rPr>
            </w:pPr>
            <w:r w:rsidRPr="0028117D">
              <w:rPr>
                <w:rFonts w:ascii="Times New Roman" w:eastAsia="Times New Roman" w:hAnsi="Times New Roman" w:cs="Times New Roman"/>
                <w:b/>
                <w:bCs/>
                <w:sz w:val="18"/>
                <w:szCs w:val="18"/>
              </w:rPr>
              <w:t>4</w:t>
            </w:r>
          </w:p>
        </w:tc>
        <w:tc>
          <w:tcPr>
            <w:tcW w:w="255" w:type="pct"/>
            <w:tcBorders>
              <w:top w:val="single" w:sz="6" w:space="0" w:color="AEAAAA" w:themeColor="background2" w:themeShade="BF"/>
              <w:bottom w:val="single" w:sz="6" w:space="0" w:color="AEAAAA" w:themeColor="background2" w:themeShade="BF"/>
            </w:tcBorders>
            <w:noWrap/>
            <w:hideMark/>
          </w:tcPr>
          <w:p w14:paraId="27F0336F"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Chol</w:t>
            </w:r>
          </w:p>
        </w:tc>
        <w:tc>
          <w:tcPr>
            <w:tcW w:w="316" w:type="pct"/>
            <w:tcBorders>
              <w:top w:val="single" w:sz="6" w:space="0" w:color="AEAAAA" w:themeColor="background2" w:themeShade="BF"/>
              <w:bottom w:val="single" w:sz="6" w:space="0" w:color="AEAAAA" w:themeColor="background2" w:themeShade="BF"/>
            </w:tcBorders>
            <w:noWrap/>
            <w:hideMark/>
          </w:tcPr>
          <w:p w14:paraId="0FBB9E9C"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White</w:t>
            </w:r>
          </w:p>
        </w:tc>
        <w:tc>
          <w:tcPr>
            <w:tcW w:w="190" w:type="pct"/>
            <w:tcBorders>
              <w:top w:val="single" w:sz="6" w:space="0" w:color="AEAAAA" w:themeColor="background2" w:themeShade="BF"/>
              <w:bottom w:val="single" w:sz="6" w:space="0" w:color="AEAAAA" w:themeColor="background2" w:themeShade="BF"/>
            </w:tcBorders>
            <w:noWrap/>
            <w:hideMark/>
          </w:tcPr>
          <w:p w14:paraId="2BC08AEF"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61.4</w:t>
            </w:r>
          </w:p>
        </w:tc>
        <w:tc>
          <w:tcPr>
            <w:tcW w:w="1360" w:type="pct"/>
            <w:tcBorders>
              <w:top w:val="single" w:sz="6" w:space="0" w:color="AEAAAA" w:themeColor="background2" w:themeShade="BF"/>
              <w:bottom w:val="single" w:sz="6" w:space="0" w:color="AEAAAA" w:themeColor="background2" w:themeShade="BF"/>
            </w:tcBorders>
            <w:noWrap/>
            <w:hideMark/>
          </w:tcPr>
          <w:p w14:paraId="23C2D356" w14:textId="278CB261" w:rsidR="003E5532" w:rsidRPr="0028117D" w:rsidRDefault="003E5532" w:rsidP="00E56323">
            <w:pPr>
              <w:pStyle w:val="ListParagraph"/>
              <w:numPr>
                <w:ilvl w:val="0"/>
                <w:numId w:val="15"/>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Right TM has an area of debris going under the scutum into </w:t>
            </w:r>
            <w:proofErr w:type="spellStart"/>
            <w:r w:rsidRPr="0028117D">
              <w:rPr>
                <w:rFonts w:ascii="Times New Roman" w:eastAsia="Times New Roman" w:hAnsi="Times New Roman" w:cs="Times New Roman"/>
                <w:sz w:val="18"/>
                <w:szCs w:val="18"/>
              </w:rPr>
              <w:t>P</w:t>
            </w:r>
            <w:r w:rsidR="00106028" w:rsidRPr="0028117D">
              <w:rPr>
                <w:rFonts w:ascii="Times New Roman" w:eastAsia="Times New Roman" w:hAnsi="Times New Roman" w:cs="Times New Roman"/>
                <w:sz w:val="18"/>
                <w:szCs w:val="18"/>
              </w:rPr>
              <w:t>ru</w:t>
            </w:r>
            <w:r w:rsidRPr="0028117D">
              <w:rPr>
                <w:rFonts w:ascii="Times New Roman" w:eastAsia="Times New Roman" w:hAnsi="Times New Roman" w:cs="Times New Roman"/>
                <w:sz w:val="18"/>
                <w:szCs w:val="18"/>
              </w:rPr>
              <w:t>ssak's</w:t>
            </w:r>
            <w:proofErr w:type="spellEnd"/>
            <w:r w:rsidRPr="0028117D">
              <w:rPr>
                <w:rFonts w:ascii="Times New Roman" w:eastAsia="Times New Roman" w:hAnsi="Times New Roman" w:cs="Times New Roman"/>
                <w:sz w:val="18"/>
                <w:szCs w:val="18"/>
              </w:rPr>
              <w:t xml:space="preserve"> space; </w:t>
            </w:r>
            <w:proofErr w:type="gramStart"/>
            <w:r w:rsidRPr="0028117D">
              <w:rPr>
                <w:rFonts w:ascii="Times New Roman" w:eastAsia="Times New Roman" w:hAnsi="Times New Roman" w:cs="Times New Roman"/>
                <w:sz w:val="18"/>
                <w:szCs w:val="18"/>
              </w:rPr>
              <w:t>otherwise</w:t>
            </w:r>
            <w:proofErr w:type="gramEnd"/>
            <w:r w:rsidRPr="0028117D">
              <w:rPr>
                <w:rFonts w:ascii="Times New Roman" w:eastAsia="Times New Roman" w:hAnsi="Times New Roman" w:cs="Times New Roman"/>
                <w:sz w:val="18"/>
                <w:szCs w:val="18"/>
              </w:rPr>
              <w:t xml:space="preserve"> there is normal mobility; no inflammation, retraction or perforation noted. Right middle ear is normal; no fluid or cholesteatoma noted. </w:t>
            </w:r>
          </w:p>
          <w:p w14:paraId="149EB883" w14:textId="3CE6E331" w:rsidR="003E5532" w:rsidRPr="0028117D" w:rsidRDefault="003E5532" w:rsidP="00E56323">
            <w:pPr>
              <w:pStyle w:val="ListParagraph"/>
              <w:numPr>
                <w:ilvl w:val="0"/>
                <w:numId w:val="15"/>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Left TM has normal mobility; no inflammation, retraction or perforation noted. Left middle ear is normal; no fluid or cholesteatoma noted. </w:t>
            </w:r>
          </w:p>
        </w:tc>
        <w:tc>
          <w:tcPr>
            <w:tcW w:w="1140" w:type="pct"/>
            <w:tcBorders>
              <w:top w:val="single" w:sz="6" w:space="0" w:color="AEAAAA" w:themeColor="background2" w:themeShade="BF"/>
              <w:bottom w:val="single" w:sz="6" w:space="0" w:color="AEAAAA" w:themeColor="background2" w:themeShade="BF"/>
            </w:tcBorders>
            <w:noWrap/>
            <w:hideMark/>
          </w:tcPr>
          <w:p w14:paraId="28192A38" w14:textId="79CC0354" w:rsidR="003E5532" w:rsidRPr="0028117D" w:rsidRDefault="003E5532" w:rsidP="005F19D3">
            <w:pP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Cholesteatoma in </w:t>
            </w:r>
            <w:proofErr w:type="spellStart"/>
            <w:r w:rsidRPr="0028117D">
              <w:rPr>
                <w:rFonts w:ascii="Times New Roman" w:eastAsia="Times New Roman" w:hAnsi="Times New Roman" w:cs="Times New Roman"/>
                <w:sz w:val="18"/>
                <w:szCs w:val="18"/>
              </w:rPr>
              <w:t>Prussak's</w:t>
            </w:r>
            <w:proofErr w:type="spellEnd"/>
            <w:r w:rsidRPr="0028117D">
              <w:rPr>
                <w:rFonts w:ascii="Times New Roman" w:eastAsia="Times New Roman" w:hAnsi="Times New Roman" w:cs="Times New Roman"/>
                <w:sz w:val="18"/>
                <w:szCs w:val="18"/>
              </w:rPr>
              <w:t xml:space="preserve"> space with no extension into mastoid antrum</w:t>
            </w:r>
          </w:p>
        </w:tc>
        <w:tc>
          <w:tcPr>
            <w:tcW w:w="1582" w:type="pct"/>
            <w:tcBorders>
              <w:top w:val="single" w:sz="6" w:space="0" w:color="AEAAAA" w:themeColor="background2" w:themeShade="BF"/>
              <w:bottom w:val="single" w:sz="6" w:space="0" w:color="AEAAAA" w:themeColor="background2" w:themeShade="BF"/>
            </w:tcBorders>
            <w:noWrap/>
            <w:hideMark/>
          </w:tcPr>
          <w:p w14:paraId="389B5D61" w14:textId="35A0ABC9" w:rsidR="003E5532" w:rsidRPr="0028117D" w:rsidRDefault="003E5532" w:rsidP="00E56323">
            <w:pPr>
              <w:pStyle w:val="ListParagraph"/>
              <w:numPr>
                <w:ilvl w:val="0"/>
                <w:numId w:val="5"/>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Cholesteatoma present in epitympanum</w:t>
            </w:r>
          </w:p>
          <w:p w14:paraId="68757BC3" w14:textId="04324238" w:rsidR="003E5532" w:rsidRPr="0028117D" w:rsidRDefault="003E5532" w:rsidP="00E56323">
            <w:pPr>
              <w:pStyle w:val="ListParagraph"/>
              <w:numPr>
                <w:ilvl w:val="0"/>
                <w:numId w:val="5"/>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No erosion of ossicles</w:t>
            </w:r>
          </w:p>
        </w:tc>
      </w:tr>
      <w:tr w:rsidR="0028117D" w:rsidRPr="0028117D" w14:paraId="78CB7732" w14:textId="77777777" w:rsidTr="003E5532">
        <w:trPr>
          <w:trHeight w:val="288"/>
        </w:trPr>
        <w:tc>
          <w:tcPr>
            <w:tcW w:w="157" w:type="pct"/>
            <w:tcBorders>
              <w:top w:val="single" w:sz="6" w:space="0" w:color="AEAAAA" w:themeColor="background2" w:themeShade="BF"/>
              <w:bottom w:val="single" w:sz="6" w:space="0" w:color="AEAAAA" w:themeColor="background2" w:themeShade="BF"/>
            </w:tcBorders>
            <w:noWrap/>
            <w:hideMark/>
          </w:tcPr>
          <w:p w14:paraId="3D8F7D3A" w14:textId="77777777" w:rsidR="003E5532" w:rsidRPr="0028117D" w:rsidRDefault="003E5532" w:rsidP="003E5532">
            <w:pPr>
              <w:jc w:val="center"/>
              <w:rPr>
                <w:rFonts w:ascii="Times New Roman" w:eastAsia="Times New Roman" w:hAnsi="Times New Roman" w:cs="Times New Roman"/>
                <w:b/>
                <w:bCs/>
                <w:sz w:val="18"/>
                <w:szCs w:val="18"/>
              </w:rPr>
            </w:pPr>
            <w:r w:rsidRPr="0028117D">
              <w:rPr>
                <w:rFonts w:ascii="Times New Roman" w:eastAsia="Times New Roman" w:hAnsi="Times New Roman" w:cs="Times New Roman"/>
                <w:b/>
                <w:bCs/>
                <w:sz w:val="18"/>
                <w:szCs w:val="18"/>
              </w:rPr>
              <w:t>5</w:t>
            </w:r>
          </w:p>
          <w:p w14:paraId="44C3F8B4" w14:textId="34E5A486" w:rsidR="003E5532" w:rsidRPr="0028117D" w:rsidRDefault="003E5532" w:rsidP="003E5532">
            <w:pPr>
              <w:jc w:val="center"/>
              <w:rPr>
                <w:rFonts w:ascii="Times New Roman" w:eastAsia="Times New Roman" w:hAnsi="Times New Roman" w:cs="Times New Roman"/>
                <w:b/>
                <w:bCs/>
                <w:sz w:val="18"/>
                <w:szCs w:val="18"/>
              </w:rPr>
            </w:pPr>
          </w:p>
          <w:p w14:paraId="2D28FB0A" w14:textId="68E576FA" w:rsidR="003E5532" w:rsidRPr="0028117D" w:rsidRDefault="003E5532" w:rsidP="003E5532">
            <w:pPr>
              <w:jc w:val="center"/>
              <w:rPr>
                <w:rFonts w:ascii="Times New Roman" w:eastAsia="Times New Roman" w:hAnsi="Times New Roman" w:cs="Times New Roman"/>
                <w:b/>
                <w:bCs/>
                <w:sz w:val="18"/>
                <w:szCs w:val="18"/>
              </w:rPr>
            </w:pPr>
          </w:p>
          <w:p w14:paraId="18338CD2" w14:textId="46124DE8" w:rsidR="003E5532" w:rsidRPr="0028117D" w:rsidRDefault="003E5532" w:rsidP="003E5532">
            <w:pPr>
              <w:jc w:val="center"/>
              <w:rPr>
                <w:rFonts w:ascii="Times New Roman" w:eastAsia="Times New Roman" w:hAnsi="Times New Roman" w:cs="Times New Roman"/>
                <w:b/>
                <w:bCs/>
                <w:sz w:val="18"/>
                <w:szCs w:val="18"/>
              </w:rPr>
            </w:pPr>
          </w:p>
        </w:tc>
        <w:tc>
          <w:tcPr>
            <w:tcW w:w="255" w:type="pct"/>
            <w:tcBorders>
              <w:top w:val="single" w:sz="6" w:space="0" w:color="AEAAAA" w:themeColor="background2" w:themeShade="BF"/>
              <w:bottom w:val="single" w:sz="6" w:space="0" w:color="AEAAAA" w:themeColor="background2" w:themeShade="BF"/>
            </w:tcBorders>
            <w:noWrap/>
            <w:hideMark/>
          </w:tcPr>
          <w:p w14:paraId="0CAE1422"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Chol</w:t>
            </w:r>
          </w:p>
          <w:p w14:paraId="0D47068A" w14:textId="47438523" w:rsidR="003E5532" w:rsidRPr="0028117D" w:rsidRDefault="003E5532" w:rsidP="003E5532">
            <w:pPr>
              <w:jc w:val="center"/>
              <w:rPr>
                <w:rFonts w:ascii="Times New Roman" w:eastAsia="Times New Roman" w:hAnsi="Times New Roman" w:cs="Times New Roman"/>
                <w:sz w:val="18"/>
                <w:szCs w:val="18"/>
              </w:rPr>
            </w:pPr>
          </w:p>
          <w:p w14:paraId="78D299B9" w14:textId="045770FA" w:rsidR="003E5532" w:rsidRPr="0028117D" w:rsidRDefault="003E5532" w:rsidP="003E5532">
            <w:pPr>
              <w:jc w:val="center"/>
              <w:rPr>
                <w:rFonts w:ascii="Times New Roman" w:eastAsia="Times New Roman" w:hAnsi="Times New Roman" w:cs="Times New Roman"/>
                <w:sz w:val="18"/>
                <w:szCs w:val="18"/>
              </w:rPr>
            </w:pPr>
          </w:p>
          <w:p w14:paraId="426033E3" w14:textId="2995D175" w:rsidR="003E5532" w:rsidRPr="0028117D" w:rsidRDefault="003E5532" w:rsidP="003E5532">
            <w:pPr>
              <w:jc w:val="center"/>
              <w:rPr>
                <w:rFonts w:ascii="Times New Roman" w:eastAsia="Times New Roman" w:hAnsi="Times New Roman" w:cs="Times New Roman"/>
                <w:sz w:val="18"/>
                <w:szCs w:val="18"/>
              </w:rPr>
            </w:pPr>
          </w:p>
        </w:tc>
        <w:tc>
          <w:tcPr>
            <w:tcW w:w="316" w:type="pct"/>
            <w:tcBorders>
              <w:top w:val="single" w:sz="6" w:space="0" w:color="AEAAAA" w:themeColor="background2" w:themeShade="BF"/>
              <w:bottom w:val="single" w:sz="6" w:space="0" w:color="AEAAAA" w:themeColor="background2" w:themeShade="BF"/>
            </w:tcBorders>
            <w:noWrap/>
            <w:hideMark/>
          </w:tcPr>
          <w:p w14:paraId="67AFFAB3"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White</w:t>
            </w:r>
          </w:p>
          <w:p w14:paraId="65318CBA" w14:textId="5FDFB512" w:rsidR="003E5532" w:rsidRPr="0028117D" w:rsidRDefault="003E5532" w:rsidP="003E5532">
            <w:pPr>
              <w:jc w:val="center"/>
              <w:rPr>
                <w:rFonts w:ascii="Times New Roman" w:eastAsia="Times New Roman" w:hAnsi="Times New Roman" w:cs="Times New Roman"/>
                <w:sz w:val="18"/>
                <w:szCs w:val="18"/>
              </w:rPr>
            </w:pPr>
          </w:p>
          <w:p w14:paraId="38F0A465" w14:textId="2432704C" w:rsidR="003E5532" w:rsidRPr="0028117D" w:rsidRDefault="003E5532" w:rsidP="003E5532">
            <w:pPr>
              <w:jc w:val="center"/>
              <w:rPr>
                <w:rFonts w:ascii="Times New Roman" w:eastAsia="Times New Roman" w:hAnsi="Times New Roman" w:cs="Times New Roman"/>
                <w:sz w:val="18"/>
                <w:szCs w:val="18"/>
              </w:rPr>
            </w:pPr>
          </w:p>
          <w:p w14:paraId="02DF94F5" w14:textId="3E0AD7A5" w:rsidR="003E5532" w:rsidRPr="0028117D" w:rsidRDefault="003E5532" w:rsidP="003E5532">
            <w:pPr>
              <w:jc w:val="center"/>
              <w:rPr>
                <w:rFonts w:ascii="Times New Roman" w:eastAsia="Times New Roman" w:hAnsi="Times New Roman" w:cs="Times New Roman"/>
                <w:sz w:val="18"/>
                <w:szCs w:val="18"/>
              </w:rPr>
            </w:pPr>
          </w:p>
        </w:tc>
        <w:tc>
          <w:tcPr>
            <w:tcW w:w="190" w:type="pct"/>
            <w:tcBorders>
              <w:top w:val="single" w:sz="6" w:space="0" w:color="AEAAAA" w:themeColor="background2" w:themeShade="BF"/>
              <w:bottom w:val="single" w:sz="6" w:space="0" w:color="AEAAAA" w:themeColor="background2" w:themeShade="BF"/>
            </w:tcBorders>
            <w:noWrap/>
            <w:hideMark/>
          </w:tcPr>
          <w:p w14:paraId="56621B72"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66.4</w:t>
            </w:r>
          </w:p>
          <w:p w14:paraId="0CC3D736" w14:textId="40FFAC15" w:rsidR="003E5532" w:rsidRPr="0028117D" w:rsidRDefault="003E5532" w:rsidP="003E5532">
            <w:pPr>
              <w:jc w:val="center"/>
              <w:rPr>
                <w:rFonts w:ascii="Times New Roman" w:eastAsia="Times New Roman" w:hAnsi="Times New Roman" w:cs="Times New Roman"/>
                <w:sz w:val="18"/>
                <w:szCs w:val="18"/>
              </w:rPr>
            </w:pPr>
          </w:p>
          <w:p w14:paraId="5023E139" w14:textId="2B7984FC" w:rsidR="003E5532" w:rsidRPr="0028117D" w:rsidRDefault="003E5532" w:rsidP="003E5532">
            <w:pPr>
              <w:jc w:val="center"/>
              <w:rPr>
                <w:rFonts w:ascii="Times New Roman" w:eastAsia="Times New Roman" w:hAnsi="Times New Roman" w:cs="Times New Roman"/>
                <w:sz w:val="18"/>
                <w:szCs w:val="18"/>
              </w:rPr>
            </w:pPr>
          </w:p>
          <w:p w14:paraId="0B8420CD" w14:textId="6FEF8BD7" w:rsidR="003E5532" w:rsidRPr="0028117D" w:rsidRDefault="003E5532" w:rsidP="003E5532">
            <w:pPr>
              <w:jc w:val="center"/>
              <w:rPr>
                <w:rFonts w:ascii="Times New Roman" w:eastAsia="Times New Roman" w:hAnsi="Times New Roman" w:cs="Times New Roman"/>
                <w:sz w:val="18"/>
                <w:szCs w:val="18"/>
              </w:rPr>
            </w:pPr>
          </w:p>
        </w:tc>
        <w:tc>
          <w:tcPr>
            <w:tcW w:w="1360" w:type="pct"/>
            <w:tcBorders>
              <w:top w:val="single" w:sz="6" w:space="0" w:color="AEAAAA" w:themeColor="background2" w:themeShade="BF"/>
              <w:bottom w:val="single" w:sz="6" w:space="0" w:color="AEAAAA" w:themeColor="background2" w:themeShade="BF"/>
            </w:tcBorders>
            <w:noWrap/>
            <w:hideMark/>
          </w:tcPr>
          <w:p w14:paraId="2F80A8F6" w14:textId="123948EE" w:rsidR="003E5532" w:rsidRPr="0028117D" w:rsidRDefault="003E5532" w:rsidP="00E56323">
            <w:pPr>
              <w:pStyle w:val="ListParagraph"/>
              <w:numPr>
                <w:ilvl w:val="0"/>
                <w:numId w:val="16"/>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Right TM has normal mobility; no inflammation, has retraction under the scutum noted. Right middle ear is normal; no fluid or cholesteatoma noted.</w:t>
            </w:r>
          </w:p>
          <w:p w14:paraId="66EB0AD3" w14:textId="7A8FA6E9" w:rsidR="003E5532" w:rsidRPr="0028117D" w:rsidRDefault="003E5532" w:rsidP="00E56323">
            <w:pPr>
              <w:pStyle w:val="ListParagraph"/>
              <w:numPr>
                <w:ilvl w:val="0"/>
                <w:numId w:val="16"/>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Left TM has normal mobility; no inflammation, retraction or perforation noted. Left middle ear is normal; no fluid or cholesteatoma noted. </w:t>
            </w:r>
          </w:p>
        </w:tc>
        <w:tc>
          <w:tcPr>
            <w:tcW w:w="1140" w:type="pct"/>
            <w:tcBorders>
              <w:top w:val="single" w:sz="6" w:space="0" w:color="AEAAAA" w:themeColor="background2" w:themeShade="BF"/>
              <w:bottom w:val="single" w:sz="6" w:space="0" w:color="AEAAAA" w:themeColor="background2" w:themeShade="BF"/>
            </w:tcBorders>
            <w:noWrap/>
            <w:hideMark/>
          </w:tcPr>
          <w:p w14:paraId="2E42AD43" w14:textId="38B1A523" w:rsidR="003E5532" w:rsidRPr="0028117D" w:rsidRDefault="003E5532" w:rsidP="00E56323">
            <w:pPr>
              <w:pStyle w:val="ListParagraph"/>
              <w:numPr>
                <w:ilvl w:val="0"/>
                <w:numId w:val="11"/>
              </w:numPr>
              <w:ind w:left="194"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Right EAC soft tissue alongside retracted and thickened TM with lateral epitympanic soft tissue and associated partial osseous erosions of the scutum and ossicles as above</w:t>
            </w:r>
          </w:p>
          <w:p w14:paraId="147B368D" w14:textId="5FADEBFA" w:rsidR="003E5532" w:rsidRPr="0028117D" w:rsidRDefault="003E5532" w:rsidP="00E56323">
            <w:pPr>
              <w:pStyle w:val="ListParagraph"/>
              <w:numPr>
                <w:ilvl w:val="0"/>
                <w:numId w:val="11"/>
              </w:numPr>
              <w:ind w:left="194"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Findings most suspicious for cholesteatoma</w:t>
            </w:r>
          </w:p>
        </w:tc>
        <w:tc>
          <w:tcPr>
            <w:tcW w:w="1582" w:type="pct"/>
            <w:tcBorders>
              <w:top w:val="single" w:sz="6" w:space="0" w:color="AEAAAA" w:themeColor="background2" w:themeShade="BF"/>
              <w:bottom w:val="single" w:sz="6" w:space="0" w:color="AEAAAA" w:themeColor="background2" w:themeShade="BF"/>
            </w:tcBorders>
            <w:noWrap/>
            <w:hideMark/>
          </w:tcPr>
          <w:p w14:paraId="55E88D5F" w14:textId="6459EC39" w:rsidR="003E5532" w:rsidRPr="0028117D" w:rsidRDefault="003E5532" w:rsidP="00E56323">
            <w:pPr>
              <w:pStyle w:val="ListParagraph"/>
              <w:numPr>
                <w:ilvl w:val="0"/>
                <w:numId w:val="6"/>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Left TM is retracted but stable</w:t>
            </w:r>
          </w:p>
          <w:p w14:paraId="558460A8" w14:textId="6947515A" w:rsidR="003E5532" w:rsidRPr="0028117D" w:rsidRDefault="003E5532" w:rsidP="00E56323">
            <w:pPr>
              <w:pStyle w:val="ListParagraph"/>
              <w:numPr>
                <w:ilvl w:val="0"/>
                <w:numId w:val="6"/>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Keratinaceous debris consistent with cholesteatoma within a deep posterosuperior retraction pocket. There was extension laterally into the EAC deep to the mucosa but without significant bony destruction  </w:t>
            </w:r>
          </w:p>
          <w:p w14:paraId="527D037E" w14:textId="53BFA93C" w:rsidR="003E5532" w:rsidRPr="0028117D" w:rsidRDefault="003E5532" w:rsidP="00E56323">
            <w:pPr>
              <w:pStyle w:val="ListParagraph"/>
              <w:numPr>
                <w:ilvl w:val="0"/>
                <w:numId w:val="6"/>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Prior cartilage graft involved in cholesteatoma</w:t>
            </w:r>
          </w:p>
          <w:p w14:paraId="20FBD949" w14:textId="0D499D6C" w:rsidR="003E5532" w:rsidRPr="0028117D" w:rsidRDefault="003E5532" w:rsidP="00E56323">
            <w:pPr>
              <w:pStyle w:val="ListParagraph"/>
              <w:numPr>
                <w:ilvl w:val="0"/>
                <w:numId w:val="6"/>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Malleus, incus interposition graft, and stapes present, but not in continuity. No cholesteatoma involvement of the ossicles</w:t>
            </w:r>
          </w:p>
        </w:tc>
      </w:tr>
      <w:tr w:rsidR="0028117D" w:rsidRPr="0028117D" w14:paraId="13D4B070" w14:textId="77777777" w:rsidTr="00106028">
        <w:trPr>
          <w:trHeight w:val="1736"/>
        </w:trPr>
        <w:tc>
          <w:tcPr>
            <w:tcW w:w="157" w:type="pct"/>
            <w:tcBorders>
              <w:top w:val="single" w:sz="6" w:space="0" w:color="AEAAAA" w:themeColor="background2" w:themeShade="BF"/>
              <w:bottom w:val="single" w:sz="4" w:space="0" w:color="auto"/>
            </w:tcBorders>
            <w:noWrap/>
            <w:hideMark/>
          </w:tcPr>
          <w:p w14:paraId="30A8A36A" w14:textId="77777777" w:rsidR="003E5532" w:rsidRPr="0028117D" w:rsidRDefault="003E5532" w:rsidP="003E5532">
            <w:pPr>
              <w:jc w:val="center"/>
              <w:rPr>
                <w:rFonts w:ascii="Times New Roman" w:eastAsia="Times New Roman" w:hAnsi="Times New Roman" w:cs="Times New Roman"/>
                <w:b/>
                <w:bCs/>
                <w:sz w:val="18"/>
                <w:szCs w:val="18"/>
              </w:rPr>
            </w:pPr>
            <w:r w:rsidRPr="0028117D">
              <w:rPr>
                <w:rFonts w:ascii="Times New Roman" w:eastAsia="Times New Roman" w:hAnsi="Times New Roman" w:cs="Times New Roman"/>
                <w:b/>
                <w:bCs/>
                <w:sz w:val="18"/>
                <w:szCs w:val="18"/>
              </w:rPr>
              <w:lastRenderedPageBreak/>
              <w:t>6</w:t>
            </w:r>
          </w:p>
        </w:tc>
        <w:tc>
          <w:tcPr>
            <w:tcW w:w="255" w:type="pct"/>
            <w:tcBorders>
              <w:top w:val="single" w:sz="6" w:space="0" w:color="AEAAAA" w:themeColor="background2" w:themeShade="BF"/>
              <w:bottom w:val="single" w:sz="4" w:space="0" w:color="auto"/>
            </w:tcBorders>
            <w:noWrap/>
            <w:hideMark/>
          </w:tcPr>
          <w:p w14:paraId="5091E2DD" w14:textId="77777777" w:rsidR="003E5532" w:rsidRPr="0028117D" w:rsidRDefault="003E5532" w:rsidP="003E5532">
            <w:pPr>
              <w:ind w:right="-324" w:hanging="324"/>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Mucosa</w:t>
            </w:r>
          </w:p>
        </w:tc>
        <w:tc>
          <w:tcPr>
            <w:tcW w:w="316" w:type="pct"/>
            <w:tcBorders>
              <w:top w:val="single" w:sz="6" w:space="0" w:color="AEAAAA" w:themeColor="background2" w:themeShade="BF"/>
              <w:bottom w:val="single" w:sz="4" w:space="0" w:color="auto"/>
            </w:tcBorders>
            <w:noWrap/>
            <w:hideMark/>
          </w:tcPr>
          <w:p w14:paraId="60F952CE"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White</w:t>
            </w:r>
          </w:p>
        </w:tc>
        <w:tc>
          <w:tcPr>
            <w:tcW w:w="190" w:type="pct"/>
            <w:tcBorders>
              <w:top w:val="single" w:sz="6" w:space="0" w:color="AEAAAA" w:themeColor="background2" w:themeShade="BF"/>
              <w:bottom w:val="single" w:sz="4" w:space="0" w:color="auto"/>
            </w:tcBorders>
            <w:noWrap/>
            <w:hideMark/>
          </w:tcPr>
          <w:p w14:paraId="57EA97BB" w14:textId="77777777" w:rsidR="003E5532" w:rsidRPr="0028117D" w:rsidRDefault="003E5532" w:rsidP="003E5532">
            <w:pPr>
              <w:jc w:val="cente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77.3</w:t>
            </w:r>
          </w:p>
        </w:tc>
        <w:tc>
          <w:tcPr>
            <w:tcW w:w="1360" w:type="pct"/>
            <w:tcBorders>
              <w:top w:val="single" w:sz="6" w:space="0" w:color="AEAAAA" w:themeColor="background2" w:themeShade="BF"/>
              <w:bottom w:val="single" w:sz="4" w:space="0" w:color="auto"/>
            </w:tcBorders>
            <w:noWrap/>
            <w:hideMark/>
          </w:tcPr>
          <w:p w14:paraId="55AFFBA0" w14:textId="63F98579" w:rsidR="003E5532" w:rsidRPr="0028117D" w:rsidRDefault="003E5532" w:rsidP="00E56323">
            <w:pPr>
              <w:pStyle w:val="ListParagraph"/>
              <w:numPr>
                <w:ilvl w:val="0"/>
                <w:numId w:val="17"/>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Right TM is intact with no inflammation, retraction or perforation noted. Right middle ear is normal; no fluid or cholesteatoma noted</w:t>
            </w:r>
          </w:p>
          <w:p w14:paraId="5DCBB42D" w14:textId="1BFFF9B6" w:rsidR="003E5532" w:rsidRPr="0028117D" w:rsidRDefault="003E5532" w:rsidP="00E56323">
            <w:pPr>
              <w:pStyle w:val="ListParagraph"/>
              <w:numPr>
                <w:ilvl w:val="0"/>
                <w:numId w:val="17"/>
              </w:numPr>
              <w:ind w:left="162"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Left TM has a posterior TM perforation with keratin debris tracking in the undersurface of the TM.  The TM is thicker than normal and opaque so unclear the extent of cholesteatoma. Left middle ear could not be assessed</w:t>
            </w:r>
          </w:p>
        </w:tc>
        <w:tc>
          <w:tcPr>
            <w:tcW w:w="1140" w:type="pct"/>
            <w:tcBorders>
              <w:top w:val="single" w:sz="6" w:space="0" w:color="AEAAAA" w:themeColor="background2" w:themeShade="BF"/>
              <w:bottom w:val="single" w:sz="4" w:space="0" w:color="auto"/>
            </w:tcBorders>
            <w:noWrap/>
            <w:hideMark/>
          </w:tcPr>
          <w:p w14:paraId="6C08FFB2" w14:textId="23203CF9" w:rsidR="003E5532" w:rsidRPr="0028117D" w:rsidRDefault="003E5532" w:rsidP="005F19D3">
            <w:pPr>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Soft tissue within the left middle ear with possible erosion of the stapes crura, which could represent granulation tissue or cholesteatoma</w:t>
            </w:r>
          </w:p>
        </w:tc>
        <w:tc>
          <w:tcPr>
            <w:tcW w:w="1582" w:type="pct"/>
            <w:tcBorders>
              <w:top w:val="single" w:sz="6" w:space="0" w:color="AEAAAA" w:themeColor="background2" w:themeShade="BF"/>
              <w:bottom w:val="single" w:sz="4" w:space="0" w:color="auto"/>
            </w:tcBorders>
            <w:noWrap/>
            <w:hideMark/>
          </w:tcPr>
          <w:p w14:paraId="0C0122B2" w14:textId="77777777" w:rsidR="003E5532" w:rsidRPr="0028117D" w:rsidRDefault="003E5532" w:rsidP="00E56323">
            <w:pPr>
              <w:pStyle w:val="ListParagraph"/>
              <w:numPr>
                <w:ilvl w:val="0"/>
                <w:numId w:val="8"/>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 xml:space="preserve">Small posterior superior quadrant perforation with extensive </w:t>
            </w:r>
            <w:proofErr w:type="spellStart"/>
            <w:r w:rsidRPr="0028117D">
              <w:rPr>
                <w:rFonts w:ascii="Times New Roman" w:eastAsia="Times New Roman" w:hAnsi="Times New Roman" w:cs="Times New Roman"/>
                <w:sz w:val="18"/>
                <w:szCs w:val="18"/>
              </w:rPr>
              <w:t>cholesteatosis</w:t>
            </w:r>
            <w:proofErr w:type="spellEnd"/>
            <w:r w:rsidRPr="0028117D">
              <w:rPr>
                <w:rFonts w:ascii="Times New Roman" w:eastAsia="Times New Roman" w:hAnsi="Times New Roman" w:cs="Times New Roman"/>
                <w:sz w:val="18"/>
                <w:szCs w:val="18"/>
              </w:rPr>
              <w:t xml:space="preserve"> of the middle ear</w:t>
            </w:r>
          </w:p>
          <w:p w14:paraId="218575A0" w14:textId="08477D8A" w:rsidR="003E5532" w:rsidRPr="0028117D" w:rsidRDefault="003E5532" w:rsidP="00E56323">
            <w:pPr>
              <w:pStyle w:val="ListParagraph"/>
              <w:numPr>
                <w:ilvl w:val="0"/>
                <w:numId w:val="8"/>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Cholesteatoma tracked to involve the undersurface of the entire eardrum as well as to make deposits within the middle ear space.  There was no encapsulated cyst</w:t>
            </w:r>
          </w:p>
          <w:p w14:paraId="7E1572DD" w14:textId="77777777" w:rsidR="003E5532" w:rsidRPr="0028117D" w:rsidRDefault="003E5532" w:rsidP="00E56323">
            <w:pPr>
              <w:pStyle w:val="ListParagraph"/>
              <w:numPr>
                <w:ilvl w:val="0"/>
                <w:numId w:val="8"/>
              </w:numPr>
              <w:ind w:left="226" w:hanging="180"/>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Ossicular chain was found to be intact</w:t>
            </w:r>
          </w:p>
          <w:p w14:paraId="30464BBF" w14:textId="421FF1EF" w:rsidR="003E5532" w:rsidRPr="0028117D" w:rsidRDefault="003E5532" w:rsidP="003E5532">
            <w:pPr>
              <w:pStyle w:val="ListParagraph"/>
              <w:numPr>
                <w:ilvl w:val="0"/>
                <w:numId w:val="8"/>
              </w:numPr>
              <w:ind w:left="230" w:hanging="187"/>
              <w:rPr>
                <w:rFonts w:ascii="Times New Roman" w:eastAsia="Times New Roman" w:hAnsi="Times New Roman" w:cs="Times New Roman"/>
                <w:sz w:val="18"/>
                <w:szCs w:val="18"/>
              </w:rPr>
            </w:pPr>
            <w:r w:rsidRPr="0028117D">
              <w:rPr>
                <w:rFonts w:ascii="Times New Roman" w:eastAsia="Times New Roman" w:hAnsi="Times New Roman" w:cs="Times New Roman"/>
                <w:sz w:val="18"/>
                <w:szCs w:val="18"/>
              </w:rPr>
              <w:t>No cholesteatoma found within the mastoid antrum or epitympanum</w:t>
            </w:r>
          </w:p>
        </w:tc>
      </w:tr>
      <w:tr w:rsidR="00106028" w:rsidRPr="0028117D" w14:paraId="27C313BF" w14:textId="77777777" w:rsidTr="00106028">
        <w:trPr>
          <w:trHeight w:val="309"/>
        </w:trPr>
        <w:tc>
          <w:tcPr>
            <w:tcW w:w="5000" w:type="pct"/>
            <w:gridSpan w:val="7"/>
            <w:tcBorders>
              <w:top w:val="single" w:sz="4" w:space="0" w:color="auto"/>
              <w:bottom w:val="single" w:sz="12" w:space="0" w:color="000000" w:themeColor="text1"/>
            </w:tcBorders>
            <w:noWrap/>
          </w:tcPr>
          <w:p w14:paraId="11DEB499" w14:textId="5971B6CC" w:rsidR="00106028" w:rsidRPr="0028117D" w:rsidRDefault="00106028" w:rsidP="00106028">
            <w:pPr>
              <w:rPr>
                <w:rFonts w:ascii="Times New Roman" w:eastAsia="Times New Roman" w:hAnsi="Times New Roman" w:cs="Times New Roman"/>
                <w:sz w:val="20"/>
                <w:szCs w:val="20"/>
              </w:rPr>
            </w:pPr>
            <w:r w:rsidRPr="0028117D">
              <w:rPr>
                <w:rFonts w:ascii="Times New Roman" w:hAnsi="Times New Roman" w:cs="Times New Roman"/>
                <w:sz w:val="20"/>
                <w:szCs w:val="20"/>
              </w:rPr>
              <w:t>Chol: cholesteatoma; CT: computed tomography; EAC: external auditory canal; TM: tympanic membrane. All six recruited patients are male.</w:t>
            </w:r>
          </w:p>
        </w:tc>
      </w:tr>
    </w:tbl>
    <w:p w14:paraId="07D5BCA0" w14:textId="389F7C56" w:rsidR="00FD2CB9" w:rsidRPr="0028117D" w:rsidRDefault="00FD2CB9" w:rsidP="00E56323">
      <w:pPr>
        <w:rPr>
          <w:rFonts w:ascii="Times New Roman" w:hAnsi="Times New Roman" w:cs="Times New Roman"/>
        </w:rPr>
      </w:pPr>
    </w:p>
    <w:p w14:paraId="33F9097E" w14:textId="77777777" w:rsidR="00FD2CB9" w:rsidRPr="0028117D" w:rsidRDefault="00FD2CB9">
      <w:r w:rsidRPr="0028117D">
        <w:br w:type="page"/>
      </w:r>
    </w:p>
    <w:p w14:paraId="1020CA61" w14:textId="64B3028B" w:rsidR="00B351C3" w:rsidRPr="0028117D" w:rsidRDefault="00B351C3" w:rsidP="00B351C3">
      <w:pPr>
        <w:rPr>
          <w:rFonts w:ascii="Times New Roman" w:hAnsi="Times New Roman" w:cs="Times New Roman"/>
          <w:b/>
          <w:bCs/>
        </w:rPr>
      </w:pPr>
    </w:p>
    <w:tbl>
      <w:tblPr>
        <w:tblStyle w:val="TableGrid1"/>
        <w:tblpPr w:leftFromText="180" w:rightFromText="180" w:vertAnchor="page" w:horzAnchor="margin" w:tblpXSpec="center" w:tblpY="1132"/>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250"/>
      </w:tblGrid>
      <w:tr w:rsidR="0028117D" w:rsidRPr="0028117D" w14:paraId="20F466A9" w14:textId="77777777" w:rsidTr="00835EA7">
        <w:trPr>
          <w:trHeight w:val="360"/>
        </w:trPr>
        <w:tc>
          <w:tcPr>
            <w:tcW w:w="7110" w:type="dxa"/>
            <w:gridSpan w:val="2"/>
            <w:tcBorders>
              <w:bottom w:val="single" w:sz="4" w:space="0" w:color="auto"/>
            </w:tcBorders>
            <w:noWrap/>
          </w:tcPr>
          <w:p w14:paraId="631E6ACF" w14:textId="16235650" w:rsidR="00835EA7" w:rsidRPr="0028117D" w:rsidRDefault="00835EA7" w:rsidP="00816113">
            <w:pPr>
              <w:jc w:val="center"/>
              <w:rPr>
                <w:rFonts w:ascii="Times New Roman" w:eastAsia="Times New Roman" w:hAnsi="Times New Roman" w:cs="Times New Roman"/>
                <w:b/>
                <w:bCs/>
              </w:rPr>
            </w:pPr>
            <w:r w:rsidRPr="0028117D">
              <w:rPr>
                <w:rFonts w:ascii="Times New Roman" w:hAnsi="Times New Roman" w:cs="Times New Roman"/>
                <w:b/>
                <w:bCs/>
              </w:rPr>
              <w:t xml:space="preserve">Supplementary Table 2. Pathways from network analysis that overlapped between </w:t>
            </w:r>
            <w:proofErr w:type="spellStart"/>
            <w:r w:rsidRPr="0028117D">
              <w:rPr>
                <w:rFonts w:ascii="Times New Roman" w:hAnsi="Times New Roman" w:cs="Times New Roman"/>
                <w:b/>
                <w:bCs/>
              </w:rPr>
              <w:t>Baschal</w:t>
            </w:r>
            <w:proofErr w:type="spellEnd"/>
            <w:r w:rsidRPr="0028117D">
              <w:rPr>
                <w:rFonts w:ascii="Times New Roman" w:hAnsi="Times New Roman" w:cs="Times New Roman"/>
                <w:b/>
                <w:bCs/>
              </w:rPr>
              <w:t xml:space="preserve"> et al. 2020 and this study</w:t>
            </w:r>
          </w:p>
        </w:tc>
      </w:tr>
      <w:tr w:rsidR="0028117D" w:rsidRPr="0028117D" w14:paraId="493EF2F9" w14:textId="77777777" w:rsidTr="00835EA7">
        <w:trPr>
          <w:trHeight w:val="360"/>
        </w:trPr>
        <w:tc>
          <w:tcPr>
            <w:tcW w:w="4860" w:type="dxa"/>
            <w:tcBorders>
              <w:top w:val="single" w:sz="4" w:space="0" w:color="auto"/>
              <w:bottom w:val="single" w:sz="6" w:space="0" w:color="auto"/>
            </w:tcBorders>
            <w:noWrap/>
            <w:hideMark/>
          </w:tcPr>
          <w:p w14:paraId="55009426" w14:textId="77777777" w:rsidR="00B351C3" w:rsidRPr="0028117D" w:rsidRDefault="00B351C3" w:rsidP="00816113">
            <w:pPr>
              <w:jc w:val="center"/>
              <w:rPr>
                <w:rFonts w:ascii="Times New Roman" w:eastAsia="Times New Roman" w:hAnsi="Times New Roman" w:cs="Times New Roman"/>
                <w:b/>
                <w:bCs/>
              </w:rPr>
            </w:pPr>
            <w:r w:rsidRPr="0028117D">
              <w:rPr>
                <w:rFonts w:ascii="Times New Roman" w:eastAsia="Times New Roman" w:hAnsi="Times New Roman" w:cs="Times New Roman"/>
                <w:b/>
                <w:bCs/>
              </w:rPr>
              <w:t>Pathway</w:t>
            </w:r>
          </w:p>
        </w:tc>
        <w:tc>
          <w:tcPr>
            <w:tcW w:w="2250" w:type="dxa"/>
            <w:tcBorders>
              <w:top w:val="single" w:sz="4" w:space="0" w:color="auto"/>
              <w:bottom w:val="single" w:sz="6" w:space="0" w:color="auto"/>
            </w:tcBorders>
            <w:noWrap/>
            <w:hideMark/>
          </w:tcPr>
          <w:p w14:paraId="12405664" w14:textId="4E948981" w:rsidR="00B351C3" w:rsidRPr="0028117D" w:rsidRDefault="00B351C3" w:rsidP="00816113">
            <w:pPr>
              <w:jc w:val="center"/>
              <w:rPr>
                <w:rFonts w:ascii="Times New Roman" w:eastAsia="Times New Roman" w:hAnsi="Times New Roman" w:cs="Times New Roman"/>
                <w:b/>
                <w:bCs/>
                <w:i/>
                <w:iCs/>
              </w:rPr>
            </w:pPr>
            <w:r w:rsidRPr="0028117D">
              <w:rPr>
                <w:rFonts w:ascii="Times New Roman" w:eastAsia="Times New Roman" w:hAnsi="Times New Roman" w:cs="Times New Roman"/>
                <w:b/>
                <w:bCs/>
              </w:rPr>
              <w:t>FDR</w:t>
            </w:r>
            <w:r w:rsidR="005F19D3" w:rsidRPr="0028117D">
              <w:rPr>
                <w:rFonts w:ascii="Times New Roman" w:eastAsia="Times New Roman" w:hAnsi="Times New Roman" w:cs="Times New Roman"/>
                <w:b/>
                <w:bCs/>
              </w:rPr>
              <w:t>-adj-</w:t>
            </w:r>
            <w:r w:rsidR="005F19D3" w:rsidRPr="0028117D">
              <w:rPr>
                <w:rFonts w:ascii="Times New Roman" w:eastAsia="Times New Roman" w:hAnsi="Times New Roman" w:cs="Times New Roman"/>
                <w:b/>
                <w:bCs/>
                <w:i/>
                <w:iCs/>
              </w:rPr>
              <w:t>p</w:t>
            </w:r>
            <w:r w:rsidR="001F5530" w:rsidRPr="0028117D">
              <w:rPr>
                <w:rFonts w:ascii="Times New Roman" w:eastAsia="Times New Roman" w:hAnsi="Times New Roman" w:cs="Times New Roman"/>
                <w:b/>
                <w:bCs/>
                <w:i/>
                <w:iCs/>
              </w:rPr>
              <w:t>*</w:t>
            </w:r>
          </w:p>
        </w:tc>
      </w:tr>
      <w:tr w:rsidR="0028117D" w:rsidRPr="0028117D" w14:paraId="7A8C6E9C" w14:textId="77777777" w:rsidTr="00835EA7">
        <w:trPr>
          <w:trHeight w:val="360"/>
        </w:trPr>
        <w:tc>
          <w:tcPr>
            <w:tcW w:w="4860" w:type="dxa"/>
            <w:tcBorders>
              <w:top w:val="single" w:sz="6" w:space="0" w:color="auto"/>
            </w:tcBorders>
            <w:noWrap/>
            <w:hideMark/>
          </w:tcPr>
          <w:p w14:paraId="0EFC2096"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Endocytosis</w:t>
            </w:r>
          </w:p>
        </w:tc>
        <w:tc>
          <w:tcPr>
            <w:tcW w:w="2250" w:type="dxa"/>
            <w:tcBorders>
              <w:top w:val="single" w:sz="6" w:space="0" w:color="auto"/>
            </w:tcBorders>
            <w:noWrap/>
            <w:hideMark/>
          </w:tcPr>
          <w:p w14:paraId="797AE412"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2.96x10</w:t>
            </w:r>
            <w:r w:rsidRPr="0028117D">
              <w:rPr>
                <w:rFonts w:ascii="Times New Roman" w:eastAsia="Times New Roman" w:hAnsi="Times New Roman" w:cs="Times New Roman"/>
                <w:vertAlign w:val="superscript"/>
              </w:rPr>
              <w:t>-17</w:t>
            </w:r>
          </w:p>
        </w:tc>
      </w:tr>
      <w:tr w:rsidR="0028117D" w:rsidRPr="0028117D" w14:paraId="4316B5DB" w14:textId="77777777" w:rsidTr="00835EA7">
        <w:trPr>
          <w:trHeight w:val="360"/>
        </w:trPr>
        <w:tc>
          <w:tcPr>
            <w:tcW w:w="4860" w:type="dxa"/>
            <w:noWrap/>
            <w:hideMark/>
          </w:tcPr>
          <w:p w14:paraId="787C6269"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Protein transport</w:t>
            </w:r>
          </w:p>
        </w:tc>
        <w:tc>
          <w:tcPr>
            <w:tcW w:w="2250" w:type="dxa"/>
            <w:noWrap/>
            <w:hideMark/>
          </w:tcPr>
          <w:p w14:paraId="56D84D34"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1.92x10</w:t>
            </w:r>
            <w:r w:rsidRPr="0028117D">
              <w:rPr>
                <w:rFonts w:ascii="Times New Roman" w:eastAsia="Times New Roman" w:hAnsi="Times New Roman" w:cs="Times New Roman"/>
                <w:vertAlign w:val="superscript"/>
              </w:rPr>
              <w:t>-6</w:t>
            </w:r>
          </w:p>
        </w:tc>
      </w:tr>
      <w:tr w:rsidR="0028117D" w:rsidRPr="0028117D" w14:paraId="3BF6498B" w14:textId="77777777" w:rsidTr="00835EA7">
        <w:trPr>
          <w:trHeight w:val="360"/>
        </w:trPr>
        <w:tc>
          <w:tcPr>
            <w:tcW w:w="4860" w:type="dxa"/>
            <w:noWrap/>
            <w:hideMark/>
          </w:tcPr>
          <w:p w14:paraId="594B76F6"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Vesicle-mediated transport</w:t>
            </w:r>
          </w:p>
        </w:tc>
        <w:tc>
          <w:tcPr>
            <w:tcW w:w="2250" w:type="dxa"/>
            <w:noWrap/>
            <w:hideMark/>
          </w:tcPr>
          <w:p w14:paraId="3F1FA47E"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7.72x10</w:t>
            </w:r>
            <w:r w:rsidRPr="0028117D">
              <w:rPr>
                <w:rFonts w:ascii="Times New Roman" w:eastAsia="Times New Roman" w:hAnsi="Times New Roman" w:cs="Times New Roman"/>
                <w:vertAlign w:val="superscript"/>
              </w:rPr>
              <w:t>-5</w:t>
            </w:r>
          </w:p>
        </w:tc>
      </w:tr>
      <w:tr w:rsidR="0028117D" w:rsidRPr="0028117D" w14:paraId="5F71113E" w14:textId="77777777" w:rsidTr="00835EA7">
        <w:trPr>
          <w:trHeight w:val="360"/>
        </w:trPr>
        <w:tc>
          <w:tcPr>
            <w:tcW w:w="4860" w:type="dxa"/>
            <w:noWrap/>
            <w:hideMark/>
          </w:tcPr>
          <w:p w14:paraId="7270362E"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Viral process</w:t>
            </w:r>
          </w:p>
        </w:tc>
        <w:tc>
          <w:tcPr>
            <w:tcW w:w="2250" w:type="dxa"/>
            <w:noWrap/>
            <w:hideMark/>
          </w:tcPr>
          <w:p w14:paraId="55DB7700" w14:textId="1FE455D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0.000</w:t>
            </w:r>
            <w:r w:rsidR="00835EA7" w:rsidRPr="0028117D">
              <w:rPr>
                <w:rFonts w:ascii="Times New Roman" w:eastAsia="Times New Roman" w:hAnsi="Times New Roman" w:cs="Times New Roman"/>
              </w:rPr>
              <w:t>3</w:t>
            </w:r>
          </w:p>
        </w:tc>
      </w:tr>
      <w:tr w:rsidR="0028117D" w:rsidRPr="0028117D" w14:paraId="2E909211" w14:textId="77777777" w:rsidTr="00835EA7">
        <w:trPr>
          <w:trHeight w:val="360"/>
        </w:trPr>
        <w:tc>
          <w:tcPr>
            <w:tcW w:w="4860" w:type="dxa"/>
            <w:noWrap/>
            <w:hideMark/>
          </w:tcPr>
          <w:p w14:paraId="0FAF53FD"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Regulation of catalytic activity</w:t>
            </w:r>
          </w:p>
        </w:tc>
        <w:tc>
          <w:tcPr>
            <w:tcW w:w="2250" w:type="dxa"/>
            <w:noWrap/>
            <w:hideMark/>
          </w:tcPr>
          <w:p w14:paraId="5435C9EE" w14:textId="31BC6F7F"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0.0008</w:t>
            </w:r>
          </w:p>
        </w:tc>
      </w:tr>
      <w:tr w:rsidR="0028117D" w:rsidRPr="0028117D" w14:paraId="729BB9FA" w14:textId="77777777" w:rsidTr="00835EA7">
        <w:trPr>
          <w:trHeight w:val="360"/>
        </w:trPr>
        <w:tc>
          <w:tcPr>
            <w:tcW w:w="4860" w:type="dxa"/>
            <w:noWrap/>
            <w:hideMark/>
          </w:tcPr>
          <w:p w14:paraId="7B407183"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Regulation of cell cycle</w:t>
            </w:r>
          </w:p>
        </w:tc>
        <w:tc>
          <w:tcPr>
            <w:tcW w:w="2250" w:type="dxa"/>
            <w:noWrap/>
            <w:hideMark/>
          </w:tcPr>
          <w:p w14:paraId="724F9889" w14:textId="6AF5B3B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0.00</w:t>
            </w:r>
            <w:r w:rsidR="00835EA7" w:rsidRPr="0028117D">
              <w:rPr>
                <w:rFonts w:ascii="Times New Roman" w:eastAsia="Times New Roman" w:hAnsi="Times New Roman" w:cs="Times New Roman"/>
              </w:rPr>
              <w:t>6</w:t>
            </w:r>
          </w:p>
        </w:tc>
      </w:tr>
      <w:tr w:rsidR="0028117D" w:rsidRPr="0028117D" w14:paraId="0DDDBD02" w14:textId="77777777" w:rsidTr="00835EA7">
        <w:trPr>
          <w:trHeight w:val="360"/>
        </w:trPr>
        <w:tc>
          <w:tcPr>
            <w:tcW w:w="4860" w:type="dxa"/>
            <w:noWrap/>
            <w:hideMark/>
          </w:tcPr>
          <w:p w14:paraId="5B3A8F8C"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Negative regulation of apoptotic process</w:t>
            </w:r>
          </w:p>
        </w:tc>
        <w:tc>
          <w:tcPr>
            <w:tcW w:w="2250" w:type="dxa"/>
            <w:noWrap/>
            <w:hideMark/>
          </w:tcPr>
          <w:p w14:paraId="70A1E511" w14:textId="6168665D"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0.01</w:t>
            </w:r>
          </w:p>
        </w:tc>
      </w:tr>
      <w:tr w:rsidR="0028117D" w:rsidRPr="0028117D" w14:paraId="4677F943" w14:textId="77777777" w:rsidTr="005F19D3">
        <w:trPr>
          <w:trHeight w:val="360"/>
        </w:trPr>
        <w:tc>
          <w:tcPr>
            <w:tcW w:w="4860" w:type="dxa"/>
            <w:noWrap/>
            <w:hideMark/>
          </w:tcPr>
          <w:p w14:paraId="0EA8A4B6"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Apoptotic process</w:t>
            </w:r>
          </w:p>
        </w:tc>
        <w:tc>
          <w:tcPr>
            <w:tcW w:w="2250" w:type="dxa"/>
            <w:noWrap/>
            <w:hideMark/>
          </w:tcPr>
          <w:p w14:paraId="76C38952" w14:textId="1799D42D"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0.03</w:t>
            </w:r>
          </w:p>
        </w:tc>
      </w:tr>
      <w:tr w:rsidR="0028117D" w:rsidRPr="0028117D" w14:paraId="776985A5" w14:textId="77777777" w:rsidTr="005F19D3">
        <w:trPr>
          <w:trHeight w:val="360"/>
        </w:trPr>
        <w:tc>
          <w:tcPr>
            <w:tcW w:w="4860" w:type="dxa"/>
            <w:tcBorders>
              <w:bottom w:val="single" w:sz="4" w:space="0" w:color="auto"/>
            </w:tcBorders>
            <w:noWrap/>
            <w:hideMark/>
          </w:tcPr>
          <w:p w14:paraId="03A25D87"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Rhythmic process</w:t>
            </w:r>
          </w:p>
        </w:tc>
        <w:tc>
          <w:tcPr>
            <w:tcW w:w="2250" w:type="dxa"/>
            <w:tcBorders>
              <w:bottom w:val="single" w:sz="4" w:space="0" w:color="auto"/>
            </w:tcBorders>
            <w:noWrap/>
            <w:hideMark/>
          </w:tcPr>
          <w:p w14:paraId="06EAC3E3" w14:textId="036D89E8"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0.044</w:t>
            </w:r>
          </w:p>
        </w:tc>
      </w:tr>
      <w:tr w:rsidR="0028117D" w:rsidRPr="0028117D" w14:paraId="269B34E8" w14:textId="77777777" w:rsidTr="005F19D3">
        <w:trPr>
          <w:trHeight w:val="360"/>
        </w:trPr>
        <w:tc>
          <w:tcPr>
            <w:tcW w:w="4860" w:type="dxa"/>
            <w:tcBorders>
              <w:top w:val="single" w:sz="4" w:space="0" w:color="auto"/>
            </w:tcBorders>
            <w:noWrap/>
            <w:hideMark/>
          </w:tcPr>
          <w:p w14:paraId="26391543"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Cell cycle</w:t>
            </w:r>
          </w:p>
        </w:tc>
        <w:tc>
          <w:tcPr>
            <w:tcW w:w="2250" w:type="dxa"/>
            <w:tcBorders>
              <w:top w:val="single" w:sz="4" w:space="0" w:color="auto"/>
            </w:tcBorders>
            <w:noWrap/>
            <w:hideMark/>
          </w:tcPr>
          <w:p w14:paraId="76F16ACD" w14:textId="2597233F"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w:t>
            </w:r>
            <w:r w:rsidR="00835EA7" w:rsidRPr="0028117D">
              <w:rPr>
                <w:rFonts w:ascii="Times New Roman" w:eastAsia="Times New Roman" w:hAnsi="Times New Roman" w:cs="Times New Roman"/>
              </w:rPr>
              <w:t>08</w:t>
            </w:r>
          </w:p>
        </w:tc>
      </w:tr>
      <w:tr w:rsidR="0028117D" w:rsidRPr="0028117D" w14:paraId="343C3D26" w14:textId="77777777" w:rsidTr="00835EA7">
        <w:trPr>
          <w:trHeight w:val="360"/>
        </w:trPr>
        <w:tc>
          <w:tcPr>
            <w:tcW w:w="4860" w:type="dxa"/>
            <w:noWrap/>
            <w:hideMark/>
          </w:tcPr>
          <w:p w14:paraId="2B497AA1"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Phagocytosis</w:t>
            </w:r>
          </w:p>
        </w:tc>
        <w:tc>
          <w:tcPr>
            <w:tcW w:w="2250" w:type="dxa"/>
            <w:noWrap/>
            <w:hideMark/>
          </w:tcPr>
          <w:p w14:paraId="3CF23DDE" w14:textId="7F69152C"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0.0</w:t>
            </w:r>
            <w:r w:rsidR="00835EA7" w:rsidRPr="0028117D">
              <w:rPr>
                <w:rFonts w:ascii="Times New Roman" w:eastAsia="Times New Roman" w:hAnsi="Times New Roman" w:cs="Times New Roman"/>
              </w:rPr>
              <w:t>9</w:t>
            </w:r>
          </w:p>
        </w:tc>
      </w:tr>
      <w:tr w:rsidR="0028117D" w:rsidRPr="0028117D" w14:paraId="74180D0F" w14:textId="77777777" w:rsidTr="00835EA7">
        <w:trPr>
          <w:trHeight w:val="360"/>
        </w:trPr>
        <w:tc>
          <w:tcPr>
            <w:tcW w:w="4860" w:type="dxa"/>
            <w:noWrap/>
            <w:hideMark/>
          </w:tcPr>
          <w:p w14:paraId="0602A9EF"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Cell proliferation</w:t>
            </w:r>
          </w:p>
        </w:tc>
        <w:tc>
          <w:tcPr>
            <w:tcW w:w="2250" w:type="dxa"/>
            <w:noWrap/>
            <w:hideMark/>
          </w:tcPr>
          <w:p w14:paraId="2F3DE21C" w14:textId="2916680D"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0.1</w:t>
            </w:r>
            <w:r w:rsidR="00835EA7" w:rsidRPr="0028117D">
              <w:rPr>
                <w:rFonts w:ascii="Times New Roman" w:eastAsia="Times New Roman" w:hAnsi="Times New Roman" w:cs="Times New Roman"/>
              </w:rPr>
              <w:t>3</w:t>
            </w:r>
          </w:p>
        </w:tc>
      </w:tr>
      <w:tr w:rsidR="0028117D" w:rsidRPr="0028117D" w14:paraId="268FDE03" w14:textId="77777777" w:rsidTr="00835EA7">
        <w:trPr>
          <w:trHeight w:val="360"/>
        </w:trPr>
        <w:tc>
          <w:tcPr>
            <w:tcW w:w="4860" w:type="dxa"/>
            <w:noWrap/>
            <w:hideMark/>
          </w:tcPr>
          <w:p w14:paraId="59B9DDD3"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Cytoskeleton organization</w:t>
            </w:r>
          </w:p>
        </w:tc>
        <w:tc>
          <w:tcPr>
            <w:tcW w:w="2250" w:type="dxa"/>
            <w:noWrap/>
            <w:hideMark/>
          </w:tcPr>
          <w:p w14:paraId="4A7FDEB7" w14:textId="7E663416"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0.1</w:t>
            </w:r>
            <w:r w:rsidR="00835EA7" w:rsidRPr="0028117D">
              <w:rPr>
                <w:rFonts w:ascii="Times New Roman" w:eastAsia="Times New Roman" w:hAnsi="Times New Roman" w:cs="Times New Roman"/>
              </w:rPr>
              <w:t>4</w:t>
            </w:r>
          </w:p>
        </w:tc>
      </w:tr>
      <w:tr w:rsidR="0028117D" w:rsidRPr="0028117D" w14:paraId="314312A0" w14:textId="77777777" w:rsidTr="00835EA7">
        <w:trPr>
          <w:trHeight w:val="360"/>
        </w:trPr>
        <w:tc>
          <w:tcPr>
            <w:tcW w:w="4860" w:type="dxa"/>
            <w:noWrap/>
            <w:hideMark/>
          </w:tcPr>
          <w:p w14:paraId="7844D029"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Circadian rhythm</w:t>
            </w:r>
          </w:p>
        </w:tc>
        <w:tc>
          <w:tcPr>
            <w:tcW w:w="2250" w:type="dxa"/>
            <w:noWrap/>
            <w:hideMark/>
          </w:tcPr>
          <w:p w14:paraId="02F2A225" w14:textId="31E931B2"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0.18</w:t>
            </w:r>
          </w:p>
        </w:tc>
      </w:tr>
      <w:tr w:rsidR="0028117D" w:rsidRPr="0028117D" w14:paraId="340D7775" w14:textId="77777777" w:rsidTr="00835EA7">
        <w:trPr>
          <w:trHeight w:val="360"/>
        </w:trPr>
        <w:tc>
          <w:tcPr>
            <w:tcW w:w="4860" w:type="dxa"/>
            <w:noWrap/>
            <w:hideMark/>
          </w:tcPr>
          <w:p w14:paraId="752E4BE8"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Blood coagulation</w:t>
            </w:r>
          </w:p>
        </w:tc>
        <w:tc>
          <w:tcPr>
            <w:tcW w:w="2250" w:type="dxa"/>
            <w:noWrap/>
            <w:hideMark/>
          </w:tcPr>
          <w:p w14:paraId="0C22F494" w14:textId="5A245440"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0.18</w:t>
            </w:r>
          </w:p>
        </w:tc>
      </w:tr>
      <w:tr w:rsidR="0028117D" w:rsidRPr="0028117D" w14:paraId="45C9A081" w14:textId="77777777" w:rsidTr="00835EA7">
        <w:trPr>
          <w:trHeight w:val="360"/>
        </w:trPr>
        <w:tc>
          <w:tcPr>
            <w:tcW w:w="4860" w:type="dxa"/>
            <w:noWrap/>
            <w:hideMark/>
          </w:tcPr>
          <w:p w14:paraId="03AC84FF"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Transcription by RNA polymerase II</w:t>
            </w:r>
          </w:p>
        </w:tc>
        <w:tc>
          <w:tcPr>
            <w:tcW w:w="2250" w:type="dxa"/>
            <w:noWrap/>
            <w:hideMark/>
          </w:tcPr>
          <w:p w14:paraId="0C76D4AD" w14:textId="3EC10C3E"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0.18</w:t>
            </w:r>
          </w:p>
        </w:tc>
      </w:tr>
      <w:tr w:rsidR="0028117D" w:rsidRPr="0028117D" w14:paraId="67B34EE1" w14:textId="77777777" w:rsidTr="001F5530">
        <w:trPr>
          <w:trHeight w:val="360"/>
        </w:trPr>
        <w:tc>
          <w:tcPr>
            <w:tcW w:w="4860" w:type="dxa"/>
            <w:noWrap/>
            <w:hideMark/>
          </w:tcPr>
          <w:p w14:paraId="631F3C6B" w14:textId="77777777"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Protein phosphorylation</w:t>
            </w:r>
          </w:p>
        </w:tc>
        <w:tc>
          <w:tcPr>
            <w:tcW w:w="2250" w:type="dxa"/>
            <w:noWrap/>
            <w:hideMark/>
          </w:tcPr>
          <w:p w14:paraId="405DC09E" w14:textId="607DCBB4" w:rsidR="00B351C3" w:rsidRPr="0028117D" w:rsidRDefault="00B351C3" w:rsidP="00816113">
            <w:pPr>
              <w:jc w:val="center"/>
              <w:rPr>
                <w:rFonts w:ascii="Times New Roman" w:eastAsia="Times New Roman" w:hAnsi="Times New Roman" w:cs="Times New Roman"/>
              </w:rPr>
            </w:pPr>
            <w:r w:rsidRPr="0028117D">
              <w:rPr>
                <w:rFonts w:ascii="Times New Roman" w:eastAsia="Times New Roman" w:hAnsi="Times New Roman" w:cs="Times New Roman"/>
              </w:rPr>
              <w:t>0.3</w:t>
            </w:r>
            <w:r w:rsidR="00835EA7" w:rsidRPr="0028117D">
              <w:rPr>
                <w:rFonts w:ascii="Times New Roman" w:eastAsia="Times New Roman" w:hAnsi="Times New Roman" w:cs="Times New Roman"/>
              </w:rPr>
              <w:t>4</w:t>
            </w:r>
          </w:p>
        </w:tc>
      </w:tr>
      <w:tr w:rsidR="0028117D" w:rsidRPr="0028117D" w14:paraId="47DA14E3" w14:textId="77777777" w:rsidTr="004F66BF">
        <w:trPr>
          <w:trHeight w:val="360"/>
        </w:trPr>
        <w:tc>
          <w:tcPr>
            <w:tcW w:w="7110" w:type="dxa"/>
            <w:gridSpan w:val="2"/>
            <w:tcBorders>
              <w:bottom w:val="single" w:sz="18" w:space="0" w:color="auto"/>
            </w:tcBorders>
            <w:noWrap/>
          </w:tcPr>
          <w:p w14:paraId="09D191FC" w14:textId="1B432717" w:rsidR="001F5530" w:rsidRPr="0028117D" w:rsidRDefault="001F5530" w:rsidP="001F5530">
            <w:pPr>
              <w:rPr>
                <w:rFonts w:ascii="Times New Roman" w:eastAsia="Times New Roman" w:hAnsi="Times New Roman" w:cs="Times New Roman"/>
              </w:rPr>
            </w:pPr>
            <w:r w:rsidRPr="0028117D">
              <w:rPr>
                <w:rFonts w:ascii="Times New Roman" w:eastAsia="Times New Roman" w:hAnsi="Times New Roman" w:cs="Times New Roman"/>
              </w:rPr>
              <w:t xml:space="preserve">*These FDR-adjusted p-values are based on module analysis of the subnetwork created when including 8 out of the 12 candidate genes from this study as seeds in </w:t>
            </w:r>
            <w:proofErr w:type="spellStart"/>
            <w:r w:rsidRPr="0028117D">
              <w:rPr>
                <w:rFonts w:ascii="Times New Roman" w:eastAsia="Times New Roman" w:hAnsi="Times New Roman" w:cs="Times New Roman"/>
              </w:rPr>
              <w:t>NetworkAnalyst</w:t>
            </w:r>
            <w:proofErr w:type="spellEnd"/>
            <w:r w:rsidRPr="0028117D">
              <w:rPr>
                <w:rFonts w:ascii="Times New Roman" w:eastAsia="Times New Roman" w:hAnsi="Times New Roman" w:cs="Times New Roman"/>
              </w:rPr>
              <w:t xml:space="preserve">. </w:t>
            </w:r>
          </w:p>
        </w:tc>
      </w:tr>
    </w:tbl>
    <w:p w14:paraId="38A2CF0E" w14:textId="64E5F3A4" w:rsidR="00B351C3" w:rsidRPr="0028117D" w:rsidRDefault="00B351C3" w:rsidP="00B351C3">
      <w:pPr>
        <w:rPr>
          <w:rFonts w:ascii="Times New Roman" w:hAnsi="Times New Roman" w:cs="Times New Roman"/>
        </w:rPr>
      </w:pPr>
    </w:p>
    <w:p w14:paraId="64C0B59D" w14:textId="50043C79" w:rsidR="00B351C3" w:rsidRPr="0028117D" w:rsidRDefault="00B351C3" w:rsidP="00B351C3">
      <w:pPr>
        <w:rPr>
          <w:rFonts w:ascii="Times New Roman" w:hAnsi="Times New Roman" w:cs="Times New Roman"/>
        </w:rPr>
      </w:pPr>
    </w:p>
    <w:p w14:paraId="4D90D223" w14:textId="47DA5CEF" w:rsidR="00B351C3" w:rsidRPr="0028117D" w:rsidRDefault="00B351C3" w:rsidP="00B351C3">
      <w:pPr>
        <w:rPr>
          <w:rFonts w:ascii="Times New Roman" w:hAnsi="Times New Roman" w:cs="Times New Roman"/>
        </w:rPr>
      </w:pPr>
    </w:p>
    <w:p w14:paraId="1F2C1CF6" w14:textId="7A5FBE90" w:rsidR="00B351C3" w:rsidRPr="0028117D" w:rsidRDefault="00B351C3" w:rsidP="00B351C3">
      <w:pPr>
        <w:rPr>
          <w:rFonts w:ascii="Times New Roman" w:hAnsi="Times New Roman" w:cs="Times New Roman"/>
        </w:rPr>
      </w:pPr>
    </w:p>
    <w:p w14:paraId="461E992B" w14:textId="1EE6CE08" w:rsidR="00B351C3" w:rsidRPr="0028117D" w:rsidRDefault="00B351C3" w:rsidP="00B351C3">
      <w:pPr>
        <w:rPr>
          <w:rFonts w:ascii="Times New Roman" w:hAnsi="Times New Roman" w:cs="Times New Roman"/>
        </w:rPr>
      </w:pPr>
    </w:p>
    <w:p w14:paraId="177AC05B" w14:textId="5B32266B" w:rsidR="00B351C3" w:rsidRPr="0028117D" w:rsidRDefault="00B351C3" w:rsidP="00B351C3">
      <w:pPr>
        <w:rPr>
          <w:rFonts w:ascii="Times New Roman" w:hAnsi="Times New Roman" w:cs="Times New Roman"/>
        </w:rPr>
      </w:pPr>
    </w:p>
    <w:p w14:paraId="2DF8BC07" w14:textId="3A521443" w:rsidR="00B351C3" w:rsidRPr="0028117D" w:rsidRDefault="00B351C3" w:rsidP="00B351C3">
      <w:pPr>
        <w:rPr>
          <w:rFonts w:ascii="Times New Roman" w:hAnsi="Times New Roman" w:cs="Times New Roman"/>
        </w:rPr>
      </w:pPr>
    </w:p>
    <w:p w14:paraId="79E01F42" w14:textId="261C2DC6" w:rsidR="00B351C3" w:rsidRPr="0028117D" w:rsidRDefault="00B351C3" w:rsidP="00B351C3">
      <w:pPr>
        <w:rPr>
          <w:rFonts w:ascii="Times New Roman" w:hAnsi="Times New Roman" w:cs="Times New Roman"/>
        </w:rPr>
      </w:pPr>
    </w:p>
    <w:p w14:paraId="2214D614" w14:textId="14658C3E" w:rsidR="00B351C3" w:rsidRPr="0028117D" w:rsidRDefault="00B351C3" w:rsidP="00B351C3">
      <w:pPr>
        <w:rPr>
          <w:rFonts w:ascii="Times New Roman" w:hAnsi="Times New Roman" w:cs="Times New Roman"/>
        </w:rPr>
      </w:pPr>
    </w:p>
    <w:p w14:paraId="16C1EB3C" w14:textId="286A25EE" w:rsidR="00B351C3" w:rsidRPr="0028117D" w:rsidRDefault="00B351C3" w:rsidP="00B351C3">
      <w:pPr>
        <w:rPr>
          <w:rFonts w:ascii="Times New Roman" w:hAnsi="Times New Roman" w:cs="Times New Roman"/>
        </w:rPr>
      </w:pPr>
    </w:p>
    <w:p w14:paraId="0B3DD9BB" w14:textId="5ED68C3C" w:rsidR="00B351C3" w:rsidRPr="0028117D" w:rsidRDefault="00B351C3" w:rsidP="00B351C3">
      <w:pPr>
        <w:rPr>
          <w:rFonts w:ascii="Times New Roman" w:hAnsi="Times New Roman" w:cs="Times New Roman"/>
        </w:rPr>
      </w:pPr>
    </w:p>
    <w:p w14:paraId="67CEC791" w14:textId="02CAE37D" w:rsidR="00B351C3" w:rsidRPr="0028117D" w:rsidRDefault="00B351C3" w:rsidP="00B351C3">
      <w:pPr>
        <w:rPr>
          <w:rFonts w:ascii="Times New Roman" w:hAnsi="Times New Roman" w:cs="Times New Roman"/>
        </w:rPr>
      </w:pPr>
    </w:p>
    <w:p w14:paraId="3C85F5C5" w14:textId="7A326BB8" w:rsidR="00B351C3" w:rsidRPr="0028117D" w:rsidRDefault="00B351C3" w:rsidP="00B351C3">
      <w:pPr>
        <w:rPr>
          <w:rFonts w:ascii="Times New Roman" w:hAnsi="Times New Roman" w:cs="Times New Roman"/>
        </w:rPr>
      </w:pPr>
    </w:p>
    <w:p w14:paraId="7B5B6AED" w14:textId="7D21F450" w:rsidR="00B351C3" w:rsidRPr="0028117D" w:rsidRDefault="00B351C3" w:rsidP="00B351C3">
      <w:pPr>
        <w:rPr>
          <w:rFonts w:ascii="Times New Roman" w:hAnsi="Times New Roman" w:cs="Times New Roman"/>
        </w:rPr>
      </w:pPr>
    </w:p>
    <w:p w14:paraId="1AA6A8C3" w14:textId="06A4F285" w:rsidR="00B351C3" w:rsidRPr="0028117D" w:rsidRDefault="00B351C3" w:rsidP="00B351C3">
      <w:pPr>
        <w:rPr>
          <w:rFonts w:ascii="Times New Roman" w:hAnsi="Times New Roman" w:cs="Times New Roman"/>
        </w:rPr>
      </w:pPr>
    </w:p>
    <w:p w14:paraId="00F89C35" w14:textId="5C8D4018" w:rsidR="00B351C3" w:rsidRPr="0028117D" w:rsidRDefault="00B351C3" w:rsidP="00B351C3">
      <w:pPr>
        <w:rPr>
          <w:rFonts w:ascii="Times New Roman" w:hAnsi="Times New Roman" w:cs="Times New Roman"/>
        </w:rPr>
      </w:pPr>
    </w:p>
    <w:p w14:paraId="31E0C451" w14:textId="16D83670" w:rsidR="00B351C3" w:rsidRPr="0028117D" w:rsidRDefault="00B351C3" w:rsidP="00B351C3">
      <w:pPr>
        <w:rPr>
          <w:rFonts w:ascii="Times New Roman" w:hAnsi="Times New Roman" w:cs="Times New Roman"/>
        </w:rPr>
      </w:pPr>
    </w:p>
    <w:p w14:paraId="7FAD2673" w14:textId="30A8F9B9" w:rsidR="00B351C3" w:rsidRPr="0028117D" w:rsidRDefault="00B351C3" w:rsidP="00B351C3">
      <w:pPr>
        <w:rPr>
          <w:rFonts w:ascii="Times New Roman" w:hAnsi="Times New Roman" w:cs="Times New Roman"/>
        </w:rPr>
      </w:pPr>
    </w:p>
    <w:p w14:paraId="5D80F011" w14:textId="3686AF6B" w:rsidR="00B351C3" w:rsidRPr="0028117D" w:rsidRDefault="00B351C3" w:rsidP="00B351C3">
      <w:pPr>
        <w:rPr>
          <w:rFonts w:ascii="Times New Roman" w:hAnsi="Times New Roman" w:cs="Times New Roman"/>
        </w:rPr>
      </w:pPr>
    </w:p>
    <w:p w14:paraId="68045D48" w14:textId="0A7B82F4" w:rsidR="00B351C3" w:rsidRPr="0028117D" w:rsidRDefault="00B351C3" w:rsidP="00B351C3">
      <w:pPr>
        <w:rPr>
          <w:rFonts w:ascii="Times New Roman" w:hAnsi="Times New Roman" w:cs="Times New Roman"/>
        </w:rPr>
      </w:pPr>
    </w:p>
    <w:p w14:paraId="3F5B7E6B" w14:textId="340D960E" w:rsidR="00B351C3" w:rsidRPr="0028117D" w:rsidRDefault="00B351C3" w:rsidP="00B351C3">
      <w:pPr>
        <w:rPr>
          <w:rFonts w:ascii="Times New Roman" w:hAnsi="Times New Roman" w:cs="Times New Roman"/>
        </w:rPr>
      </w:pPr>
    </w:p>
    <w:p w14:paraId="08425FFF" w14:textId="756962FF" w:rsidR="00B351C3" w:rsidRPr="0028117D" w:rsidRDefault="00B351C3" w:rsidP="00B351C3">
      <w:pPr>
        <w:rPr>
          <w:rFonts w:ascii="Times New Roman" w:hAnsi="Times New Roman" w:cs="Times New Roman"/>
        </w:rPr>
      </w:pPr>
    </w:p>
    <w:p w14:paraId="6707B4AA" w14:textId="2DAACA7B" w:rsidR="00B351C3" w:rsidRPr="0028117D" w:rsidRDefault="00B351C3" w:rsidP="00B351C3">
      <w:pPr>
        <w:rPr>
          <w:rFonts w:ascii="Times New Roman" w:hAnsi="Times New Roman" w:cs="Times New Roman"/>
        </w:rPr>
      </w:pPr>
    </w:p>
    <w:p w14:paraId="0C2699AB" w14:textId="3FE1E573" w:rsidR="00B351C3" w:rsidRPr="0028117D" w:rsidRDefault="00B351C3" w:rsidP="00B351C3">
      <w:pPr>
        <w:rPr>
          <w:rFonts w:ascii="Times New Roman" w:hAnsi="Times New Roman" w:cs="Times New Roman"/>
        </w:rPr>
      </w:pPr>
    </w:p>
    <w:p w14:paraId="582C4CAF" w14:textId="3686C299" w:rsidR="00B351C3" w:rsidRPr="0028117D" w:rsidRDefault="00B351C3" w:rsidP="00B351C3">
      <w:pPr>
        <w:rPr>
          <w:rFonts w:ascii="Times New Roman" w:hAnsi="Times New Roman" w:cs="Times New Roman"/>
        </w:rPr>
      </w:pPr>
    </w:p>
    <w:p w14:paraId="38B2674E" w14:textId="4A4873AB" w:rsidR="00803642" w:rsidRPr="0028117D" w:rsidRDefault="00AD2B4B" w:rsidP="00E56323">
      <w:r w:rsidRPr="0028117D">
        <w:br w:type="page"/>
      </w:r>
    </w:p>
    <w:p w14:paraId="588A538B" w14:textId="445EA2DC" w:rsidR="00B351C3" w:rsidRPr="0028117D" w:rsidRDefault="00B351C3" w:rsidP="00E56323">
      <w:pPr>
        <w:rPr>
          <w:b/>
          <w:bCs/>
        </w:rPr>
      </w:pPr>
    </w:p>
    <w:tbl>
      <w:tblPr>
        <w:tblStyle w:val="TableGrid1"/>
        <w:tblpPr w:leftFromText="180" w:rightFromText="180" w:vertAnchor="page" w:horzAnchor="margin" w:tblpY="11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3444"/>
        <w:gridCol w:w="2880"/>
        <w:gridCol w:w="6569"/>
      </w:tblGrid>
      <w:tr w:rsidR="0028117D" w:rsidRPr="0028117D" w14:paraId="27FB33ED" w14:textId="77777777" w:rsidTr="00054439">
        <w:trPr>
          <w:trHeight w:val="432"/>
        </w:trPr>
        <w:tc>
          <w:tcPr>
            <w:tcW w:w="5000" w:type="pct"/>
            <w:gridSpan w:val="4"/>
            <w:tcBorders>
              <w:bottom w:val="single" w:sz="4" w:space="0" w:color="auto"/>
            </w:tcBorders>
            <w:vAlign w:val="center"/>
          </w:tcPr>
          <w:p w14:paraId="08A473CD" w14:textId="7D9AA8D6" w:rsidR="00054439" w:rsidRPr="0028117D" w:rsidRDefault="00054439" w:rsidP="00B351C3">
            <w:pPr>
              <w:jc w:val="center"/>
              <w:rPr>
                <w:rFonts w:ascii="Times New Roman" w:eastAsia="Times New Roman" w:hAnsi="Times New Roman" w:cs="Times New Roman"/>
                <w:b/>
                <w:bCs/>
              </w:rPr>
            </w:pPr>
            <w:r w:rsidRPr="0028117D">
              <w:rPr>
                <w:rFonts w:ascii="Times New Roman" w:hAnsi="Times New Roman" w:cs="Times New Roman"/>
                <w:b/>
                <w:bCs/>
              </w:rPr>
              <w:t>Supplementary Table 3. RNA and protein expression profiles in various human tissues</w:t>
            </w:r>
          </w:p>
        </w:tc>
      </w:tr>
      <w:tr w:rsidR="0028117D" w:rsidRPr="0028117D" w14:paraId="00386200" w14:textId="77777777" w:rsidTr="00054439">
        <w:trPr>
          <w:trHeight w:val="432"/>
        </w:trPr>
        <w:tc>
          <w:tcPr>
            <w:tcW w:w="523" w:type="pct"/>
            <w:tcBorders>
              <w:top w:val="single" w:sz="4" w:space="0" w:color="auto"/>
              <w:bottom w:val="single" w:sz="8" w:space="0" w:color="000000" w:themeColor="text1"/>
            </w:tcBorders>
            <w:vAlign w:val="center"/>
            <w:hideMark/>
          </w:tcPr>
          <w:p w14:paraId="05D1E74A" w14:textId="26109CD9" w:rsidR="00B351C3" w:rsidRPr="0028117D" w:rsidRDefault="00B351C3" w:rsidP="00B351C3">
            <w:pPr>
              <w:jc w:val="center"/>
              <w:rPr>
                <w:rFonts w:ascii="Times New Roman" w:eastAsia="Times New Roman" w:hAnsi="Times New Roman" w:cs="Times New Roman"/>
                <w:b/>
                <w:bCs/>
                <w:sz w:val="20"/>
                <w:szCs w:val="20"/>
              </w:rPr>
            </w:pPr>
            <w:r w:rsidRPr="0028117D">
              <w:rPr>
                <w:rFonts w:ascii="Times New Roman" w:eastAsia="Times New Roman" w:hAnsi="Times New Roman" w:cs="Times New Roman"/>
                <w:b/>
                <w:bCs/>
                <w:sz w:val="20"/>
                <w:szCs w:val="20"/>
              </w:rPr>
              <w:t>Gene</w:t>
            </w:r>
          </w:p>
          <w:p w14:paraId="60A2B150" w14:textId="77777777" w:rsidR="00B351C3" w:rsidRPr="0028117D" w:rsidRDefault="00B351C3" w:rsidP="00B351C3">
            <w:pPr>
              <w:jc w:val="center"/>
              <w:rPr>
                <w:rFonts w:ascii="Times New Roman" w:eastAsia="Times New Roman" w:hAnsi="Times New Roman" w:cs="Times New Roman"/>
                <w:b/>
                <w:bCs/>
                <w:sz w:val="20"/>
                <w:szCs w:val="20"/>
              </w:rPr>
            </w:pPr>
            <w:r w:rsidRPr="0028117D">
              <w:rPr>
                <w:rFonts w:ascii="Times New Roman" w:eastAsia="Times New Roman" w:hAnsi="Times New Roman" w:cs="Times New Roman"/>
                <w:b/>
                <w:bCs/>
                <w:sz w:val="20"/>
                <w:szCs w:val="20"/>
              </w:rPr>
              <w:t xml:space="preserve"> </w:t>
            </w:r>
          </w:p>
        </w:tc>
        <w:tc>
          <w:tcPr>
            <w:tcW w:w="1196" w:type="pct"/>
            <w:tcBorders>
              <w:top w:val="single" w:sz="4" w:space="0" w:color="auto"/>
              <w:bottom w:val="single" w:sz="8" w:space="0" w:color="000000" w:themeColor="text1"/>
            </w:tcBorders>
            <w:vAlign w:val="center"/>
            <w:hideMark/>
          </w:tcPr>
          <w:p w14:paraId="5C792313" w14:textId="5BA1460F" w:rsidR="00B351C3" w:rsidRPr="0028117D" w:rsidRDefault="00336564" w:rsidP="00B351C3">
            <w:pPr>
              <w:jc w:val="center"/>
              <w:rPr>
                <w:rFonts w:ascii="Times New Roman" w:eastAsia="Times New Roman" w:hAnsi="Times New Roman" w:cs="Times New Roman"/>
                <w:b/>
                <w:bCs/>
                <w:sz w:val="20"/>
                <w:szCs w:val="20"/>
                <w:vertAlign w:val="superscript"/>
              </w:rPr>
            </w:pPr>
            <w:r w:rsidRPr="0028117D">
              <w:rPr>
                <w:rFonts w:ascii="Times New Roman" w:eastAsia="Times New Roman" w:hAnsi="Times New Roman" w:cs="Times New Roman"/>
                <w:b/>
                <w:bCs/>
                <w:sz w:val="20"/>
                <w:szCs w:val="20"/>
              </w:rPr>
              <w:t xml:space="preserve">Tissue with highest </w:t>
            </w:r>
            <w:r w:rsidR="00B351C3" w:rsidRPr="0028117D">
              <w:rPr>
                <w:rFonts w:ascii="Times New Roman" w:eastAsia="Times New Roman" w:hAnsi="Times New Roman" w:cs="Times New Roman"/>
                <w:b/>
                <w:bCs/>
                <w:sz w:val="20"/>
                <w:szCs w:val="20"/>
              </w:rPr>
              <w:t>RNA expression</w:t>
            </w:r>
            <w:r w:rsidR="00054439" w:rsidRPr="0028117D">
              <w:rPr>
                <w:rFonts w:ascii="Times New Roman" w:eastAsia="Times New Roman" w:hAnsi="Times New Roman" w:cs="Times New Roman"/>
                <w:b/>
                <w:bCs/>
                <w:sz w:val="20"/>
                <w:szCs w:val="20"/>
                <w:vertAlign w:val="superscript"/>
              </w:rPr>
              <w:t>1</w:t>
            </w:r>
          </w:p>
          <w:p w14:paraId="2E438804" w14:textId="2C688E70" w:rsidR="00B351C3" w:rsidRPr="0028117D" w:rsidRDefault="00B351C3" w:rsidP="00B351C3">
            <w:pPr>
              <w:jc w:val="center"/>
              <w:rPr>
                <w:rFonts w:ascii="Times New Roman" w:eastAsia="Times New Roman" w:hAnsi="Times New Roman" w:cs="Times New Roman"/>
                <w:sz w:val="20"/>
                <w:szCs w:val="20"/>
              </w:rPr>
            </w:pPr>
            <w:proofErr w:type="spellStart"/>
            <w:r w:rsidRPr="0028117D">
              <w:rPr>
                <w:rFonts w:ascii="Times New Roman" w:eastAsia="Times New Roman" w:hAnsi="Times New Roman" w:cs="Times New Roman"/>
                <w:sz w:val="20"/>
                <w:szCs w:val="20"/>
              </w:rPr>
              <w:t>GTEx</w:t>
            </w:r>
            <w:proofErr w:type="spellEnd"/>
            <w:r w:rsidRPr="0028117D">
              <w:rPr>
                <w:rFonts w:ascii="Times New Roman" w:eastAsia="Times New Roman" w:hAnsi="Times New Roman" w:cs="Times New Roman"/>
                <w:sz w:val="20"/>
                <w:szCs w:val="20"/>
              </w:rPr>
              <w:t xml:space="preserve"> Consortium</w:t>
            </w:r>
          </w:p>
        </w:tc>
        <w:tc>
          <w:tcPr>
            <w:tcW w:w="1000" w:type="pct"/>
            <w:tcBorders>
              <w:top w:val="single" w:sz="4" w:space="0" w:color="auto"/>
              <w:bottom w:val="single" w:sz="8" w:space="0" w:color="000000" w:themeColor="text1"/>
            </w:tcBorders>
            <w:vAlign w:val="center"/>
            <w:hideMark/>
          </w:tcPr>
          <w:p w14:paraId="6FC5BB72" w14:textId="77777777" w:rsidR="00B351C3" w:rsidRPr="0028117D" w:rsidRDefault="00B351C3" w:rsidP="00B351C3">
            <w:pPr>
              <w:jc w:val="center"/>
              <w:rPr>
                <w:rFonts w:ascii="Times New Roman" w:eastAsia="Times New Roman" w:hAnsi="Times New Roman" w:cs="Times New Roman"/>
                <w:b/>
                <w:bCs/>
                <w:sz w:val="20"/>
                <w:szCs w:val="20"/>
              </w:rPr>
            </w:pPr>
            <w:r w:rsidRPr="0028117D">
              <w:rPr>
                <w:rFonts w:ascii="Times New Roman" w:eastAsia="Times New Roman" w:hAnsi="Times New Roman" w:cs="Times New Roman"/>
                <w:b/>
                <w:bCs/>
                <w:sz w:val="20"/>
                <w:szCs w:val="20"/>
              </w:rPr>
              <w:t>Protein expression</w:t>
            </w:r>
          </w:p>
          <w:p w14:paraId="0FB4F4E2" w14:textId="2C46577F" w:rsidR="00B351C3" w:rsidRPr="0028117D" w:rsidRDefault="00B351C3" w:rsidP="00B351C3">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Human Protein Atlas</w:t>
            </w:r>
          </w:p>
        </w:tc>
        <w:tc>
          <w:tcPr>
            <w:tcW w:w="2281" w:type="pct"/>
            <w:tcBorders>
              <w:top w:val="single" w:sz="4" w:space="0" w:color="auto"/>
              <w:bottom w:val="single" w:sz="8" w:space="0" w:color="000000" w:themeColor="text1"/>
            </w:tcBorders>
            <w:vAlign w:val="center"/>
          </w:tcPr>
          <w:p w14:paraId="2C234E4E" w14:textId="77777777" w:rsidR="00B351C3" w:rsidRPr="0028117D" w:rsidRDefault="00B351C3" w:rsidP="00B351C3">
            <w:pPr>
              <w:jc w:val="center"/>
              <w:rPr>
                <w:rFonts w:ascii="Times New Roman" w:eastAsia="Times New Roman" w:hAnsi="Times New Roman" w:cs="Times New Roman"/>
                <w:b/>
                <w:bCs/>
                <w:sz w:val="20"/>
                <w:szCs w:val="20"/>
              </w:rPr>
            </w:pPr>
            <w:r w:rsidRPr="0028117D">
              <w:rPr>
                <w:rFonts w:ascii="Times New Roman" w:eastAsia="Times New Roman" w:hAnsi="Times New Roman" w:cs="Times New Roman"/>
                <w:b/>
                <w:bCs/>
                <w:sz w:val="20"/>
                <w:szCs w:val="20"/>
              </w:rPr>
              <w:t>Function</w:t>
            </w:r>
          </w:p>
          <w:p w14:paraId="617FD5C2" w14:textId="4C93A94B" w:rsidR="00B351C3" w:rsidRPr="0028117D" w:rsidRDefault="00B139B9" w:rsidP="00B351C3">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PubMed</w:t>
            </w:r>
          </w:p>
        </w:tc>
      </w:tr>
      <w:tr w:rsidR="0028117D" w:rsidRPr="0028117D" w14:paraId="2FCFAFAD" w14:textId="77777777" w:rsidTr="00B139B9">
        <w:trPr>
          <w:trHeight w:val="432"/>
        </w:trPr>
        <w:tc>
          <w:tcPr>
            <w:tcW w:w="523" w:type="pct"/>
            <w:tcBorders>
              <w:top w:val="single" w:sz="8" w:space="0" w:color="000000" w:themeColor="text1"/>
              <w:bottom w:val="single" w:sz="6" w:space="0" w:color="D0CECE" w:themeColor="background2" w:themeShade="E6"/>
            </w:tcBorders>
            <w:hideMark/>
          </w:tcPr>
          <w:p w14:paraId="0E144A68"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APBB1IP</w:t>
            </w:r>
          </w:p>
        </w:tc>
        <w:tc>
          <w:tcPr>
            <w:tcW w:w="1196" w:type="pct"/>
            <w:tcBorders>
              <w:top w:val="single" w:sz="8" w:space="0" w:color="000000" w:themeColor="text1"/>
              <w:bottom w:val="single" w:sz="6" w:space="0" w:color="D0CECE" w:themeColor="background2" w:themeShade="E6"/>
            </w:tcBorders>
            <w:hideMark/>
          </w:tcPr>
          <w:p w14:paraId="3B77384C" w14:textId="7EB27F39" w:rsidR="00B351C3"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W</w:t>
            </w:r>
            <w:r w:rsidR="00B351C3" w:rsidRPr="0028117D">
              <w:rPr>
                <w:rFonts w:ascii="Times New Roman" w:eastAsia="Times New Roman" w:hAnsi="Times New Roman" w:cs="Times New Roman"/>
                <w:sz w:val="20"/>
                <w:szCs w:val="20"/>
              </w:rPr>
              <w:t>hole blood, EBV-transformed lymphocytes, spleen</w:t>
            </w:r>
            <w:r w:rsidR="00054439" w:rsidRPr="0028117D">
              <w:rPr>
                <w:rFonts w:ascii="Times New Roman" w:eastAsia="Times New Roman" w:hAnsi="Times New Roman" w:cs="Times New Roman"/>
                <w:sz w:val="20"/>
                <w:szCs w:val="20"/>
              </w:rPr>
              <w:t>,</w:t>
            </w:r>
            <w:r w:rsidR="00B351C3" w:rsidRPr="0028117D">
              <w:rPr>
                <w:rFonts w:ascii="Times New Roman" w:eastAsia="Times New Roman" w:hAnsi="Times New Roman" w:cs="Times New Roman"/>
                <w:sz w:val="20"/>
                <w:szCs w:val="20"/>
              </w:rPr>
              <w:t xml:space="preserve"> adipose tissues</w:t>
            </w:r>
          </w:p>
        </w:tc>
        <w:tc>
          <w:tcPr>
            <w:tcW w:w="1000" w:type="pct"/>
            <w:tcBorders>
              <w:top w:val="single" w:sz="8" w:space="0" w:color="000000" w:themeColor="text1"/>
              <w:bottom w:val="single" w:sz="6" w:space="0" w:color="D0CECE" w:themeColor="background2" w:themeShade="E6"/>
            </w:tcBorders>
            <w:hideMark/>
          </w:tcPr>
          <w:p w14:paraId="67B78C83" w14:textId="17526088"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Cerebellum, testis, appendix, spleen, lymph node</w:t>
            </w:r>
          </w:p>
        </w:tc>
        <w:tc>
          <w:tcPr>
            <w:tcW w:w="2281" w:type="pct"/>
            <w:tcBorders>
              <w:top w:val="single" w:sz="8" w:space="0" w:color="000000" w:themeColor="text1"/>
              <w:bottom w:val="single" w:sz="6" w:space="0" w:color="D0CECE" w:themeColor="background2" w:themeShade="E6"/>
            </w:tcBorders>
          </w:tcPr>
          <w:p w14:paraId="079665E5" w14:textId="78A72106" w:rsidR="00B351C3" w:rsidRPr="0028117D" w:rsidRDefault="00680B95"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In hematopoietic cells, involved in phagocytosis, including particle recognition, cytoskeletal remodeling and membrane protrusion for engulfment and digestion (Sari-Ak et al., 2022)</w:t>
            </w:r>
            <w:r w:rsidR="008B4A99" w:rsidRPr="0028117D">
              <w:rPr>
                <w:rFonts w:ascii="Times New Roman" w:eastAsia="Times New Roman" w:hAnsi="Times New Roman" w:cs="Times New Roman"/>
                <w:sz w:val="20"/>
                <w:szCs w:val="20"/>
              </w:rPr>
              <w:t>. Knockout mice have IL-10 deficiency but are protected from autoimmune colitis and have preserved Treg cell trafficking and function (Sun et al., 2021)</w:t>
            </w:r>
          </w:p>
        </w:tc>
      </w:tr>
      <w:tr w:rsidR="0028117D" w:rsidRPr="0028117D" w14:paraId="6F55CFCC"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4D933D23"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ARID3A</w:t>
            </w:r>
          </w:p>
        </w:tc>
        <w:tc>
          <w:tcPr>
            <w:tcW w:w="1196" w:type="pct"/>
            <w:tcBorders>
              <w:top w:val="single" w:sz="6" w:space="0" w:color="D0CECE" w:themeColor="background2" w:themeShade="E6"/>
              <w:bottom w:val="single" w:sz="6" w:space="0" w:color="D0CECE" w:themeColor="background2" w:themeShade="E6"/>
            </w:tcBorders>
            <w:hideMark/>
          </w:tcPr>
          <w:p w14:paraId="249D57E2" w14:textId="57D27B56" w:rsidR="00B351C3" w:rsidRPr="0028117D" w:rsidRDefault="00B351C3" w:rsidP="00B139B9">
            <w:pPr>
              <w:ind w:right="-102" w:hanging="86"/>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EBV-transformed lymphocytes, testis, whole blood, culture</w:t>
            </w:r>
            <w:r w:rsidR="00054439" w:rsidRPr="0028117D">
              <w:rPr>
                <w:rFonts w:ascii="Times New Roman" w:eastAsia="Times New Roman" w:hAnsi="Times New Roman" w:cs="Times New Roman"/>
                <w:sz w:val="20"/>
                <w:szCs w:val="20"/>
              </w:rPr>
              <w:t>d</w:t>
            </w:r>
            <w:r w:rsidRPr="0028117D">
              <w:rPr>
                <w:rFonts w:ascii="Times New Roman" w:eastAsia="Times New Roman" w:hAnsi="Times New Roman" w:cs="Times New Roman"/>
                <w:sz w:val="20"/>
                <w:szCs w:val="20"/>
              </w:rPr>
              <w:t xml:space="preserve"> fibroblasts</w:t>
            </w:r>
            <w:r w:rsidR="00054439" w:rsidRPr="0028117D">
              <w:rPr>
                <w:rFonts w:ascii="Times New Roman" w:eastAsia="Times New Roman" w:hAnsi="Times New Roman" w:cs="Times New Roman"/>
                <w:sz w:val="20"/>
                <w:szCs w:val="20"/>
              </w:rPr>
              <w:t>,</w:t>
            </w:r>
            <w:r w:rsidRPr="0028117D">
              <w:rPr>
                <w:rFonts w:ascii="Times New Roman" w:eastAsia="Times New Roman" w:hAnsi="Times New Roman" w:cs="Times New Roman"/>
                <w:sz w:val="20"/>
                <w:szCs w:val="20"/>
              </w:rPr>
              <w:t xml:space="preserve"> spleen</w:t>
            </w:r>
          </w:p>
        </w:tc>
        <w:tc>
          <w:tcPr>
            <w:tcW w:w="1000" w:type="pct"/>
            <w:tcBorders>
              <w:top w:val="single" w:sz="6" w:space="0" w:color="D0CECE" w:themeColor="background2" w:themeShade="E6"/>
              <w:bottom w:val="single" w:sz="6" w:space="0" w:color="D0CECE" w:themeColor="background2" w:themeShade="E6"/>
            </w:tcBorders>
            <w:hideMark/>
          </w:tcPr>
          <w:p w14:paraId="43414FB8" w14:textId="610E9E0E"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Placenta, testis, tonsil, cerebral cortex, thyroid gland</w:t>
            </w:r>
          </w:p>
        </w:tc>
        <w:tc>
          <w:tcPr>
            <w:tcW w:w="2281" w:type="pct"/>
            <w:tcBorders>
              <w:top w:val="single" w:sz="6" w:space="0" w:color="D0CECE" w:themeColor="background2" w:themeShade="E6"/>
              <w:bottom w:val="single" w:sz="6" w:space="0" w:color="D0CECE" w:themeColor="background2" w:themeShade="E6"/>
            </w:tcBorders>
          </w:tcPr>
          <w:p w14:paraId="3B9C1EC9" w14:textId="240FF96A" w:rsidR="00B351C3" w:rsidRPr="0028117D" w:rsidRDefault="005C7D92"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 xml:space="preserve">TLR signaling induces </w:t>
            </w:r>
            <w:r w:rsidRPr="0028117D">
              <w:rPr>
                <w:rFonts w:ascii="Times New Roman" w:eastAsia="Times New Roman" w:hAnsi="Times New Roman" w:cs="Times New Roman"/>
                <w:i/>
                <w:iCs/>
                <w:sz w:val="20"/>
                <w:szCs w:val="20"/>
              </w:rPr>
              <w:t xml:space="preserve">ARID3A </w:t>
            </w:r>
            <w:r w:rsidRPr="0028117D">
              <w:rPr>
                <w:rFonts w:ascii="Times New Roman" w:eastAsia="Times New Roman" w:hAnsi="Times New Roman" w:cs="Times New Roman"/>
                <w:sz w:val="20"/>
                <w:szCs w:val="20"/>
              </w:rPr>
              <w:t>expression in hematopoietic progenitors in association with Type I interferon inflammatory cytokines (Ratliff et al., 2020)</w:t>
            </w:r>
            <w:r w:rsidR="00436803" w:rsidRPr="0028117D">
              <w:rPr>
                <w:rFonts w:ascii="Times New Roman" w:eastAsia="Times New Roman" w:hAnsi="Times New Roman" w:cs="Times New Roman"/>
                <w:sz w:val="20"/>
                <w:szCs w:val="20"/>
              </w:rPr>
              <w:t xml:space="preserve">. Both transcription factors </w:t>
            </w:r>
            <w:r w:rsidR="00436803" w:rsidRPr="0028117D">
              <w:rPr>
                <w:rFonts w:ascii="Times New Roman" w:eastAsia="Times New Roman" w:hAnsi="Times New Roman" w:cs="Times New Roman"/>
                <w:i/>
                <w:iCs/>
                <w:sz w:val="20"/>
                <w:szCs w:val="20"/>
              </w:rPr>
              <w:t xml:space="preserve">ARID3A </w:t>
            </w:r>
            <w:r w:rsidR="00436803" w:rsidRPr="0028117D">
              <w:rPr>
                <w:rFonts w:ascii="Times New Roman" w:eastAsia="Times New Roman" w:hAnsi="Times New Roman" w:cs="Times New Roman"/>
                <w:sz w:val="20"/>
                <w:szCs w:val="20"/>
              </w:rPr>
              <w:t xml:space="preserve">and </w:t>
            </w:r>
            <w:r w:rsidR="00436803" w:rsidRPr="0028117D">
              <w:rPr>
                <w:rFonts w:ascii="Times New Roman" w:eastAsia="Times New Roman" w:hAnsi="Times New Roman" w:cs="Times New Roman"/>
                <w:i/>
                <w:iCs/>
                <w:sz w:val="20"/>
                <w:szCs w:val="20"/>
              </w:rPr>
              <w:t xml:space="preserve">BHLHE41 </w:t>
            </w:r>
            <w:r w:rsidR="00436803" w:rsidRPr="0028117D">
              <w:rPr>
                <w:rFonts w:ascii="Times New Roman" w:eastAsia="Times New Roman" w:hAnsi="Times New Roman" w:cs="Times New Roman"/>
                <w:sz w:val="20"/>
                <w:szCs w:val="20"/>
              </w:rPr>
              <w:t xml:space="preserve">regulate the development of </w:t>
            </w:r>
            <w:r w:rsidR="006133C8" w:rsidRPr="0028117D">
              <w:rPr>
                <w:rFonts w:ascii="Times New Roman" w:eastAsia="Times New Roman" w:hAnsi="Times New Roman" w:cs="Times New Roman"/>
                <w:sz w:val="20"/>
                <w:szCs w:val="20"/>
              </w:rPr>
              <w:t xml:space="preserve">innate-like </w:t>
            </w:r>
            <w:r w:rsidR="00436803" w:rsidRPr="0028117D">
              <w:rPr>
                <w:rFonts w:ascii="Times New Roman" w:eastAsia="Times New Roman" w:hAnsi="Times New Roman" w:cs="Times New Roman"/>
                <w:sz w:val="20"/>
                <w:szCs w:val="20"/>
              </w:rPr>
              <w:t>B-1a lymphocytes (</w:t>
            </w:r>
            <w:proofErr w:type="spellStart"/>
            <w:r w:rsidR="00436803" w:rsidRPr="0028117D">
              <w:rPr>
                <w:rFonts w:ascii="Times New Roman" w:eastAsia="Times New Roman" w:hAnsi="Times New Roman" w:cs="Times New Roman"/>
                <w:sz w:val="20"/>
                <w:szCs w:val="20"/>
              </w:rPr>
              <w:t>Kreslavsky</w:t>
            </w:r>
            <w:proofErr w:type="spellEnd"/>
            <w:r w:rsidR="00436803" w:rsidRPr="0028117D">
              <w:rPr>
                <w:rFonts w:ascii="Times New Roman" w:eastAsia="Times New Roman" w:hAnsi="Times New Roman" w:cs="Times New Roman"/>
                <w:sz w:val="20"/>
                <w:szCs w:val="20"/>
              </w:rPr>
              <w:t xml:space="preserve"> et al., 2018)</w:t>
            </w:r>
            <w:r w:rsidR="009C627A" w:rsidRPr="0028117D">
              <w:rPr>
                <w:rFonts w:ascii="Times New Roman" w:eastAsia="Times New Roman" w:hAnsi="Times New Roman" w:cs="Times New Roman"/>
                <w:sz w:val="20"/>
                <w:szCs w:val="20"/>
              </w:rPr>
              <w:t xml:space="preserve">. Transgenic mice with dominant-negative Bright/Arid3a </w:t>
            </w:r>
            <w:r w:rsidR="000C5FC6" w:rsidRPr="0028117D">
              <w:rPr>
                <w:rFonts w:ascii="Times New Roman" w:eastAsia="Times New Roman" w:hAnsi="Times New Roman" w:cs="Times New Roman"/>
                <w:sz w:val="20"/>
                <w:szCs w:val="20"/>
              </w:rPr>
              <w:t xml:space="preserve">had decreased serum IgM, B1 B cells that were functionally deficient in Ig secretion, and poor anti-phosphorylcholine responses which confer protection against </w:t>
            </w:r>
            <w:r w:rsidR="000C5FC6" w:rsidRPr="0028117D">
              <w:rPr>
                <w:rFonts w:ascii="Times New Roman" w:eastAsia="Times New Roman" w:hAnsi="Times New Roman" w:cs="Times New Roman"/>
                <w:i/>
                <w:iCs/>
                <w:sz w:val="20"/>
                <w:szCs w:val="20"/>
              </w:rPr>
              <w:t xml:space="preserve">S. pneumoniae </w:t>
            </w:r>
            <w:r w:rsidR="000C5FC6" w:rsidRPr="0028117D">
              <w:rPr>
                <w:rFonts w:ascii="Times New Roman" w:eastAsia="Times New Roman" w:hAnsi="Times New Roman" w:cs="Times New Roman"/>
                <w:sz w:val="20"/>
                <w:szCs w:val="20"/>
              </w:rPr>
              <w:t>(Nixon et al., 2008)</w:t>
            </w:r>
          </w:p>
        </w:tc>
      </w:tr>
      <w:tr w:rsidR="0028117D" w:rsidRPr="0028117D" w14:paraId="000E9EB1"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4A11A997"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BHLHE41</w:t>
            </w:r>
          </w:p>
        </w:tc>
        <w:tc>
          <w:tcPr>
            <w:tcW w:w="1196" w:type="pct"/>
            <w:tcBorders>
              <w:top w:val="single" w:sz="6" w:space="0" w:color="D0CECE" w:themeColor="background2" w:themeShade="E6"/>
              <w:bottom w:val="single" w:sz="6" w:space="0" w:color="D0CECE" w:themeColor="background2" w:themeShade="E6"/>
            </w:tcBorders>
            <w:hideMark/>
          </w:tcPr>
          <w:p w14:paraId="22A3CFA9" w14:textId="40D26AF5" w:rsidR="00B351C3"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B</w:t>
            </w:r>
            <w:r w:rsidR="00B351C3" w:rsidRPr="0028117D">
              <w:rPr>
                <w:rFonts w:ascii="Times New Roman" w:eastAsia="Times New Roman" w:hAnsi="Times New Roman" w:cs="Times New Roman"/>
                <w:sz w:val="20"/>
                <w:szCs w:val="20"/>
              </w:rPr>
              <w:t>rain</w:t>
            </w:r>
            <w:r w:rsidRPr="0028117D">
              <w:rPr>
                <w:rFonts w:ascii="Times New Roman" w:eastAsia="Times New Roman" w:hAnsi="Times New Roman" w:cs="Times New Roman"/>
                <w:sz w:val="20"/>
                <w:szCs w:val="20"/>
              </w:rPr>
              <w:t>,</w:t>
            </w:r>
            <w:r w:rsidR="00B351C3" w:rsidRPr="0028117D">
              <w:rPr>
                <w:rFonts w:ascii="Times New Roman" w:eastAsia="Times New Roman" w:hAnsi="Times New Roman" w:cs="Times New Roman"/>
                <w:sz w:val="20"/>
                <w:szCs w:val="20"/>
              </w:rPr>
              <w:t xml:space="preserve"> thyroid</w:t>
            </w:r>
          </w:p>
        </w:tc>
        <w:tc>
          <w:tcPr>
            <w:tcW w:w="1000" w:type="pct"/>
            <w:tcBorders>
              <w:top w:val="single" w:sz="6" w:space="0" w:color="D0CECE" w:themeColor="background2" w:themeShade="E6"/>
              <w:bottom w:val="single" w:sz="6" w:space="0" w:color="D0CECE" w:themeColor="background2" w:themeShade="E6"/>
            </w:tcBorders>
            <w:hideMark/>
          </w:tcPr>
          <w:p w14:paraId="01625D04" w14:textId="557E965F" w:rsidR="00B351C3" w:rsidRPr="0028117D" w:rsidRDefault="00054439"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NA</w:t>
            </w:r>
          </w:p>
        </w:tc>
        <w:tc>
          <w:tcPr>
            <w:tcW w:w="2281" w:type="pct"/>
            <w:tcBorders>
              <w:top w:val="single" w:sz="6" w:space="0" w:color="D0CECE" w:themeColor="background2" w:themeShade="E6"/>
              <w:bottom w:val="single" w:sz="6" w:space="0" w:color="D0CECE" w:themeColor="background2" w:themeShade="E6"/>
            </w:tcBorders>
          </w:tcPr>
          <w:p w14:paraId="35971508" w14:textId="07B05176" w:rsidR="00B351C3" w:rsidRPr="0028117D" w:rsidRDefault="001550B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 xml:space="preserve">See note from </w:t>
            </w:r>
            <w:proofErr w:type="spellStart"/>
            <w:r w:rsidRPr="0028117D">
              <w:rPr>
                <w:rFonts w:ascii="Times New Roman" w:eastAsia="Times New Roman" w:hAnsi="Times New Roman" w:cs="Times New Roman"/>
                <w:sz w:val="20"/>
                <w:szCs w:val="20"/>
              </w:rPr>
              <w:t>Kreslavasky</w:t>
            </w:r>
            <w:proofErr w:type="spellEnd"/>
            <w:r w:rsidRPr="0028117D">
              <w:rPr>
                <w:rFonts w:ascii="Times New Roman" w:eastAsia="Times New Roman" w:hAnsi="Times New Roman" w:cs="Times New Roman"/>
                <w:sz w:val="20"/>
                <w:szCs w:val="20"/>
              </w:rPr>
              <w:t xml:space="preserve"> et al. 2018 above. With knockdown of </w:t>
            </w:r>
            <w:r w:rsidRPr="0028117D">
              <w:rPr>
                <w:rFonts w:ascii="Times New Roman" w:eastAsia="Times New Roman" w:hAnsi="Times New Roman" w:cs="Times New Roman"/>
                <w:i/>
                <w:iCs/>
                <w:sz w:val="20"/>
                <w:szCs w:val="20"/>
              </w:rPr>
              <w:t xml:space="preserve">Bhlhe41, </w:t>
            </w:r>
            <w:r w:rsidRPr="0028117D">
              <w:rPr>
                <w:rFonts w:ascii="Times New Roman" w:eastAsia="Times New Roman" w:hAnsi="Times New Roman" w:cs="Times New Roman"/>
                <w:sz w:val="20"/>
                <w:szCs w:val="20"/>
              </w:rPr>
              <w:t xml:space="preserve">B-1a cells were reduced. Mutant B-1a cells had abnormal cell surface and </w:t>
            </w:r>
            <w:r w:rsidR="00CF113C" w:rsidRPr="0028117D">
              <w:rPr>
                <w:rFonts w:ascii="Times New Roman" w:eastAsia="Times New Roman" w:hAnsi="Times New Roman" w:cs="Times New Roman"/>
                <w:sz w:val="20"/>
                <w:szCs w:val="20"/>
              </w:rPr>
              <w:t>altered B cell receptor repertoire (</w:t>
            </w:r>
            <w:proofErr w:type="spellStart"/>
            <w:r w:rsidR="00CF113C" w:rsidRPr="0028117D">
              <w:rPr>
                <w:rFonts w:ascii="Times New Roman" w:eastAsia="Times New Roman" w:hAnsi="Times New Roman" w:cs="Times New Roman"/>
                <w:sz w:val="20"/>
                <w:szCs w:val="20"/>
              </w:rPr>
              <w:t>Kreslavsky</w:t>
            </w:r>
            <w:proofErr w:type="spellEnd"/>
            <w:r w:rsidR="00CF113C" w:rsidRPr="0028117D">
              <w:rPr>
                <w:rFonts w:ascii="Times New Roman" w:eastAsia="Times New Roman" w:hAnsi="Times New Roman" w:cs="Times New Roman"/>
                <w:sz w:val="20"/>
                <w:szCs w:val="20"/>
              </w:rPr>
              <w:t xml:space="preserve"> et al., 2017)</w:t>
            </w:r>
            <w:r w:rsidR="00A30BB7" w:rsidRPr="0028117D">
              <w:rPr>
                <w:rFonts w:ascii="Times New Roman" w:eastAsia="Times New Roman" w:hAnsi="Times New Roman" w:cs="Times New Roman"/>
                <w:sz w:val="20"/>
                <w:szCs w:val="20"/>
              </w:rPr>
              <w:t xml:space="preserve">. </w:t>
            </w:r>
            <w:proofErr w:type="gramStart"/>
            <w:r w:rsidR="00A30BB7" w:rsidRPr="0028117D">
              <w:rPr>
                <w:rFonts w:ascii="Times New Roman" w:eastAsia="Times New Roman" w:hAnsi="Times New Roman" w:cs="Times New Roman"/>
                <w:sz w:val="20"/>
                <w:szCs w:val="20"/>
              </w:rPr>
              <w:t>Also</w:t>
            </w:r>
            <w:proofErr w:type="gramEnd"/>
            <w:r w:rsidR="00A30BB7" w:rsidRPr="0028117D">
              <w:rPr>
                <w:rFonts w:ascii="Times New Roman" w:eastAsia="Times New Roman" w:hAnsi="Times New Roman" w:cs="Times New Roman"/>
                <w:sz w:val="20"/>
                <w:szCs w:val="20"/>
              </w:rPr>
              <w:t xml:space="preserve"> </w:t>
            </w:r>
            <w:r w:rsidR="00A30BB7" w:rsidRPr="0028117D">
              <w:rPr>
                <w:rFonts w:ascii="Times New Roman" w:eastAsia="Times New Roman" w:hAnsi="Times New Roman" w:cs="Times New Roman"/>
                <w:i/>
                <w:iCs/>
                <w:sz w:val="20"/>
                <w:szCs w:val="20"/>
              </w:rPr>
              <w:t xml:space="preserve">Bhlhe41 </w:t>
            </w:r>
            <w:r w:rsidR="00A30BB7" w:rsidRPr="0028117D">
              <w:rPr>
                <w:rFonts w:ascii="Times New Roman" w:eastAsia="Times New Roman" w:hAnsi="Times New Roman" w:cs="Times New Roman"/>
                <w:sz w:val="20"/>
                <w:szCs w:val="20"/>
              </w:rPr>
              <w:t xml:space="preserve">and </w:t>
            </w:r>
            <w:r w:rsidR="00A30BB7" w:rsidRPr="0028117D">
              <w:rPr>
                <w:rFonts w:ascii="Times New Roman" w:eastAsia="Times New Roman" w:hAnsi="Times New Roman" w:cs="Times New Roman"/>
                <w:i/>
                <w:iCs/>
                <w:sz w:val="20"/>
                <w:szCs w:val="20"/>
              </w:rPr>
              <w:t xml:space="preserve">Bhlhe40 </w:t>
            </w:r>
            <w:r w:rsidR="00A30BB7" w:rsidRPr="0028117D">
              <w:rPr>
                <w:rFonts w:ascii="Times New Roman" w:eastAsia="Times New Roman" w:hAnsi="Times New Roman" w:cs="Times New Roman"/>
                <w:sz w:val="20"/>
                <w:szCs w:val="20"/>
              </w:rPr>
              <w:t>regulate self-renewal of alveolar macrophages (</w:t>
            </w:r>
            <w:proofErr w:type="spellStart"/>
            <w:r w:rsidR="00A30BB7" w:rsidRPr="0028117D">
              <w:rPr>
                <w:rFonts w:ascii="Times New Roman" w:eastAsia="Times New Roman" w:hAnsi="Times New Roman" w:cs="Times New Roman"/>
                <w:sz w:val="20"/>
                <w:szCs w:val="20"/>
              </w:rPr>
              <w:t>Rauschmeier</w:t>
            </w:r>
            <w:proofErr w:type="spellEnd"/>
            <w:r w:rsidR="00A30BB7" w:rsidRPr="0028117D">
              <w:rPr>
                <w:rFonts w:ascii="Times New Roman" w:eastAsia="Times New Roman" w:hAnsi="Times New Roman" w:cs="Times New Roman"/>
                <w:sz w:val="20"/>
                <w:szCs w:val="20"/>
              </w:rPr>
              <w:t xml:space="preserve"> et al., </w:t>
            </w:r>
            <w:r w:rsidR="006A1194" w:rsidRPr="0028117D">
              <w:rPr>
                <w:rFonts w:ascii="Times New Roman" w:eastAsia="Times New Roman" w:hAnsi="Times New Roman" w:cs="Times New Roman"/>
                <w:sz w:val="20"/>
                <w:szCs w:val="20"/>
              </w:rPr>
              <w:t>2019)</w:t>
            </w:r>
          </w:p>
        </w:tc>
      </w:tr>
      <w:tr w:rsidR="0028117D" w:rsidRPr="0028117D" w14:paraId="4D4295A8"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4BEA8F84"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C5AR1</w:t>
            </w:r>
          </w:p>
        </w:tc>
        <w:tc>
          <w:tcPr>
            <w:tcW w:w="1196" w:type="pct"/>
            <w:tcBorders>
              <w:top w:val="single" w:sz="6" w:space="0" w:color="D0CECE" w:themeColor="background2" w:themeShade="E6"/>
              <w:bottom w:val="single" w:sz="6" w:space="0" w:color="D0CECE" w:themeColor="background2" w:themeShade="E6"/>
            </w:tcBorders>
            <w:hideMark/>
          </w:tcPr>
          <w:p w14:paraId="0090A309" w14:textId="635E153D" w:rsidR="00B351C3"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W</w:t>
            </w:r>
            <w:r w:rsidR="00B351C3" w:rsidRPr="0028117D">
              <w:rPr>
                <w:rFonts w:ascii="Times New Roman" w:eastAsia="Times New Roman" w:hAnsi="Times New Roman" w:cs="Times New Roman"/>
                <w:sz w:val="20"/>
                <w:szCs w:val="20"/>
              </w:rPr>
              <w:t>hole blood, pituitary, lung, spleen</w:t>
            </w:r>
            <w:r w:rsidR="00054439" w:rsidRPr="0028117D">
              <w:rPr>
                <w:rFonts w:ascii="Times New Roman" w:eastAsia="Times New Roman" w:hAnsi="Times New Roman" w:cs="Times New Roman"/>
                <w:sz w:val="20"/>
                <w:szCs w:val="20"/>
              </w:rPr>
              <w:t>,</w:t>
            </w:r>
            <w:r w:rsidRPr="0028117D">
              <w:rPr>
                <w:rFonts w:ascii="Times New Roman" w:eastAsia="Times New Roman" w:hAnsi="Times New Roman" w:cs="Times New Roman"/>
                <w:sz w:val="20"/>
                <w:szCs w:val="20"/>
              </w:rPr>
              <w:t xml:space="preserve"> </w:t>
            </w:r>
            <w:r w:rsidR="00B351C3" w:rsidRPr="0028117D">
              <w:rPr>
                <w:rFonts w:ascii="Times New Roman" w:eastAsia="Times New Roman" w:hAnsi="Times New Roman" w:cs="Times New Roman"/>
                <w:sz w:val="20"/>
                <w:szCs w:val="20"/>
              </w:rPr>
              <w:t>aorta</w:t>
            </w:r>
          </w:p>
        </w:tc>
        <w:tc>
          <w:tcPr>
            <w:tcW w:w="1000" w:type="pct"/>
            <w:tcBorders>
              <w:top w:val="single" w:sz="6" w:space="0" w:color="D0CECE" w:themeColor="background2" w:themeShade="E6"/>
              <w:bottom w:val="single" w:sz="6" w:space="0" w:color="D0CECE" w:themeColor="background2" w:themeShade="E6"/>
            </w:tcBorders>
            <w:hideMark/>
          </w:tcPr>
          <w:p w14:paraId="47CB367C" w14:textId="6D8CB30D"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Spleen, bone marrow, cerebral cortex, adrenal gland, lung</w:t>
            </w:r>
          </w:p>
        </w:tc>
        <w:tc>
          <w:tcPr>
            <w:tcW w:w="2281" w:type="pct"/>
            <w:tcBorders>
              <w:top w:val="single" w:sz="6" w:space="0" w:color="D0CECE" w:themeColor="background2" w:themeShade="E6"/>
              <w:bottom w:val="single" w:sz="6" w:space="0" w:color="D0CECE" w:themeColor="background2" w:themeShade="E6"/>
            </w:tcBorders>
          </w:tcPr>
          <w:p w14:paraId="59F5FEF3" w14:textId="32B8CD8E" w:rsidR="00B351C3" w:rsidRPr="0028117D" w:rsidRDefault="0002098D"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C5AR modulates TLR4 signaling in macrophages, restraining inflammatory responses to localized infections (</w:t>
            </w:r>
            <w:proofErr w:type="spellStart"/>
            <w:r w:rsidRPr="0028117D">
              <w:rPr>
                <w:rFonts w:ascii="Times New Roman" w:eastAsia="Times New Roman" w:hAnsi="Times New Roman" w:cs="Times New Roman"/>
                <w:sz w:val="20"/>
                <w:szCs w:val="20"/>
              </w:rPr>
              <w:t>Seow</w:t>
            </w:r>
            <w:proofErr w:type="spellEnd"/>
            <w:r w:rsidRPr="0028117D">
              <w:rPr>
                <w:rFonts w:ascii="Times New Roman" w:eastAsia="Times New Roman" w:hAnsi="Times New Roman" w:cs="Times New Roman"/>
                <w:sz w:val="20"/>
                <w:szCs w:val="20"/>
              </w:rPr>
              <w:t xml:space="preserve"> et al., 2013). </w:t>
            </w:r>
            <w:r w:rsidR="0031592E" w:rsidRPr="0028117D">
              <w:rPr>
                <w:rFonts w:ascii="Times New Roman" w:eastAsia="Times New Roman" w:hAnsi="Times New Roman" w:cs="Times New Roman"/>
                <w:sz w:val="20"/>
                <w:szCs w:val="20"/>
              </w:rPr>
              <w:t xml:space="preserve">Crosstalk between C5AR and other innate immune receptors </w:t>
            </w:r>
            <w:r w:rsidR="00473100" w:rsidRPr="0028117D">
              <w:rPr>
                <w:rFonts w:ascii="Times New Roman" w:eastAsia="Times New Roman" w:hAnsi="Times New Roman" w:cs="Times New Roman"/>
                <w:sz w:val="20"/>
                <w:szCs w:val="20"/>
              </w:rPr>
              <w:t xml:space="preserve">increases the proinflammatory response, esp. with pneumococcal induction (van der Maten et al., 2016). </w:t>
            </w:r>
            <w:r w:rsidR="001B2048" w:rsidRPr="0028117D">
              <w:rPr>
                <w:rFonts w:ascii="Times New Roman" w:eastAsia="Times New Roman" w:hAnsi="Times New Roman" w:cs="Times New Roman"/>
                <w:sz w:val="20"/>
                <w:szCs w:val="20"/>
              </w:rPr>
              <w:t>C5ar1 deficiency in mice attenuate</w:t>
            </w:r>
            <w:r w:rsidR="00524EED" w:rsidRPr="0028117D">
              <w:rPr>
                <w:rFonts w:ascii="Times New Roman" w:eastAsia="Times New Roman" w:hAnsi="Times New Roman" w:cs="Times New Roman"/>
                <w:sz w:val="20"/>
                <w:szCs w:val="20"/>
              </w:rPr>
              <w:t>d</w:t>
            </w:r>
            <w:r w:rsidR="001B2048" w:rsidRPr="0028117D">
              <w:rPr>
                <w:rFonts w:ascii="Times New Roman" w:eastAsia="Times New Roman" w:hAnsi="Times New Roman" w:cs="Times New Roman"/>
                <w:sz w:val="20"/>
                <w:szCs w:val="20"/>
              </w:rPr>
              <w:t xml:space="preserve"> the IL-1ß response</w:t>
            </w:r>
            <w:r w:rsidR="003611C1" w:rsidRPr="0028117D">
              <w:rPr>
                <w:rFonts w:ascii="Times New Roman" w:eastAsia="Times New Roman" w:hAnsi="Times New Roman" w:cs="Times New Roman"/>
                <w:sz w:val="20"/>
                <w:szCs w:val="20"/>
              </w:rPr>
              <w:t xml:space="preserve"> of monocytes and macrophages</w:t>
            </w:r>
            <w:r w:rsidR="001B2048" w:rsidRPr="0028117D">
              <w:rPr>
                <w:rFonts w:ascii="Times New Roman" w:eastAsia="Times New Roman" w:hAnsi="Times New Roman" w:cs="Times New Roman"/>
                <w:sz w:val="20"/>
                <w:szCs w:val="20"/>
              </w:rPr>
              <w:t xml:space="preserve"> to LPS challenge (</w:t>
            </w:r>
            <w:proofErr w:type="spellStart"/>
            <w:r w:rsidR="001B2048" w:rsidRPr="0028117D">
              <w:rPr>
                <w:rFonts w:ascii="Times New Roman" w:eastAsia="Times New Roman" w:hAnsi="Times New Roman" w:cs="Times New Roman"/>
                <w:sz w:val="20"/>
                <w:szCs w:val="20"/>
              </w:rPr>
              <w:t>Haggadone</w:t>
            </w:r>
            <w:proofErr w:type="spellEnd"/>
            <w:r w:rsidR="001B2048" w:rsidRPr="0028117D">
              <w:rPr>
                <w:rFonts w:ascii="Times New Roman" w:eastAsia="Times New Roman" w:hAnsi="Times New Roman" w:cs="Times New Roman"/>
                <w:sz w:val="20"/>
                <w:szCs w:val="20"/>
              </w:rPr>
              <w:t xml:space="preserve"> et al.</w:t>
            </w:r>
            <w:r w:rsidR="00524EED" w:rsidRPr="0028117D">
              <w:rPr>
                <w:rFonts w:ascii="Times New Roman" w:eastAsia="Times New Roman" w:hAnsi="Times New Roman" w:cs="Times New Roman"/>
                <w:sz w:val="20"/>
                <w:szCs w:val="20"/>
              </w:rPr>
              <w:t>,</w:t>
            </w:r>
            <w:r w:rsidR="001B2048" w:rsidRPr="0028117D">
              <w:rPr>
                <w:rFonts w:ascii="Times New Roman" w:eastAsia="Times New Roman" w:hAnsi="Times New Roman" w:cs="Times New Roman"/>
                <w:sz w:val="20"/>
                <w:szCs w:val="20"/>
              </w:rPr>
              <w:t xml:space="preserve"> 2016)</w:t>
            </w:r>
            <w:r w:rsidR="00524EED" w:rsidRPr="0028117D">
              <w:rPr>
                <w:rFonts w:ascii="Times New Roman" w:eastAsia="Times New Roman" w:hAnsi="Times New Roman" w:cs="Times New Roman"/>
                <w:sz w:val="20"/>
                <w:szCs w:val="20"/>
              </w:rPr>
              <w:t>, decreased IL-10 production and increased IFN-gamma (Sommerfeld et al., 2021)</w:t>
            </w:r>
            <w:r w:rsidR="001B2048" w:rsidRPr="0028117D">
              <w:rPr>
                <w:rFonts w:ascii="Times New Roman" w:eastAsia="Times New Roman" w:hAnsi="Times New Roman" w:cs="Times New Roman"/>
                <w:sz w:val="20"/>
                <w:szCs w:val="20"/>
              </w:rPr>
              <w:t xml:space="preserve">. </w:t>
            </w:r>
            <w:r w:rsidR="00473100" w:rsidRPr="0028117D">
              <w:rPr>
                <w:rFonts w:ascii="Times New Roman" w:eastAsia="Times New Roman" w:hAnsi="Times New Roman" w:cs="Times New Roman"/>
                <w:i/>
                <w:iCs/>
                <w:sz w:val="20"/>
                <w:szCs w:val="20"/>
              </w:rPr>
              <w:t>C5ar</w:t>
            </w:r>
            <w:r w:rsidR="001B2048" w:rsidRPr="0028117D">
              <w:rPr>
                <w:rFonts w:ascii="Times New Roman" w:eastAsia="Times New Roman" w:hAnsi="Times New Roman" w:cs="Times New Roman"/>
                <w:i/>
                <w:iCs/>
                <w:sz w:val="20"/>
                <w:szCs w:val="20"/>
              </w:rPr>
              <w:t>1</w:t>
            </w:r>
            <w:r w:rsidR="00473100" w:rsidRPr="0028117D">
              <w:rPr>
                <w:rFonts w:ascii="Times New Roman" w:eastAsia="Times New Roman" w:hAnsi="Times New Roman" w:cs="Times New Roman"/>
                <w:i/>
                <w:iCs/>
                <w:sz w:val="20"/>
                <w:szCs w:val="20"/>
              </w:rPr>
              <w:t>-</w:t>
            </w:r>
            <w:r w:rsidR="00473100" w:rsidRPr="0028117D">
              <w:rPr>
                <w:rFonts w:ascii="Times New Roman" w:eastAsia="Times New Roman" w:hAnsi="Times New Roman" w:cs="Times New Roman"/>
                <w:sz w:val="20"/>
                <w:szCs w:val="20"/>
              </w:rPr>
              <w:t xml:space="preserve">null mice </w:t>
            </w:r>
            <w:r w:rsidR="0040275C" w:rsidRPr="0028117D">
              <w:rPr>
                <w:rFonts w:ascii="Times New Roman" w:eastAsia="Times New Roman" w:hAnsi="Times New Roman" w:cs="Times New Roman"/>
                <w:sz w:val="20"/>
                <w:szCs w:val="20"/>
              </w:rPr>
              <w:t xml:space="preserve">had increased capacity to clear </w:t>
            </w:r>
            <w:r w:rsidR="0040275C" w:rsidRPr="0028117D">
              <w:rPr>
                <w:rFonts w:ascii="Times New Roman" w:eastAsia="Times New Roman" w:hAnsi="Times New Roman" w:cs="Times New Roman"/>
                <w:i/>
                <w:iCs/>
                <w:sz w:val="20"/>
                <w:szCs w:val="20"/>
              </w:rPr>
              <w:t xml:space="preserve">P. </w:t>
            </w:r>
            <w:proofErr w:type="spellStart"/>
            <w:r w:rsidR="0040275C" w:rsidRPr="0028117D">
              <w:rPr>
                <w:rFonts w:ascii="Times New Roman" w:eastAsia="Times New Roman" w:hAnsi="Times New Roman" w:cs="Times New Roman"/>
                <w:i/>
                <w:iCs/>
                <w:sz w:val="20"/>
                <w:szCs w:val="20"/>
              </w:rPr>
              <w:t>gingivalis</w:t>
            </w:r>
            <w:proofErr w:type="spellEnd"/>
            <w:r w:rsidR="0040275C" w:rsidRPr="0028117D">
              <w:rPr>
                <w:rFonts w:ascii="Times New Roman" w:eastAsia="Times New Roman" w:hAnsi="Times New Roman" w:cs="Times New Roman"/>
                <w:i/>
                <w:iCs/>
                <w:sz w:val="20"/>
                <w:szCs w:val="20"/>
              </w:rPr>
              <w:t xml:space="preserve"> </w:t>
            </w:r>
            <w:r w:rsidR="0040275C" w:rsidRPr="0028117D">
              <w:rPr>
                <w:rFonts w:ascii="Times New Roman" w:eastAsia="Times New Roman" w:hAnsi="Times New Roman" w:cs="Times New Roman"/>
                <w:sz w:val="20"/>
                <w:szCs w:val="20"/>
              </w:rPr>
              <w:t xml:space="preserve">but recruited lower numbers of neutrophils (Maekawa et al., 2014). </w:t>
            </w:r>
            <w:proofErr w:type="gramStart"/>
            <w:r w:rsidR="00A96857" w:rsidRPr="0028117D">
              <w:rPr>
                <w:rFonts w:ascii="Times New Roman" w:eastAsia="Times New Roman" w:hAnsi="Times New Roman" w:cs="Times New Roman"/>
                <w:sz w:val="20"/>
                <w:szCs w:val="20"/>
              </w:rPr>
              <w:t>Similarly</w:t>
            </w:r>
            <w:proofErr w:type="gramEnd"/>
            <w:r w:rsidR="00A96857" w:rsidRPr="0028117D">
              <w:rPr>
                <w:rFonts w:ascii="Times New Roman" w:eastAsia="Times New Roman" w:hAnsi="Times New Roman" w:cs="Times New Roman"/>
                <w:sz w:val="20"/>
                <w:szCs w:val="20"/>
              </w:rPr>
              <w:t xml:space="preserve"> </w:t>
            </w:r>
            <w:r w:rsidR="00A96857" w:rsidRPr="0028117D">
              <w:rPr>
                <w:rFonts w:ascii="Times New Roman" w:eastAsia="Times New Roman" w:hAnsi="Times New Roman" w:cs="Times New Roman"/>
                <w:i/>
                <w:iCs/>
                <w:sz w:val="20"/>
                <w:szCs w:val="20"/>
              </w:rPr>
              <w:t>C5ar1-</w:t>
            </w:r>
            <w:r w:rsidR="00A96857" w:rsidRPr="0028117D">
              <w:rPr>
                <w:rFonts w:ascii="Times New Roman" w:eastAsia="Times New Roman" w:hAnsi="Times New Roman" w:cs="Times New Roman"/>
                <w:sz w:val="20"/>
                <w:szCs w:val="20"/>
              </w:rPr>
              <w:t xml:space="preserve">deficient mice had enhanced clearance of </w:t>
            </w:r>
            <w:r w:rsidR="00A96857" w:rsidRPr="0028117D">
              <w:rPr>
                <w:rFonts w:ascii="Times New Roman" w:eastAsia="Times New Roman" w:hAnsi="Times New Roman" w:cs="Times New Roman"/>
                <w:i/>
                <w:iCs/>
                <w:sz w:val="20"/>
                <w:szCs w:val="20"/>
              </w:rPr>
              <w:t xml:space="preserve">S. pneumoniae </w:t>
            </w:r>
            <w:r w:rsidR="00A96857" w:rsidRPr="0028117D">
              <w:rPr>
                <w:rFonts w:ascii="Times New Roman" w:eastAsia="Times New Roman" w:hAnsi="Times New Roman" w:cs="Times New Roman"/>
                <w:sz w:val="20"/>
                <w:szCs w:val="20"/>
              </w:rPr>
              <w:t>and reduced severity of acute pneumococcal otitis media after influenza viral infection (Tong et al., 2014)</w:t>
            </w:r>
          </w:p>
        </w:tc>
      </w:tr>
      <w:tr w:rsidR="0028117D" w:rsidRPr="0028117D" w14:paraId="4D4C1A5F"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0E741EA8"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CPT1B</w:t>
            </w:r>
          </w:p>
        </w:tc>
        <w:tc>
          <w:tcPr>
            <w:tcW w:w="1196" w:type="pct"/>
            <w:tcBorders>
              <w:top w:val="single" w:sz="6" w:space="0" w:color="D0CECE" w:themeColor="background2" w:themeShade="E6"/>
              <w:bottom w:val="single" w:sz="6" w:space="0" w:color="D0CECE" w:themeColor="background2" w:themeShade="E6"/>
            </w:tcBorders>
            <w:hideMark/>
          </w:tcPr>
          <w:p w14:paraId="17C8D798" w14:textId="2B61B601" w:rsidR="00B351C3"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T</w:t>
            </w:r>
            <w:r w:rsidR="00B351C3" w:rsidRPr="0028117D">
              <w:rPr>
                <w:rFonts w:ascii="Times New Roman" w:eastAsia="Times New Roman" w:hAnsi="Times New Roman" w:cs="Times New Roman"/>
                <w:sz w:val="20"/>
                <w:szCs w:val="20"/>
              </w:rPr>
              <w:t>estes, heart, skeletal muscle, brain</w:t>
            </w:r>
          </w:p>
        </w:tc>
        <w:tc>
          <w:tcPr>
            <w:tcW w:w="1000" w:type="pct"/>
            <w:tcBorders>
              <w:top w:val="single" w:sz="6" w:space="0" w:color="D0CECE" w:themeColor="background2" w:themeShade="E6"/>
              <w:bottom w:val="single" w:sz="6" w:space="0" w:color="D0CECE" w:themeColor="background2" w:themeShade="E6"/>
            </w:tcBorders>
            <w:hideMark/>
          </w:tcPr>
          <w:p w14:paraId="0F039D6A" w14:textId="3A67509C"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Parathyroid gland, testis, heart muscle, skeletal muscle, kidney</w:t>
            </w:r>
          </w:p>
        </w:tc>
        <w:tc>
          <w:tcPr>
            <w:tcW w:w="2281" w:type="pct"/>
            <w:tcBorders>
              <w:top w:val="single" w:sz="6" w:space="0" w:color="D0CECE" w:themeColor="background2" w:themeShade="E6"/>
              <w:bottom w:val="single" w:sz="6" w:space="0" w:color="D0CECE" w:themeColor="background2" w:themeShade="E6"/>
            </w:tcBorders>
          </w:tcPr>
          <w:p w14:paraId="18BAB205" w14:textId="0E2EB84B" w:rsidR="00B351C3" w:rsidRPr="0028117D" w:rsidRDefault="00D270FF"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CPT1B is a r</w:t>
            </w:r>
            <w:r w:rsidR="00B351C3" w:rsidRPr="0028117D">
              <w:rPr>
                <w:rFonts w:ascii="Times New Roman" w:eastAsia="Times New Roman" w:hAnsi="Times New Roman" w:cs="Times New Roman"/>
                <w:sz w:val="20"/>
                <w:szCs w:val="20"/>
              </w:rPr>
              <w:t>ate-controlling enzyme of long chain fatty acid beta-oxidation pathway in muscle mitochondria</w:t>
            </w:r>
            <w:r w:rsidRPr="0028117D">
              <w:rPr>
                <w:rFonts w:ascii="Times New Roman" w:eastAsia="Times New Roman" w:hAnsi="Times New Roman" w:cs="Times New Roman"/>
                <w:sz w:val="20"/>
                <w:szCs w:val="20"/>
              </w:rPr>
              <w:t xml:space="preserve">. </w:t>
            </w:r>
            <w:r w:rsidRPr="0028117D">
              <w:rPr>
                <w:rFonts w:ascii="Times New Roman" w:eastAsia="Times New Roman" w:hAnsi="Times New Roman" w:cs="Times New Roman"/>
                <w:i/>
                <w:iCs/>
                <w:sz w:val="20"/>
                <w:szCs w:val="20"/>
              </w:rPr>
              <w:t xml:space="preserve">CPT1B </w:t>
            </w:r>
            <w:r w:rsidRPr="0028117D">
              <w:rPr>
                <w:rFonts w:ascii="Times New Roman" w:eastAsia="Times New Roman" w:hAnsi="Times New Roman" w:cs="Times New Roman"/>
                <w:sz w:val="20"/>
                <w:szCs w:val="20"/>
              </w:rPr>
              <w:t>was</w:t>
            </w:r>
            <w:r w:rsidRPr="0028117D">
              <w:rPr>
                <w:rFonts w:ascii="Times New Roman" w:eastAsia="Times New Roman" w:hAnsi="Times New Roman" w:cs="Times New Roman"/>
                <w:i/>
                <w:iCs/>
                <w:sz w:val="20"/>
                <w:szCs w:val="20"/>
              </w:rPr>
              <w:t xml:space="preserve"> </w:t>
            </w:r>
            <w:r w:rsidRPr="0028117D">
              <w:rPr>
                <w:rFonts w:ascii="Times New Roman" w:eastAsia="Times New Roman" w:hAnsi="Times New Roman" w:cs="Times New Roman"/>
                <w:sz w:val="20"/>
                <w:szCs w:val="20"/>
              </w:rPr>
              <w:t>upregulated in neonatal sepsis (</w:t>
            </w:r>
            <w:proofErr w:type="spellStart"/>
            <w:r w:rsidR="003863E4" w:rsidRPr="0028117D">
              <w:rPr>
                <w:rFonts w:ascii="Times New Roman" w:eastAsia="Times New Roman" w:hAnsi="Times New Roman" w:cs="Times New Roman"/>
                <w:sz w:val="20"/>
                <w:szCs w:val="20"/>
              </w:rPr>
              <w:t>Misheva</w:t>
            </w:r>
            <w:proofErr w:type="spellEnd"/>
            <w:r w:rsidR="003863E4" w:rsidRPr="0028117D">
              <w:rPr>
                <w:rFonts w:ascii="Times New Roman" w:eastAsia="Times New Roman" w:hAnsi="Times New Roman" w:cs="Times New Roman"/>
                <w:sz w:val="20"/>
                <w:szCs w:val="20"/>
              </w:rPr>
              <w:t xml:space="preserve"> et al., 2022</w:t>
            </w:r>
            <w:r w:rsidRPr="0028117D">
              <w:rPr>
                <w:rFonts w:ascii="Times New Roman" w:eastAsia="Times New Roman" w:hAnsi="Times New Roman" w:cs="Times New Roman"/>
                <w:sz w:val="20"/>
                <w:szCs w:val="20"/>
              </w:rPr>
              <w:t>). On the other hand</w:t>
            </w:r>
            <w:r w:rsidR="006024F3" w:rsidRPr="0028117D">
              <w:rPr>
                <w:rFonts w:ascii="Times New Roman" w:eastAsia="Times New Roman" w:hAnsi="Times New Roman" w:cs="Times New Roman"/>
                <w:sz w:val="20"/>
                <w:szCs w:val="20"/>
              </w:rPr>
              <w:t xml:space="preserve">, </w:t>
            </w:r>
            <w:r w:rsidR="006024F3" w:rsidRPr="0028117D">
              <w:rPr>
                <w:rFonts w:ascii="Times New Roman" w:eastAsia="Times New Roman" w:hAnsi="Times New Roman" w:cs="Times New Roman"/>
                <w:i/>
                <w:iCs/>
                <w:sz w:val="20"/>
                <w:szCs w:val="20"/>
              </w:rPr>
              <w:t xml:space="preserve">Cpt1b </w:t>
            </w:r>
            <w:r w:rsidR="006024F3" w:rsidRPr="0028117D">
              <w:rPr>
                <w:rFonts w:ascii="Times New Roman" w:eastAsia="Times New Roman" w:hAnsi="Times New Roman" w:cs="Times New Roman"/>
                <w:sz w:val="20"/>
                <w:szCs w:val="20"/>
              </w:rPr>
              <w:t>was reduced in myocardium after LPS induction (</w:t>
            </w:r>
            <w:proofErr w:type="spellStart"/>
            <w:r w:rsidR="006024F3" w:rsidRPr="0028117D">
              <w:rPr>
                <w:rFonts w:ascii="Times New Roman" w:eastAsia="Times New Roman" w:hAnsi="Times New Roman" w:cs="Times New Roman"/>
                <w:sz w:val="20"/>
                <w:szCs w:val="20"/>
              </w:rPr>
              <w:t>Tzanavari</w:t>
            </w:r>
            <w:proofErr w:type="spellEnd"/>
            <w:r w:rsidR="006024F3" w:rsidRPr="0028117D">
              <w:rPr>
                <w:rFonts w:ascii="Times New Roman" w:eastAsia="Times New Roman" w:hAnsi="Times New Roman" w:cs="Times New Roman"/>
                <w:sz w:val="20"/>
                <w:szCs w:val="20"/>
              </w:rPr>
              <w:t xml:space="preserve"> et al., 2016)</w:t>
            </w:r>
          </w:p>
        </w:tc>
      </w:tr>
      <w:tr w:rsidR="0028117D" w:rsidRPr="0028117D" w14:paraId="1B48CA05"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7B9C7CF5"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CRYBG1</w:t>
            </w:r>
          </w:p>
        </w:tc>
        <w:tc>
          <w:tcPr>
            <w:tcW w:w="1196" w:type="pct"/>
            <w:tcBorders>
              <w:top w:val="single" w:sz="6" w:space="0" w:color="D0CECE" w:themeColor="background2" w:themeShade="E6"/>
              <w:bottom w:val="single" w:sz="6" w:space="0" w:color="D0CECE" w:themeColor="background2" w:themeShade="E6"/>
            </w:tcBorders>
            <w:hideMark/>
          </w:tcPr>
          <w:p w14:paraId="3D72CA06" w14:textId="724FB26D" w:rsidR="00B351C3" w:rsidRPr="0028117D" w:rsidRDefault="00054439"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NA</w:t>
            </w:r>
          </w:p>
        </w:tc>
        <w:tc>
          <w:tcPr>
            <w:tcW w:w="1000" w:type="pct"/>
            <w:tcBorders>
              <w:top w:val="single" w:sz="6" w:space="0" w:color="D0CECE" w:themeColor="background2" w:themeShade="E6"/>
              <w:bottom w:val="single" w:sz="6" w:space="0" w:color="D0CECE" w:themeColor="background2" w:themeShade="E6"/>
            </w:tcBorders>
            <w:hideMark/>
          </w:tcPr>
          <w:p w14:paraId="77BD2E4E" w14:textId="77777777"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Parathyroid gland, nasopharynx, bronchus, lung, salivary gland</w:t>
            </w:r>
          </w:p>
        </w:tc>
        <w:tc>
          <w:tcPr>
            <w:tcW w:w="2281" w:type="pct"/>
            <w:tcBorders>
              <w:top w:val="single" w:sz="6" w:space="0" w:color="D0CECE" w:themeColor="background2" w:themeShade="E6"/>
              <w:bottom w:val="single" w:sz="6" w:space="0" w:color="D0CECE" w:themeColor="background2" w:themeShade="E6"/>
            </w:tcBorders>
          </w:tcPr>
          <w:p w14:paraId="2FA65648" w14:textId="38EE5229"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Possible role in promoting carbohydrate binding activity</w:t>
            </w:r>
            <w:r w:rsidR="00A45333" w:rsidRPr="0028117D">
              <w:rPr>
                <w:rFonts w:ascii="Times New Roman" w:eastAsia="Times New Roman" w:hAnsi="Times New Roman" w:cs="Times New Roman"/>
                <w:sz w:val="20"/>
                <w:szCs w:val="20"/>
              </w:rPr>
              <w:t xml:space="preserve">. </w:t>
            </w:r>
            <w:r w:rsidR="00A45333" w:rsidRPr="0028117D">
              <w:rPr>
                <w:rFonts w:ascii="Times New Roman" w:eastAsia="Times New Roman" w:hAnsi="Times New Roman" w:cs="Times New Roman"/>
                <w:i/>
                <w:iCs/>
                <w:sz w:val="20"/>
                <w:szCs w:val="20"/>
              </w:rPr>
              <w:t xml:space="preserve">CRYBG1/AIM1 </w:t>
            </w:r>
            <w:r w:rsidR="00A45333" w:rsidRPr="0028117D">
              <w:rPr>
                <w:rFonts w:ascii="Times New Roman" w:eastAsia="Times New Roman" w:hAnsi="Times New Roman" w:cs="Times New Roman"/>
                <w:sz w:val="20"/>
                <w:szCs w:val="20"/>
              </w:rPr>
              <w:t xml:space="preserve">is mutated or methylated in cell lines from </w:t>
            </w:r>
            <w:proofErr w:type="spellStart"/>
            <w:r w:rsidR="00A45333" w:rsidRPr="0028117D">
              <w:rPr>
                <w:rFonts w:ascii="Times New Roman" w:eastAsia="Times New Roman" w:hAnsi="Times New Roman" w:cs="Times New Roman"/>
                <w:sz w:val="20"/>
                <w:szCs w:val="20"/>
              </w:rPr>
              <w:t>extranodal</w:t>
            </w:r>
            <w:proofErr w:type="spellEnd"/>
            <w:r w:rsidR="00A45333" w:rsidRPr="0028117D">
              <w:rPr>
                <w:rFonts w:ascii="Times New Roman" w:eastAsia="Times New Roman" w:hAnsi="Times New Roman" w:cs="Times New Roman"/>
                <w:sz w:val="20"/>
                <w:szCs w:val="20"/>
              </w:rPr>
              <w:t xml:space="preserve"> natural killer-T-cell lymphoma (</w:t>
            </w:r>
            <w:proofErr w:type="spellStart"/>
            <w:r w:rsidR="00A45333" w:rsidRPr="0028117D">
              <w:rPr>
                <w:rFonts w:ascii="Times New Roman" w:eastAsia="Times New Roman" w:hAnsi="Times New Roman" w:cs="Times New Roman"/>
                <w:sz w:val="20"/>
                <w:szCs w:val="20"/>
              </w:rPr>
              <w:t>Sako</w:t>
            </w:r>
            <w:proofErr w:type="spellEnd"/>
            <w:r w:rsidR="00A45333" w:rsidRPr="0028117D">
              <w:rPr>
                <w:rFonts w:ascii="Times New Roman" w:eastAsia="Times New Roman" w:hAnsi="Times New Roman" w:cs="Times New Roman"/>
                <w:sz w:val="20"/>
                <w:szCs w:val="20"/>
              </w:rPr>
              <w:t xml:space="preserve"> et al., 2014)</w:t>
            </w:r>
          </w:p>
        </w:tc>
      </w:tr>
      <w:tr w:rsidR="0028117D" w:rsidRPr="0028117D" w14:paraId="004AD006"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527AEEB1" w14:textId="77777777" w:rsidR="00054439" w:rsidRPr="0028117D" w:rsidRDefault="00054439"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FAM227A</w:t>
            </w:r>
          </w:p>
        </w:tc>
        <w:tc>
          <w:tcPr>
            <w:tcW w:w="1196" w:type="pct"/>
            <w:tcBorders>
              <w:top w:val="single" w:sz="6" w:space="0" w:color="D0CECE" w:themeColor="background2" w:themeShade="E6"/>
              <w:bottom w:val="single" w:sz="6" w:space="0" w:color="D0CECE" w:themeColor="background2" w:themeShade="E6"/>
            </w:tcBorders>
            <w:hideMark/>
          </w:tcPr>
          <w:p w14:paraId="5123E413" w14:textId="5E900CF8" w:rsidR="00054439"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T</w:t>
            </w:r>
            <w:r w:rsidR="00054439" w:rsidRPr="0028117D">
              <w:rPr>
                <w:rFonts w:ascii="Times New Roman" w:eastAsia="Times New Roman" w:hAnsi="Times New Roman" w:cs="Times New Roman"/>
                <w:sz w:val="20"/>
                <w:szCs w:val="20"/>
              </w:rPr>
              <w:t>estes, pituitary, thyroid, fallopian tube, cervix</w:t>
            </w:r>
          </w:p>
        </w:tc>
        <w:tc>
          <w:tcPr>
            <w:tcW w:w="1000" w:type="pct"/>
            <w:tcBorders>
              <w:top w:val="single" w:sz="6" w:space="0" w:color="D0CECE" w:themeColor="background2" w:themeShade="E6"/>
              <w:bottom w:val="single" w:sz="6" w:space="0" w:color="D0CECE" w:themeColor="background2" w:themeShade="E6"/>
            </w:tcBorders>
            <w:hideMark/>
          </w:tcPr>
          <w:p w14:paraId="68F19CB1" w14:textId="202E8473" w:rsidR="00054439" w:rsidRPr="0028117D" w:rsidRDefault="00054439"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NA</w:t>
            </w:r>
          </w:p>
        </w:tc>
        <w:tc>
          <w:tcPr>
            <w:tcW w:w="2281" w:type="pct"/>
            <w:tcBorders>
              <w:top w:val="single" w:sz="6" w:space="0" w:color="D0CECE" w:themeColor="background2" w:themeShade="E6"/>
              <w:bottom w:val="single" w:sz="6" w:space="0" w:color="D0CECE" w:themeColor="background2" w:themeShade="E6"/>
            </w:tcBorders>
          </w:tcPr>
          <w:p w14:paraId="181532CE" w14:textId="6AE2399F" w:rsidR="00054439" w:rsidRPr="0028117D" w:rsidRDefault="00054439"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NA</w:t>
            </w:r>
          </w:p>
        </w:tc>
      </w:tr>
      <w:tr w:rsidR="0028117D" w:rsidRPr="0028117D" w14:paraId="69153277"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511B18B9" w14:textId="77777777" w:rsidR="00054439" w:rsidRPr="0028117D" w:rsidRDefault="00054439"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HEPHL1</w:t>
            </w:r>
          </w:p>
        </w:tc>
        <w:tc>
          <w:tcPr>
            <w:tcW w:w="1196" w:type="pct"/>
            <w:tcBorders>
              <w:top w:val="single" w:sz="6" w:space="0" w:color="D0CECE" w:themeColor="background2" w:themeShade="E6"/>
              <w:bottom w:val="single" w:sz="6" w:space="0" w:color="D0CECE" w:themeColor="background2" w:themeShade="E6"/>
            </w:tcBorders>
            <w:hideMark/>
          </w:tcPr>
          <w:p w14:paraId="179040EF" w14:textId="574E604E" w:rsidR="00054439"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E</w:t>
            </w:r>
            <w:r w:rsidR="00054439" w:rsidRPr="0028117D">
              <w:rPr>
                <w:rFonts w:ascii="Times New Roman" w:eastAsia="Times New Roman" w:hAnsi="Times New Roman" w:cs="Times New Roman"/>
                <w:sz w:val="20"/>
                <w:szCs w:val="20"/>
              </w:rPr>
              <w:t>sophagus, vagina, testes, skin</w:t>
            </w:r>
          </w:p>
        </w:tc>
        <w:tc>
          <w:tcPr>
            <w:tcW w:w="1000" w:type="pct"/>
            <w:tcBorders>
              <w:top w:val="single" w:sz="6" w:space="0" w:color="D0CECE" w:themeColor="background2" w:themeShade="E6"/>
              <w:bottom w:val="single" w:sz="6" w:space="0" w:color="D0CECE" w:themeColor="background2" w:themeShade="E6"/>
            </w:tcBorders>
            <w:hideMark/>
          </w:tcPr>
          <w:p w14:paraId="1417DCE1" w14:textId="0246D9CD" w:rsidR="00054439" w:rsidRPr="0028117D" w:rsidRDefault="00054439"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NA</w:t>
            </w:r>
          </w:p>
        </w:tc>
        <w:tc>
          <w:tcPr>
            <w:tcW w:w="2281" w:type="pct"/>
            <w:tcBorders>
              <w:top w:val="single" w:sz="6" w:space="0" w:color="D0CECE" w:themeColor="background2" w:themeShade="E6"/>
              <w:bottom w:val="single" w:sz="6" w:space="0" w:color="D0CECE" w:themeColor="background2" w:themeShade="E6"/>
            </w:tcBorders>
          </w:tcPr>
          <w:p w14:paraId="72816539" w14:textId="08230711" w:rsidR="00054439" w:rsidRPr="0028117D" w:rsidRDefault="00054439"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Enables ferroxidase activity for cellular iron ion homeostasis</w:t>
            </w:r>
            <w:r w:rsidR="00AA623C" w:rsidRPr="0028117D">
              <w:rPr>
                <w:rFonts w:ascii="Times New Roman" w:eastAsia="Times New Roman" w:hAnsi="Times New Roman" w:cs="Times New Roman"/>
                <w:sz w:val="20"/>
                <w:szCs w:val="20"/>
              </w:rPr>
              <w:t xml:space="preserve">. Involved as a hub gene in SARS-COV-2 infection </w:t>
            </w:r>
            <w:r w:rsidR="002121A0" w:rsidRPr="0028117D">
              <w:rPr>
                <w:rFonts w:ascii="Times New Roman" w:eastAsia="Times New Roman" w:hAnsi="Times New Roman" w:cs="Times New Roman"/>
                <w:sz w:val="20"/>
                <w:szCs w:val="20"/>
              </w:rPr>
              <w:t>(</w:t>
            </w:r>
            <w:proofErr w:type="spellStart"/>
            <w:r w:rsidR="002121A0" w:rsidRPr="0028117D">
              <w:rPr>
                <w:rFonts w:ascii="Times New Roman" w:eastAsia="Times New Roman" w:hAnsi="Times New Roman" w:cs="Times New Roman"/>
                <w:sz w:val="20"/>
                <w:szCs w:val="20"/>
              </w:rPr>
              <w:t>Karami</w:t>
            </w:r>
            <w:proofErr w:type="spellEnd"/>
            <w:r w:rsidR="002121A0" w:rsidRPr="0028117D">
              <w:rPr>
                <w:rFonts w:ascii="Times New Roman" w:eastAsia="Times New Roman" w:hAnsi="Times New Roman" w:cs="Times New Roman"/>
                <w:sz w:val="20"/>
                <w:szCs w:val="20"/>
              </w:rPr>
              <w:t xml:space="preserve"> et al., 2021) </w:t>
            </w:r>
            <w:r w:rsidR="00AA623C" w:rsidRPr="0028117D">
              <w:rPr>
                <w:rFonts w:ascii="Times New Roman" w:eastAsia="Times New Roman" w:hAnsi="Times New Roman" w:cs="Times New Roman"/>
                <w:sz w:val="20"/>
                <w:szCs w:val="20"/>
              </w:rPr>
              <w:t xml:space="preserve">and upregulated in cutaneous squamous cell carcinoma (Zou et al., 2021) </w:t>
            </w:r>
          </w:p>
        </w:tc>
      </w:tr>
      <w:tr w:rsidR="0028117D" w:rsidRPr="0028117D" w14:paraId="03B050BE"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6D3DFBAF"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lastRenderedPageBreak/>
              <w:t>RAB5A</w:t>
            </w:r>
          </w:p>
        </w:tc>
        <w:tc>
          <w:tcPr>
            <w:tcW w:w="1196" w:type="pct"/>
            <w:tcBorders>
              <w:top w:val="single" w:sz="6" w:space="0" w:color="D0CECE" w:themeColor="background2" w:themeShade="E6"/>
              <w:bottom w:val="single" w:sz="6" w:space="0" w:color="D0CECE" w:themeColor="background2" w:themeShade="E6"/>
            </w:tcBorders>
            <w:hideMark/>
          </w:tcPr>
          <w:p w14:paraId="7DED5D75" w14:textId="74D184D9" w:rsidR="00B351C3"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C</w:t>
            </w:r>
            <w:r w:rsidR="00B351C3" w:rsidRPr="0028117D">
              <w:rPr>
                <w:rFonts w:ascii="Times New Roman" w:eastAsia="Times New Roman" w:hAnsi="Times New Roman" w:cs="Times New Roman"/>
                <w:sz w:val="20"/>
                <w:szCs w:val="20"/>
              </w:rPr>
              <w:t>ervical spinal cord, fibroblasts, artery, skin, lung</w:t>
            </w:r>
          </w:p>
        </w:tc>
        <w:tc>
          <w:tcPr>
            <w:tcW w:w="1000" w:type="pct"/>
            <w:tcBorders>
              <w:top w:val="single" w:sz="6" w:space="0" w:color="D0CECE" w:themeColor="background2" w:themeShade="E6"/>
              <w:bottom w:val="single" w:sz="6" w:space="0" w:color="D0CECE" w:themeColor="background2" w:themeShade="E6"/>
            </w:tcBorders>
            <w:hideMark/>
          </w:tcPr>
          <w:p w14:paraId="16275F7F" w14:textId="77777777"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Thyroid gland, parathyroid gland, adrenal gland, stomach, duodenum</w:t>
            </w:r>
          </w:p>
        </w:tc>
        <w:tc>
          <w:tcPr>
            <w:tcW w:w="2281" w:type="pct"/>
            <w:tcBorders>
              <w:top w:val="single" w:sz="6" w:space="0" w:color="D0CECE" w:themeColor="background2" w:themeShade="E6"/>
              <w:bottom w:val="single" w:sz="6" w:space="0" w:color="D0CECE" w:themeColor="background2" w:themeShade="E6"/>
            </w:tcBorders>
          </w:tcPr>
          <w:p w14:paraId="7F8746B3" w14:textId="292A5F8F" w:rsidR="00B351C3" w:rsidRPr="0028117D" w:rsidRDefault="00A54706"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 xml:space="preserve">Overexpression of active or dominant-negative mutants of </w:t>
            </w:r>
            <w:r w:rsidRPr="0028117D">
              <w:rPr>
                <w:rFonts w:ascii="Times New Roman" w:eastAsia="Times New Roman" w:hAnsi="Times New Roman" w:cs="Times New Roman"/>
                <w:i/>
                <w:iCs/>
                <w:sz w:val="20"/>
                <w:szCs w:val="20"/>
              </w:rPr>
              <w:t xml:space="preserve">RAB5A </w:t>
            </w:r>
            <w:r w:rsidRPr="0028117D">
              <w:rPr>
                <w:rFonts w:ascii="Times New Roman" w:eastAsia="Times New Roman" w:hAnsi="Times New Roman" w:cs="Times New Roman"/>
                <w:sz w:val="20"/>
                <w:szCs w:val="20"/>
              </w:rPr>
              <w:t xml:space="preserve">in macrophages increased phagocytosis of </w:t>
            </w:r>
            <w:r w:rsidRPr="0028117D">
              <w:rPr>
                <w:rFonts w:ascii="Times New Roman" w:eastAsia="Times New Roman" w:hAnsi="Times New Roman" w:cs="Times New Roman"/>
                <w:i/>
                <w:iCs/>
                <w:sz w:val="20"/>
                <w:szCs w:val="20"/>
              </w:rPr>
              <w:t xml:space="preserve">E. coli </w:t>
            </w:r>
            <w:r w:rsidRPr="0028117D">
              <w:rPr>
                <w:rFonts w:ascii="Times New Roman" w:eastAsia="Times New Roman" w:hAnsi="Times New Roman" w:cs="Times New Roman"/>
                <w:sz w:val="20"/>
                <w:szCs w:val="20"/>
              </w:rPr>
              <w:t>bacteria and cell apoptosis (Frankenberg et al., 2008)</w:t>
            </w:r>
            <w:r w:rsidR="00334C6E" w:rsidRPr="0028117D">
              <w:rPr>
                <w:rFonts w:ascii="Times New Roman" w:eastAsia="Times New Roman" w:hAnsi="Times New Roman" w:cs="Times New Roman"/>
                <w:sz w:val="20"/>
                <w:szCs w:val="20"/>
              </w:rPr>
              <w:t xml:space="preserve">. </w:t>
            </w:r>
            <w:r w:rsidR="00334C6E" w:rsidRPr="0028117D">
              <w:rPr>
                <w:rFonts w:ascii="Times New Roman" w:eastAsia="Times New Roman" w:hAnsi="Times New Roman" w:cs="Times New Roman"/>
                <w:i/>
                <w:iCs/>
                <w:sz w:val="20"/>
                <w:szCs w:val="20"/>
              </w:rPr>
              <w:t xml:space="preserve">Rab5a </w:t>
            </w:r>
            <w:r w:rsidR="00334C6E" w:rsidRPr="0028117D">
              <w:rPr>
                <w:rFonts w:ascii="Times New Roman" w:eastAsia="Times New Roman" w:hAnsi="Times New Roman" w:cs="Times New Roman"/>
                <w:sz w:val="20"/>
                <w:szCs w:val="20"/>
              </w:rPr>
              <w:t xml:space="preserve">was upregulated in airway epithelial cells during early RSV infection while </w:t>
            </w:r>
            <w:r w:rsidR="00334C6E" w:rsidRPr="0028117D">
              <w:rPr>
                <w:rFonts w:ascii="Times New Roman" w:eastAsia="Times New Roman" w:hAnsi="Times New Roman" w:cs="Times New Roman"/>
                <w:i/>
                <w:iCs/>
                <w:sz w:val="20"/>
                <w:szCs w:val="20"/>
              </w:rPr>
              <w:t>Rab5-</w:t>
            </w:r>
            <w:r w:rsidR="00334C6E" w:rsidRPr="0028117D">
              <w:rPr>
                <w:rFonts w:ascii="Times New Roman" w:eastAsia="Times New Roman" w:hAnsi="Times New Roman" w:cs="Times New Roman"/>
                <w:sz w:val="20"/>
                <w:szCs w:val="20"/>
              </w:rPr>
              <w:t>knockdown or downregulation reduced lung pathology and disease severity of RSV infection and increased IFN-lambda production (Mo et al., 2021)</w:t>
            </w:r>
          </w:p>
        </w:tc>
      </w:tr>
      <w:tr w:rsidR="0028117D" w:rsidRPr="0028117D" w14:paraId="207B7500"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1E164B7D"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RGS22</w:t>
            </w:r>
          </w:p>
        </w:tc>
        <w:tc>
          <w:tcPr>
            <w:tcW w:w="1196" w:type="pct"/>
            <w:tcBorders>
              <w:top w:val="single" w:sz="6" w:space="0" w:color="D0CECE" w:themeColor="background2" w:themeShade="E6"/>
              <w:bottom w:val="single" w:sz="6" w:space="0" w:color="D0CECE" w:themeColor="background2" w:themeShade="E6"/>
            </w:tcBorders>
            <w:hideMark/>
          </w:tcPr>
          <w:p w14:paraId="585AB24E" w14:textId="1C22646F" w:rsidR="00B351C3"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T</w:t>
            </w:r>
            <w:r w:rsidR="00B351C3" w:rsidRPr="0028117D">
              <w:rPr>
                <w:rFonts w:ascii="Times New Roman" w:eastAsia="Times New Roman" w:hAnsi="Times New Roman" w:cs="Times New Roman"/>
                <w:sz w:val="20"/>
                <w:szCs w:val="20"/>
              </w:rPr>
              <w:t>estes, ovaries, fallopian tube, uterus, cervix</w:t>
            </w:r>
          </w:p>
        </w:tc>
        <w:tc>
          <w:tcPr>
            <w:tcW w:w="1000" w:type="pct"/>
            <w:tcBorders>
              <w:top w:val="single" w:sz="6" w:space="0" w:color="D0CECE" w:themeColor="background2" w:themeShade="E6"/>
              <w:bottom w:val="single" w:sz="6" w:space="0" w:color="D0CECE" w:themeColor="background2" w:themeShade="E6"/>
            </w:tcBorders>
            <w:hideMark/>
          </w:tcPr>
          <w:p w14:paraId="2A774782" w14:textId="639E543D" w:rsidR="00B351C3" w:rsidRPr="0028117D" w:rsidRDefault="00054439"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NA</w:t>
            </w:r>
          </w:p>
        </w:tc>
        <w:tc>
          <w:tcPr>
            <w:tcW w:w="2281" w:type="pct"/>
            <w:tcBorders>
              <w:top w:val="single" w:sz="6" w:space="0" w:color="D0CECE" w:themeColor="background2" w:themeShade="E6"/>
              <w:bottom w:val="single" w:sz="6" w:space="0" w:color="D0CECE" w:themeColor="background2" w:themeShade="E6"/>
            </w:tcBorders>
          </w:tcPr>
          <w:p w14:paraId="3CFF12A7" w14:textId="34B55853"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Promotes G-protein binding activity; involved in negative regulation of signal transduction</w:t>
            </w:r>
            <w:r w:rsidR="00026C90" w:rsidRPr="0028117D">
              <w:rPr>
                <w:rFonts w:ascii="Times New Roman" w:eastAsia="Times New Roman" w:hAnsi="Times New Roman" w:cs="Times New Roman"/>
                <w:sz w:val="20"/>
                <w:szCs w:val="20"/>
              </w:rPr>
              <w:t>. Expressed in several cancers of epithelial origin (Hu et al., 2011)</w:t>
            </w:r>
          </w:p>
        </w:tc>
      </w:tr>
      <w:tr w:rsidR="0028117D" w:rsidRPr="0028117D" w14:paraId="101D9E43" w14:textId="77777777" w:rsidTr="00B139B9">
        <w:trPr>
          <w:trHeight w:val="432"/>
        </w:trPr>
        <w:tc>
          <w:tcPr>
            <w:tcW w:w="523" w:type="pct"/>
            <w:tcBorders>
              <w:top w:val="single" w:sz="6" w:space="0" w:color="D0CECE" w:themeColor="background2" w:themeShade="E6"/>
              <w:bottom w:val="single" w:sz="6" w:space="0" w:color="D0CECE" w:themeColor="background2" w:themeShade="E6"/>
            </w:tcBorders>
            <w:hideMark/>
          </w:tcPr>
          <w:p w14:paraId="3B443CCB"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RTN4</w:t>
            </w:r>
          </w:p>
        </w:tc>
        <w:tc>
          <w:tcPr>
            <w:tcW w:w="1196" w:type="pct"/>
            <w:tcBorders>
              <w:top w:val="single" w:sz="6" w:space="0" w:color="D0CECE" w:themeColor="background2" w:themeShade="E6"/>
              <w:bottom w:val="single" w:sz="6" w:space="0" w:color="D0CECE" w:themeColor="background2" w:themeShade="E6"/>
            </w:tcBorders>
            <w:hideMark/>
          </w:tcPr>
          <w:p w14:paraId="43DD0FA3" w14:textId="6E73BE67" w:rsidR="00B351C3"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F</w:t>
            </w:r>
            <w:r w:rsidR="00B351C3" w:rsidRPr="0028117D">
              <w:rPr>
                <w:rFonts w:ascii="Times New Roman" w:eastAsia="Times New Roman" w:hAnsi="Times New Roman" w:cs="Times New Roman"/>
                <w:sz w:val="20"/>
                <w:szCs w:val="20"/>
              </w:rPr>
              <w:t>ibroblasts, brain tissue, adipose tissue</w:t>
            </w:r>
          </w:p>
        </w:tc>
        <w:tc>
          <w:tcPr>
            <w:tcW w:w="1000" w:type="pct"/>
            <w:tcBorders>
              <w:top w:val="single" w:sz="6" w:space="0" w:color="D0CECE" w:themeColor="background2" w:themeShade="E6"/>
              <w:bottom w:val="single" w:sz="6" w:space="0" w:color="D0CECE" w:themeColor="background2" w:themeShade="E6"/>
            </w:tcBorders>
            <w:hideMark/>
          </w:tcPr>
          <w:p w14:paraId="12ADBC88" w14:textId="77777777"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Cerebellum, caudate, testis, cerebral cortex, hippocampus, soft tissue</w:t>
            </w:r>
          </w:p>
        </w:tc>
        <w:tc>
          <w:tcPr>
            <w:tcW w:w="2281" w:type="pct"/>
            <w:tcBorders>
              <w:top w:val="single" w:sz="6" w:space="0" w:color="D0CECE" w:themeColor="background2" w:themeShade="E6"/>
              <w:bottom w:val="single" w:sz="6" w:space="0" w:color="D0CECE" w:themeColor="background2" w:themeShade="E6"/>
            </w:tcBorders>
          </w:tcPr>
          <w:p w14:paraId="2E26587E" w14:textId="5CB5B9B3" w:rsidR="00B351C3" w:rsidRPr="0028117D" w:rsidRDefault="00026C90"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 xml:space="preserve">Downregulated in </w:t>
            </w:r>
            <w:r w:rsidR="001F4B3C" w:rsidRPr="0028117D">
              <w:rPr>
                <w:rFonts w:ascii="Times New Roman" w:eastAsia="Times New Roman" w:hAnsi="Times New Roman" w:cs="Times New Roman"/>
                <w:sz w:val="20"/>
                <w:szCs w:val="20"/>
              </w:rPr>
              <w:t xml:space="preserve">epithelia from </w:t>
            </w:r>
            <w:r w:rsidRPr="0028117D">
              <w:rPr>
                <w:rFonts w:ascii="Times New Roman" w:eastAsia="Times New Roman" w:hAnsi="Times New Roman" w:cs="Times New Roman"/>
                <w:sz w:val="20"/>
                <w:szCs w:val="20"/>
              </w:rPr>
              <w:t>human and experimental inflammatory bowel disease (</w:t>
            </w:r>
            <w:r w:rsidR="001F4B3C" w:rsidRPr="0028117D">
              <w:rPr>
                <w:rFonts w:ascii="Times New Roman" w:eastAsia="Times New Roman" w:hAnsi="Times New Roman" w:cs="Times New Roman"/>
                <w:sz w:val="20"/>
                <w:szCs w:val="20"/>
              </w:rPr>
              <w:t>Rodriguez-</w:t>
            </w:r>
            <w:proofErr w:type="spellStart"/>
            <w:r w:rsidR="001F4B3C" w:rsidRPr="0028117D">
              <w:rPr>
                <w:rFonts w:ascii="Times New Roman" w:eastAsia="Times New Roman" w:hAnsi="Times New Roman" w:cs="Times New Roman"/>
                <w:sz w:val="20"/>
                <w:szCs w:val="20"/>
              </w:rPr>
              <w:t>Feo</w:t>
            </w:r>
            <w:proofErr w:type="spellEnd"/>
            <w:r w:rsidR="001F4B3C" w:rsidRPr="0028117D">
              <w:rPr>
                <w:rFonts w:ascii="Times New Roman" w:eastAsia="Times New Roman" w:hAnsi="Times New Roman" w:cs="Times New Roman"/>
                <w:sz w:val="20"/>
                <w:szCs w:val="20"/>
              </w:rPr>
              <w:t xml:space="preserve"> et al., 2015)</w:t>
            </w:r>
            <w:r w:rsidRPr="0028117D">
              <w:rPr>
                <w:rFonts w:ascii="Times New Roman" w:eastAsia="Times New Roman" w:hAnsi="Times New Roman" w:cs="Times New Roman"/>
                <w:sz w:val="20"/>
                <w:szCs w:val="20"/>
              </w:rPr>
              <w:t xml:space="preserve">. </w:t>
            </w:r>
            <w:r w:rsidR="008F5EA2" w:rsidRPr="0028117D">
              <w:rPr>
                <w:rFonts w:ascii="Times New Roman" w:eastAsia="Times New Roman" w:hAnsi="Times New Roman" w:cs="Times New Roman"/>
                <w:i/>
                <w:iCs/>
                <w:sz w:val="20"/>
                <w:szCs w:val="20"/>
              </w:rPr>
              <w:t>RTN4/</w:t>
            </w:r>
            <w:r w:rsidR="008F5EA2" w:rsidRPr="0028117D">
              <w:rPr>
                <w:rFonts w:ascii="Times New Roman" w:eastAsia="Times New Roman" w:hAnsi="Times New Roman" w:cs="Times New Roman"/>
                <w:sz w:val="20"/>
                <w:szCs w:val="20"/>
              </w:rPr>
              <w:t>NOGO-B overexpression in nasopharyngeal carcinoma increased migration, invasion</w:t>
            </w:r>
            <w:r w:rsidR="008B67CA" w:rsidRPr="0028117D">
              <w:rPr>
                <w:rFonts w:ascii="Times New Roman" w:eastAsia="Times New Roman" w:hAnsi="Times New Roman" w:cs="Times New Roman"/>
                <w:sz w:val="20"/>
                <w:szCs w:val="20"/>
              </w:rPr>
              <w:t>,</w:t>
            </w:r>
            <w:r w:rsidR="008F5EA2" w:rsidRPr="0028117D">
              <w:rPr>
                <w:rFonts w:ascii="Times New Roman" w:eastAsia="Times New Roman" w:hAnsi="Times New Roman" w:cs="Times New Roman"/>
                <w:sz w:val="20"/>
                <w:szCs w:val="20"/>
              </w:rPr>
              <w:t xml:space="preserve"> and metastatic ability of cancer cells and upregulated p-</w:t>
            </w:r>
            <w:proofErr w:type="spellStart"/>
            <w:r w:rsidR="008F5EA2" w:rsidRPr="0028117D">
              <w:rPr>
                <w:rFonts w:ascii="Times New Roman" w:eastAsia="Times New Roman" w:hAnsi="Times New Roman" w:cs="Times New Roman"/>
                <w:sz w:val="20"/>
                <w:szCs w:val="20"/>
              </w:rPr>
              <w:t>RhoA</w:t>
            </w:r>
            <w:proofErr w:type="spellEnd"/>
            <w:r w:rsidR="008F5EA2" w:rsidRPr="0028117D">
              <w:rPr>
                <w:rFonts w:ascii="Times New Roman" w:eastAsia="Times New Roman" w:hAnsi="Times New Roman" w:cs="Times New Roman"/>
                <w:sz w:val="20"/>
                <w:szCs w:val="20"/>
              </w:rPr>
              <w:t>, SRF and MRTFA (Wang et al., 2022)</w:t>
            </w:r>
            <w:r w:rsidR="00EA29AF" w:rsidRPr="0028117D">
              <w:rPr>
                <w:rFonts w:ascii="Times New Roman" w:eastAsia="Times New Roman" w:hAnsi="Times New Roman" w:cs="Times New Roman"/>
                <w:sz w:val="20"/>
                <w:szCs w:val="20"/>
              </w:rPr>
              <w:t xml:space="preserve">. RTN4-B deficiency attenuated proinflammatory cytokine production and resulted in impaired TLR9 localization in </w:t>
            </w:r>
            <w:proofErr w:type="spellStart"/>
            <w:r w:rsidR="00EA29AF" w:rsidRPr="0028117D">
              <w:rPr>
                <w:rFonts w:ascii="Times New Roman" w:eastAsia="Times New Roman" w:hAnsi="Times New Roman" w:cs="Times New Roman"/>
                <w:sz w:val="20"/>
                <w:szCs w:val="20"/>
              </w:rPr>
              <w:t>endolysosomes</w:t>
            </w:r>
            <w:proofErr w:type="spellEnd"/>
            <w:r w:rsidR="00EA29AF" w:rsidRPr="0028117D">
              <w:rPr>
                <w:rFonts w:ascii="Times New Roman" w:eastAsia="Times New Roman" w:hAnsi="Times New Roman" w:cs="Times New Roman"/>
                <w:sz w:val="20"/>
                <w:szCs w:val="20"/>
              </w:rPr>
              <w:t xml:space="preserve"> (Kimura et al., 2015)</w:t>
            </w:r>
            <w:r w:rsidR="008B67CA" w:rsidRPr="0028117D">
              <w:rPr>
                <w:rFonts w:ascii="Times New Roman" w:eastAsia="Times New Roman" w:hAnsi="Times New Roman" w:cs="Times New Roman"/>
                <w:sz w:val="20"/>
                <w:szCs w:val="20"/>
              </w:rPr>
              <w:t xml:space="preserve"> and impaired transmigration of neutrophils in vascular endothelium (Di Lorenzo et al., 2011)</w:t>
            </w:r>
          </w:p>
        </w:tc>
      </w:tr>
      <w:tr w:rsidR="0028117D" w:rsidRPr="0028117D" w14:paraId="70A00D04" w14:textId="77777777" w:rsidTr="00B139B9">
        <w:trPr>
          <w:trHeight w:val="432"/>
        </w:trPr>
        <w:tc>
          <w:tcPr>
            <w:tcW w:w="523" w:type="pct"/>
            <w:tcBorders>
              <w:top w:val="single" w:sz="6" w:space="0" w:color="D0CECE" w:themeColor="background2" w:themeShade="E6"/>
              <w:bottom w:val="single" w:sz="4" w:space="0" w:color="auto"/>
            </w:tcBorders>
            <w:hideMark/>
          </w:tcPr>
          <w:p w14:paraId="5B4D2490" w14:textId="77777777" w:rsidR="00B351C3" w:rsidRPr="0028117D" w:rsidRDefault="00B351C3" w:rsidP="00B139B9">
            <w:pPr>
              <w:jc w:val="center"/>
              <w:rPr>
                <w:rFonts w:ascii="Times New Roman" w:eastAsia="Times New Roman" w:hAnsi="Times New Roman" w:cs="Times New Roman"/>
                <w:i/>
                <w:iCs/>
                <w:sz w:val="20"/>
                <w:szCs w:val="20"/>
              </w:rPr>
            </w:pPr>
            <w:r w:rsidRPr="0028117D">
              <w:rPr>
                <w:rFonts w:ascii="Times New Roman" w:eastAsia="Times New Roman" w:hAnsi="Times New Roman" w:cs="Times New Roman"/>
                <w:i/>
                <w:iCs/>
                <w:sz w:val="20"/>
                <w:szCs w:val="20"/>
              </w:rPr>
              <w:t>SPTLC3</w:t>
            </w:r>
          </w:p>
        </w:tc>
        <w:tc>
          <w:tcPr>
            <w:tcW w:w="1196" w:type="pct"/>
            <w:tcBorders>
              <w:top w:val="single" w:sz="6" w:space="0" w:color="D0CECE" w:themeColor="background2" w:themeShade="E6"/>
              <w:bottom w:val="single" w:sz="4" w:space="0" w:color="auto"/>
            </w:tcBorders>
            <w:hideMark/>
          </w:tcPr>
          <w:p w14:paraId="3980994E" w14:textId="1997F7D7" w:rsidR="00B351C3" w:rsidRPr="0028117D" w:rsidRDefault="00336564"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S</w:t>
            </w:r>
            <w:r w:rsidR="00B351C3" w:rsidRPr="0028117D">
              <w:rPr>
                <w:rFonts w:ascii="Times New Roman" w:eastAsia="Times New Roman" w:hAnsi="Times New Roman" w:cs="Times New Roman"/>
                <w:sz w:val="20"/>
                <w:szCs w:val="20"/>
              </w:rPr>
              <w:t>kin, thyroid, tibial nerve, kidney</w:t>
            </w:r>
          </w:p>
        </w:tc>
        <w:tc>
          <w:tcPr>
            <w:tcW w:w="1000" w:type="pct"/>
            <w:tcBorders>
              <w:top w:val="single" w:sz="6" w:space="0" w:color="D0CECE" w:themeColor="background2" w:themeShade="E6"/>
              <w:bottom w:val="single" w:sz="4" w:space="0" w:color="auto"/>
            </w:tcBorders>
            <w:hideMark/>
          </w:tcPr>
          <w:p w14:paraId="15861BE2" w14:textId="0CBC1A3A" w:rsidR="00B351C3" w:rsidRPr="0028117D" w:rsidRDefault="00B351C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Nasopharynx, bronchus, stomach, colon, gallbladder</w:t>
            </w:r>
          </w:p>
        </w:tc>
        <w:tc>
          <w:tcPr>
            <w:tcW w:w="2281" w:type="pct"/>
            <w:tcBorders>
              <w:top w:val="single" w:sz="6" w:space="0" w:color="D0CECE" w:themeColor="background2" w:themeShade="E6"/>
              <w:bottom w:val="single" w:sz="4" w:space="0" w:color="auto"/>
            </w:tcBorders>
          </w:tcPr>
          <w:p w14:paraId="54E858B5" w14:textId="77682856" w:rsidR="00B351C3" w:rsidRPr="0028117D" w:rsidRDefault="00785ED3" w:rsidP="00B139B9">
            <w:pPr>
              <w:jc w:val="center"/>
              <w:rPr>
                <w:rFonts w:ascii="Times New Roman" w:eastAsia="Times New Roman" w:hAnsi="Times New Roman" w:cs="Times New Roman"/>
                <w:sz w:val="20"/>
                <w:szCs w:val="20"/>
              </w:rPr>
            </w:pPr>
            <w:r w:rsidRPr="0028117D">
              <w:rPr>
                <w:rFonts w:ascii="Times New Roman" w:eastAsia="Times New Roman" w:hAnsi="Times New Roman" w:cs="Times New Roman"/>
                <w:sz w:val="20"/>
                <w:szCs w:val="20"/>
              </w:rPr>
              <w:t xml:space="preserve">Upregulated with progressive diabetes in rats (Piccolo et al., 2021), but downregulated in </w:t>
            </w:r>
            <w:r w:rsidR="00037F18" w:rsidRPr="0028117D">
              <w:rPr>
                <w:rFonts w:ascii="Times New Roman" w:eastAsia="Times New Roman" w:hAnsi="Times New Roman" w:cs="Times New Roman"/>
                <w:sz w:val="20"/>
                <w:szCs w:val="20"/>
              </w:rPr>
              <w:t xml:space="preserve">sebum specimens of </w:t>
            </w:r>
            <w:r w:rsidRPr="0028117D">
              <w:rPr>
                <w:rFonts w:ascii="Times New Roman" w:eastAsia="Times New Roman" w:hAnsi="Times New Roman" w:cs="Times New Roman"/>
                <w:sz w:val="20"/>
                <w:szCs w:val="20"/>
              </w:rPr>
              <w:t>children with atopic dermatitis (</w:t>
            </w:r>
            <w:proofErr w:type="spellStart"/>
            <w:r w:rsidR="00037F18" w:rsidRPr="0028117D">
              <w:rPr>
                <w:rFonts w:ascii="Times New Roman" w:eastAsia="Times New Roman" w:hAnsi="Times New Roman" w:cs="Times New Roman"/>
                <w:sz w:val="20"/>
                <w:szCs w:val="20"/>
              </w:rPr>
              <w:t>Shima</w:t>
            </w:r>
            <w:proofErr w:type="spellEnd"/>
            <w:r w:rsidR="00037F18" w:rsidRPr="0028117D">
              <w:rPr>
                <w:rFonts w:ascii="Times New Roman" w:eastAsia="Times New Roman" w:hAnsi="Times New Roman" w:cs="Times New Roman"/>
                <w:sz w:val="20"/>
                <w:szCs w:val="20"/>
              </w:rPr>
              <w:t xml:space="preserve"> et al., 2022)</w:t>
            </w:r>
          </w:p>
        </w:tc>
      </w:tr>
      <w:tr w:rsidR="0028117D" w:rsidRPr="0028117D" w14:paraId="540D2AFE" w14:textId="77777777" w:rsidTr="00336564">
        <w:trPr>
          <w:trHeight w:val="432"/>
        </w:trPr>
        <w:tc>
          <w:tcPr>
            <w:tcW w:w="5000" w:type="pct"/>
            <w:gridSpan w:val="4"/>
            <w:tcBorders>
              <w:top w:val="single" w:sz="4" w:space="0" w:color="auto"/>
              <w:bottom w:val="single" w:sz="18" w:space="0" w:color="000000" w:themeColor="text1"/>
            </w:tcBorders>
            <w:vAlign w:val="center"/>
          </w:tcPr>
          <w:p w14:paraId="6CFD7F65" w14:textId="3D552EF0" w:rsidR="00336564" w:rsidRPr="0028117D" w:rsidRDefault="00336564" w:rsidP="00336564">
            <w:pPr>
              <w:rPr>
                <w:sz w:val="20"/>
                <w:szCs w:val="20"/>
              </w:rPr>
            </w:pPr>
            <w:r w:rsidRPr="0028117D">
              <w:rPr>
                <w:rFonts w:ascii="Times New Roman" w:hAnsi="Times New Roman" w:cs="Times New Roman"/>
                <w:sz w:val="20"/>
                <w:szCs w:val="20"/>
                <w:vertAlign w:val="superscript"/>
              </w:rPr>
              <w:t>1</w:t>
            </w:r>
            <w:r w:rsidRPr="0028117D">
              <w:rPr>
                <w:rFonts w:ascii="Times New Roman" w:hAnsi="Times New Roman" w:cs="Times New Roman"/>
                <w:sz w:val="20"/>
                <w:szCs w:val="20"/>
              </w:rPr>
              <w:t xml:space="preserve">All 12 genes were expressed in </w:t>
            </w:r>
            <w:proofErr w:type="spellStart"/>
            <w:r w:rsidRPr="0028117D">
              <w:rPr>
                <w:rFonts w:ascii="Times New Roman" w:hAnsi="Times New Roman" w:cs="Times New Roman"/>
                <w:sz w:val="20"/>
                <w:szCs w:val="20"/>
                <w:lang w:val="en-GB"/>
              </w:rPr>
              <w:t>esophageal</w:t>
            </w:r>
            <w:proofErr w:type="spellEnd"/>
            <w:r w:rsidRPr="0028117D">
              <w:rPr>
                <w:rFonts w:ascii="Times New Roman" w:hAnsi="Times New Roman" w:cs="Times New Roman"/>
                <w:sz w:val="20"/>
                <w:szCs w:val="20"/>
                <w:lang w:val="en-GB"/>
              </w:rPr>
              <w:t xml:space="preserve"> mucosa, lungs, cervix, uterus, vagina, minor salivary glands, and skin tissues as a </w:t>
            </w:r>
            <w:r w:rsidR="007C6317" w:rsidRPr="0028117D">
              <w:rPr>
                <w:rFonts w:ascii="Times New Roman" w:hAnsi="Times New Roman" w:cs="Times New Roman"/>
                <w:sz w:val="20"/>
                <w:szCs w:val="20"/>
                <w:lang w:val="en-GB"/>
              </w:rPr>
              <w:t xml:space="preserve">potential </w:t>
            </w:r>
            <w:r w:rsidRPr="0028117D">
              <w:rPr>
                <w:rFonts w:ascii="Times New Roman" w:hAnsi="Times New Roman" w:cs="Times New Roman"/>
                <w:sz w:val="20"/>
                <w:szCs w:val="20"/>
                <w:lang w:val="en-GB"/>
              </w:rPr>
              <w:t>su</w:t>
            </w:r>
            <w:r w:rsidR="007C6317" w:rsidRPr="0028117D">
              <w:rPr>
                <w:rFonts w:ascii="Times New Roman" w:hAnsi="Times New Roman" w:cs="Times New Roman"/>
                <w:sz w:val="20"/>
                <w:szCs w:val="20"/>
                <w:lang w:val="en-GB"/>
              </w:rPr>
              <w:t>rrogate</w:t>
            </w:r>
            <w:r w:rsidRPr="0028117D">
              <w:rPr>
                <w:rFonts w:ascii="Times New Roman" w:hAnsi="Times New Roman" w:cs="Times New Roman"/>
                <w:sz w:val="20"/>
                <w:szCs w:val="20"/>
                <w:lang w:val="en-GB"/>
              </w:rPr>
              <w:t xml:space="preserve"> for middle ear mucosa. Tissues with highest expression of candidate genes are listed. </w:t>
            </w:r>
          </w:p>
        </w:tc>
      </w:tr>
    </w:tbl>
    <w:p w14:paraId="5D9A2051" w14:textId="77777777" w:rsidR="008B4A99" w:rsidRPr="0028117D" w:rsidRDefault="008B4A99" w:rsidP="00E56323">
      <w:pPr>
        <w:rPr>
          <w:rFonts w:ascii="Times New Roman" w:hAnsi="Times New Roman" w:cs="Times New Roman"/>
          <w:b/>
          <w:bCs/>
        </w:rPr>
      </w:pPr>
    </w:p>
    <w:p w14:paraId="3B787373" w14:textId="69E0241A" w:rsidR="008B4A99" w:rsidRPr="0028117D" w:rsidRDefault="00680B95" w:rsidP="003630FF">
      <w:pPr>
        <w:spacing w:after="120"/>
        <w:rPr>
          <w:rFonts w:ascii="Times New Roman" w:hAnsi="Times New Roman" w:cs="Times New Roman"/>
          <w:b/>
          <w:bCs/>
        </w:rPr>
      </w:pPr>
      <w:r w:rsidRPr="0028117D">
        <w:rPr>
          <w:rFonts w:ascii="Times New Roman" w:hAnsi="Times New Roman" w:cs="Times New Roman"/>
          <w:b/>
          <w:bCs/>
        </w:rPr>
        <w:t>REFERENCES</w:t>
      </w:r>
      <w:r w:rsidR="008B4A99" w:rsidRPr="0028117D">
        <w:rPr>
          <w:rFonts w:ascii="Times New Roman" w:hAnsi="Times New Roman" w:cs="Times New Roman"/>
          <w:b/>
          <w:bCs/>
        </w:rPr>
        <w:t xml:space="preserve"> for Supplementary Table 3</w:t>
      </w:r>
    </w:p>
    <w:p w14:paraId="5BF79E8E" w14:textId="41AD558F" w:rsidR="008B67CA" w:rsidRPr="0028117D" w:rsidRDefault="008B67CA" w:rsidP="003630FF">
      <w:pPr>
        <w:spacing w:after="120"/>
        <w:rPr>
          <w:rFonts w:ascii="Times New Roman" w:hAnsi="Times New Roman" w:cs="Times New Roman"/>
        </w:rPr>
      </w:pPr>
      <w:r w:rsidRPr="0028117D">
        <w:rPr>
          <w:rFonts w:ascii="Times New Roman" w:hAnsi="Times New Roman" w:cs="Times New Roman"/>
        </w:rPr>
        <w:t>Di Lorenzo, A., Manes, T. D., Davalos, A., Wright, P. L., Sessa, W. C. (2011). Endothelial reticulon-4B (</w:t>
      </w:r>
      <w:proofErr w:type="spellStart"/>
      <w:r w:rsidRPr="0028117D">
        <w:rPr>
          <w:rFonts w:ascii="Times New Roman" w:hAnsi="Times New Roman" w:cs="Times New Roman"/>
        </w:rPr>
        <w:t>Nogo</w:t>
      </w:r>
      <w:proofErr w:type="spellEnd"/>
      <w:r w:rsidRPr="0028117D">
        <w:rPr>
          <w:rFonts w:ascii="Times New Roman" w:hAnsi="Times New Roman" w:cs="Times New Roman"/>
        </w:rPr>
        <w:t xml:space="preserve">-B) regulates ICAM-1-mediated leukocyte transmigration and acute inflammation. </w:t>
      </w:r>
      <w:r w:rsidRPr="0028117D">
        <w:rPr>
          <w:rFonts w:ascii="Times New Roman" w:hAnsi="Times New Roman" w:cs="Times New Roman"/>
          <w:i/>
          <w:iCs/>
        </w:rPr>
        <w:t xml:space="preserve">Blood </w:t>
      </w:r>
      <w:r w:rsidRPr="0028117D">
        <w:rPr>
          <w:rFonts w:ascii="Times New Roman" w:hAnsi="Times New Roman" w:cs="Times New Roman"/>
        </w:rPr>
        <w:t xml:space="preserve">117, 2284-2295. </w:t>
      </w:r>
      <w:proofErr w:type="spellStart"/>
      <w:r w:rsidRPr="0028117D">
        <w:rPr>
          <w:rFonts w:ascii="Times New Roman" w:hAnsi="Times New Roman" w:cs="Times New Roman"/>
        </w:rPr>
        <w:t>doi</w:t>
      </w:r>
      <w:proofErr w:type="spellEnd"/>
      <w:r w:rsidRPr="0028117D">
        <w:rPr>
          <w:rFonts w:ascii="Times New Roman" w:hAnsi="Times New Roman" w:cs="Times New Roman"/>
        </w:rPr>
        <w:t>: 10.1182/blood-2010-04-281956.</w:t>
      </w:r>
    </w:p>
    <w:p w14:paraId="0C9E5499" w14:textId="42A20070" w:rsidR="00A54706" w:rsidRPr="0028117D" w:rsidRDefault="00A54706" w:rsidP="003630FF">
      <w:pPr>
        <w:spacing w:after="120"/>
        <w:rPr>
          <w:rFonts w:ascii="Times New Roman" w:hAnsi="Times New Roman" w:cs="Times New Roman"/>
        </w:rPr>
      </w:pPr>
      <w:r w:rsidRPr="0028117D">
        <w:rPr>
          <w:rFonts w:ascii="Times New Roman" w:hAnsi="Times New Roman" w:cs="Times New Roman"/>
        </w:rPr>
        <w:t xml:space="preserve">Frankenberg, T., </w:t>
      </w:r>
      <w:proofErr w:type="spellStart"/>
      <w:r w:rsidRPr="0028117D">
        <w:rPr>
          <w:rFonts w:ascii="Times New Roman" w:hAnsi="Times New Roman" w:cs="Times New Roman"/>
        </w:rPr>
        <w:t>Kirschnek</w:t>
      </w:r>
      <w:proofErr w:type="spellEnd"/>
      <w:r w:rsidRPr="0028117D">
        <w:rPr>
          <w:rFonts w:ascii="Times New Roman" w:hAnsi="Times New Roman" w:cs="Times New Roman"/>
        </w:rPr>
        <w:t xml:space="preserve">, S., Hacker, H., Hacker, G. (2008). Phagocytosis-induced apoptosis of macrophages is linked to uptake, killing and degradation of bacteria. </w:t>
      </w:r>
      <w:r w:rsidRPr="0028117D">
        <w:rPr>
          <w:rFonts w:ascii="Times New Roman" w:hAnsi="Times New Roman" w:cs="Times New Roman"/>
          <w:i/>
          <w:iCs/>
        </w:rPr>
        <w:t xml:space="preserve">Eur. J. Immunol. </w:t>
      </w:r>
      <w:r w:rsidRPr="0028117D">
        <w:rPr>
          <w:rFonts w:ascii="Times New Roman" w:hAnsi="Times New Roman" w:cs="Times New Roman"/>
        </w:rPr>
        <w:t xml:space="preserve">38, 204-215.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10.1002/eji.200737379. </w:t>
      </w:r>
    </w:p>
    <w:p w14:paraId="231050F4" w14:textId="46538190" w:rsidR="001B2048" w:rsidRPr="0028117D" w:rsidRDefault="001B2048" w:rsidP="003630FF">
      <w:pPr>
        <w:spacing w:after="120"/>
        <w:rPr>
          <w:rFonts w:ascii="Times New Roman" w:hAnsi="Times New Roman" w:cs="Times New Roman"/>
        </w:rPr>
      </w:pPr>
      <w:proofErr w:type="spellStart"/>
      <w:r w:rsidRPr="0028117D">
        <w:rPr>
          <w:rFonts w:ascii="Times New Roman" w:hAnsi="Times New Roman" w:cs="Times New Roman"/>
        </w:rPr>
        <w:t>Haggadone</w:t>
      </w:r>
      <w:proofErr w:type="spellEnd"/>
      <w:r w:rsidRPr="0028117D">
        <w:rPr>
          <w:rFonts w:ascii="Times New Roman" w:hAnsi="Times New Roman" w:cs="Times New Roman"/>
        </w:rPr>
        <w:t xml:space="preserve">, M. D., </w:t>
      </w:r>
      <w:proofErr w:type="spellStart"/>
      <w:r w:rsidRPr="0028117D">
        <w:rPr>
          <w:rFonts w:ascii="Times New Roman" w:hAnsi="Times New Roman" w:cs="Times New Roman"/>
        </w:rPr>
        <w:t>Grailer</w:t>
      </w:r>
      <w:proofErr w:type="spellEnd"/>
      <w:r w:rsidRPr="0028117D">
        <w:rPr>
          <w:rFonts w:ascii="Times New Roman" w:hAnsi="Times New Roman" w:cs="Times New Roman"/>
        </w:rPr>
        <w:t xml:space="preserve">, J. J., </w:t>
      </w:r>
      <w:proofErr w:type="spellStart"/>
      <w:r w:rsidRPr="0028117D">
        <w:rPr>
          <w:rFonts w:ascii="Times New Roman" w:hAnsi="Times New Roman" w:cs="Times New Roman"/>
        </w:rPr>
        <w:t>Fattahi</w:t>
      </w:r>
      <w:proofErr w:type="spellEnd"/>
      <w:r w:rsidRPr="0028117D">
        <w:rPr>
          <w:rFonts w:ascii="Times New Roman" w:hAnsi="Times New Roman" w:cs="Times New Roman"/>
        </w:rPr>
        <w:t xml:space="preserve">, F., </w:t>
      </w:r>
      <w:proofErr w:type="spellStart"/>
      <w:r w:rsidRPr="0028117D">
        <w:rPr>
          <w:rFonts w:ascii="Times New Roman" w:hAnsi="Times New Roman" w:cs="Times New Roman"/>
        </w:rPr>
        <w:t>Zetoune</w:t>
      </w:r>
      <w:proofErr w:type="spellEnd"/>
      <w:r w:rsidRPr="0028117D">
        <w:rPr>
          <w:rFonts w:ascii="Times New Roman" w:hAnsi="Times New Roman" w:cs="Times New Roman"/>
        </w:rPr>
        <w:t xml:space="preserve">, F. S., Ward, P. A. (2016). Bidirectional crosstalk between C5a receptors and the NLRP3 inflammasome in macrophages and monocytes. </w:t>
      </w:r>
      <w:r w:rsidRPr="0028117D">
        <w:rPr>
          <w:rFonts w:ascii="Times New Roman" w:hAnsi="Times New Roman" w:cs="Times New Roman"/>
          <w:i/>
          <w:iCs/>
        </w:rPr>
        <w:t xml:space="preserve">Mediators </w:t>
      </w:r>
      <w:proofErr w:type="spellStart"/>
      <w:r w:rsidRPr="0028117D">
        <w:rPr>
          <w:rFonts w:ascii="Times New Roman" w:hAnsi="Times New Roman" w:cs="Times New Roman"/>
          <w:i/>
          <w:iCs/>
        </w:rPr>
        <w:t>Inflamm</w:t>
      </w:r>
      <w:proofErr w:type="spellEnd"/>
      <w:r w:rsidRPr="0028117D">
        <w:rPr>
          <w:rFonts w:ascii="Times New Roman" w:hAnsi="Times New Roman" w:cs="Times New Roman"/>
          <w:i/>
          <w:iCs/>
        </w:rPr>
        <w:t xml:space="preserve">. </w:t>
      </w:r>
      <w:r w:rsidRPr="0028117D">
        <w:rPr>
          <w:rFonts w:ascii="Times New Roman" w:hAnsi="Times New Roman" w:cs="Times New Roman"/>
        </w:rPr>
        <w:t xml:space="preserve">2016, 1340156.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10.1155/2016/1340156. </w:t>
      </w:r>
    </w:p>
    <w:p w14:paraId="1EA41531" w14:textId="3F65936E" w:rsidR="00026C90" w:rsidRPr="0028117D" w:rsidRDefault="00026C90" w:rsidP="003630FF">
      <w:pPr>
        <w:spacing w:after="120"/>
        <w:rPr>
          <w:rFonts w:ascii="Times New Roman" w:hAnsi="Times New Roman" w:cs="Times New Roman"/>
        </w:rPr>
      </w:pPr>
      <w:r w:rsidRPr="0028117D">
        <w:rPr>
          <w:rFonts w:ascii="Times New Roman" w:hAnsi="Times New Roman" w:cs="Times New Roman"/>
        </w:rPr>
        <w:t xml:space="preserve">Hu, Y., Xing, J., Wang, L., Huang, M., Guo, X., Chen, L., et al. (2011). RGS22, a novel cancer/testis antigen, inhibits epithelial cell invasion and metastasis. </w:t>
      </w:r>
      <w:r w:rsidRPr="0028117D">
        <w:rPr>
          <w:rFonts w:ascii="Times New Roman" w:hAnsi="Times New Roman" w:cs="Times New Roman"/>
          <w:i/>
          <w:iCs/>
        </w:rPr>
        <w:t xml:space="preserve">Clin. Exp. Metastasis </w:t>
      </w:r>
      <w:r w:rsidRPr="0028117D">
        <w:rPr>
          <w:rFonts w:ascii="Times New Roman" w:hAnsi="Times New Roman" w:cs="Times New Roman"/>
        </w:rPr>
        <w:t xml:space="preserve">28, 541-549. </w:t>
      </w:r>
      <w:proofErr w:type="spellStart"/>
      <w:r w:rsidRPr="0028117D">
        <w:rPr>
          <w:rFonts w:ascii="Times New Roman" w:hAnsi="Times New Roman" w:cs="Times New Roman"/>
        </w:rPr>
        <w:t>doi</w:t>
      </w:r>
      <w:proofErr w:type="spellEnd"/>
      <w:r w:rsidRPr="0028117D">
        <w:rPr>
          <w:rFonts w:ascii="Times New Roman" w:hAnsi="Times New Roman" w:cs="Times New Roman"/>
        </w:rPr>
        <w:t>: 10.1007/s10585-011-9390-z.</w:t>
      </w:r>
    </w:p>
    <w:p w14:paraId="2E13BF0E" w14:textId="2C0A351B" w:rsidR="002121A0" w:rsidRPr="0028117D" w:rsidRDefault="002121A0" w:rsidP="003630FF">
      <w:pPr>
        <w:spacing w:after="120"/>
        <w:rPr>
          <w:rFonts w:ascii="Times New Roman" w:hAnsi="Times New Roman" w:cs="Times New Roman"/>
        </w:rPr>
      </w:pPr>
      <w:proofErr w:type="spellStart"/>
      <w:r w:rsidRPr="0028117D">
        <w:rPr>
          <w:rFonts w:ascii="Times New Roman" w:hAnsi="Times New Roman" w:cs="Times New Roman"/>
        </w:rPr>
        <w:t>Karami</w:t>
      </w:r>
      <w:proofErr w:type="spellEnd"/>
      <w:r w:rsidRPr="0028117D">
        <w:rPr>
          <w:rFonts w:ascii="Times New Roman" w:hAnsi="Times New Roman" w:cs="Times New Roman"/>
        </w:rPr>
        <w:t xml:space="preserve">, H., </w:t>
      </w:r>
      <w:proofErr w:type="spellStart"/>
      <w:r w:rsidRPr="0028117D">
        <w:rPr>
          <w:rFonts w:ascii="Times New Roman" w:hAnsi="Times New Roman" w:cs="Times New Roman"/>
        </w:rPr>
        <w:t>Derakhshani</w:t>
      </w:r>
      <w:proofErr w:type="spellEnd"/>
      <w:r w:rsidRPr="0028117D">
        <w:rPr>
          <w:rFonts w:ascii="Times New Roman" w:hAnsi="Times New Roman" w:cs="Times New Roman"/>
        </w:rPr>
        <w:t xml:space="preserve">, A., </w:t>
      </w:r>
      <w:proofErr w:type="spellStart"/>
      <w:r w:rsidRPr="0028117D">
        <w:rPr>
          <w:rFonts w:ascii="Times New Roman" w:hAnsi="Times New Roman" w:cs="Times New Roman"/>
        </w:rPr>
        <w:t>Ghasemigol</w:t>
      </w:r>
      <w:proofErr w:type="spellEnd"/>
      <w:r w:rsidRPr="0028117D">
        <w:rPr>
          <w:rFonts w:ascii="Times New Roman" w:hAnsi="Times New Roman" w:cs="Times New Roman"/>
        </w:rPr>
        <w:t xml:space="preserve">, M., </w:t>
      </w:r>
      <w:proofErr w:type="spellStart"/>
      <w:r w:rsidRPr="0028117D">
        <w:rPr>
          <w:rFonts w:ascii="Times New Roman" w:hAnsi="Times New Roman" w:cs="Times New Roman"/>
        </w:rPr>
        <w:t>Fereidouni</w:t>
      </w:r>
      <w:proofErr w:type="spellEnd"/>
      <w:r w:rsidRPr="0028117D">
        <w:rPr>
          <w:rFonts w:ascii="Times New Roman" w:hAnsi="Times New Roman" w:cs="Times New Roman"/>
        </w:rPr>
        <w:t xml:space="preserve">, M., Miri-Moghaddam, E., </w:t>
      </w:r>
      <w:proofErr w:type="spellStart"/>
      <w:r w:rsidRPr="0028117D">
        <w:rPr>
          <w:rFonts w:ascii="Times New Roman" w:hAnsi="Times New Roman" w:cs="Times New Roman"/>
        </w:rPr>
        <w:t>Baradaran</w:t>
      </w:r>
      <w:proofErr w:type="spellEnd"/>
      <w:r w:rsidRPr="0028117D">
        <w:rPr>
          <w:rFonts w:ascii="Times New Roman" w:hAnsi="Times New Roman" w:cs="Times New Roman"/>
        </w:rPr>
        <w:t xml:space="preserve">, B., et al. (2021). Weighted gene co-expression network analysis combined with machine learning validation to identify key molecules and hub genes associated with SARS-CoV-2 infection. </w:t>
      </w:r>
      <w:r w:rsidRPr="0028117D">
        <w:rPr>
          <w:rFonts w:ascii="Times New Roman" w:hAnsi="Times New Roman" w:cs="Times New Roman"/>
          <w:i/>
          <w:iCs/>
        </w:rPr>
        <w:t xml:space="preserve">J. Clin. Med. </w:t>
      </w:r>
      <w:r w:rsidRPr="0028117D">
        <w:rPr>
          <w:rFonts w:ascii="Times New Roman" w:hAnsi="Times New Roman" w:cs="Times New Roman"/>
        </w:rPr>
        <w:t xml:space="preserve">10, 3567. </w:t>
      </w:r>
      <w:proofErr w:type="spellStart"/>
      <w:r w:rsidRPr="0028117D">
        <w:rPr>
          <w:rFonts w:ascii="Times New Roman" w:hAnsi="Times New Roman" w:cs="Times New Roman"/>
        </w:rPr>
        <w:t>doi</w:t>
      </w:r>
      <w:proofErr w:type="spellEnd"/>
      <w:r w:rsidRPr="0028117D">
        <w:rPr>
          <w:rFonts w:ascii="Times New Roman" w:hAnsi="Times New Roman" w:cs="Times New Roman"/>
        </w:rPr>
        <w:t>: 10.3390/jcm10163567.</w:t>
      </w:r>
    </w:p>
    <w:p w14:paraId="3B1C6297" w14:textId="6A472CAC" w:rsidR="00EA29AF" w:rsidRPr="0028117D" w:rsidRDefault="00EA29AF" w:rsidP="003630FF">
      <w:pPr>
        <w:spacing w:after="120"/>
        <w:rPr>
          <w:rFonts w:ascii="Times New Roman" w:hAnsi="Times New Roman" w:cs="Times New Roman"/>
        </w:rPr>
      </w:pPr>
      <w:r w:rsidRPr="0028117D">
        <w:rPr>
          <w:rFonts w:ascii="Times New Roman" w:hAnsi="Times New Roman" w:cs="Times New Roman"/>
        </w:rPr>
        <w:t xml:space="preserve">Kimura, T., Endo, S., Inui, M., </w:t>
      </w:r>
      <w:proofErr w:type="spellStart"/>
      <w:r w:rsidRPr="0028117D">
        <w:rPr>
          <w:rFonts w:ascii="Times New Roman" w:hAnsi="Times New Roman" w:cs="Times New Roman"/>
        </w:rPr>
        <w:t>Saitoh</w:t>
      </w:r>
      <w:proofErr w:type="spellEnd"/>
      <w:r w:rsidRPr="0028117D">
        <w:rPr>
          <w:rFonts w:ascii="Times New Roman" w:hAnsi="Times New Roman" w:cs="Times New Roman"/>
        </w:rPr>
        <w:t xml:space="preserve">, S. I., Miyake, K., </w:t>
      </w:r>
      <w:proofErr w:type="spellStart"/>
      <w:r w:rsidRPr="0028117D">
        <w:rPr>
          <w:rFonts w:ascii="Times New Roman" w:hAnsi="Times New Roman" w:cs="Times New Roman"/>
        </w:rPr>
        <w:t>Takai</w:t>
      </w:r>
      <w:proofErr w:type="spellEnd"/>
      <w:r w:rsidRPr="0028117D">
        <w:rPr>
          <w:rFonts w:ascii="Times New Roman" w:hAnsi="Times New Roman" w:cs="Times New Roman"/>
        </w:rPr>
        <w:t xml:space="preserve">, T. (2015). Endoplasmic protein </w:t>
      </w:r>
      <w:proofErr w:type="spellStart"/>
      <w:r w:rsidRPr="0028117D">
        <w:rPr>
          <w:rFonts w:ascii="Times New Roman" w:hAnsi="Times New Roman" w:cs="Times New Roman"/>
        </w:rPr>
        <w:t>Nogo</w:t>
      </w:r>
      <w:proofErr w:type="spellEnd"/>
      <w:r w:rsidRPr="0028117D">
        <w:rPr>
          <w:rFonts w:ascii="Times New Roman" w:hAnsi="Times New Roman" w:cs="Times New Roman"/>
        </w:rPr>
        <w:t xml:space="preserve">-B (RTN4-B) interacts with GRAMD4 and regulates TLR9-mediated innate immune responses. </w:t>
      </w:r>
      <w:r w:rsidRPr="0028117D">
        <w:rPr>
          <w:rFonts w:ascii="Times New Roman" w:hAnsi="Times New Roman" w:cs="Times New Roman"/>
          <w:i/>
          <w:iCs/>
        </w:rPr>
        <w:t xml:space="preserve">J. Immunol. </w:t>
      </w:r>
      <w:r w:rsidRPr="0028117D">
        <w:rPr>
          <w:rFonts w:ascii="Times New Roman" w:hAnsi="Times New Roman" w:cs="Times New Roman"/>
        </w:rPr>
        <w:t xml:space="preserve">194, 5426-5436.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10.4049/jimmunol.1402006. </w:t>
      </w:r>
    </w:p>
    <w:p w14:paraId="536A73A4" w14:textId="2D5F4665" w:rsidR="00CF113C" w:rsidRPr="0028117D" w:rsidRDefault="00CF113C" w:rsidP="003630FF">
      <w:pPr>
        <w:spacing w:after="120"/>
        <w:rPr>
          <w:rFonts w:ascii="Times New Roman" w:hAnsi="Times New Roman" w:cs="Times New Roman"/>
        </w:rPr>
      </w:pPr>
      <w:proofErr w:type="spellStart"/>
      <w:r w:rsidRPr="0028117D">
        <w:rPr>
          <w:rFonts w:ascii="Times New Roman" w:hAnsi="Times New Roman" w:cs="Times New Roman"/>
        </w:rPr>
        <w:t>Kreslavsky</w:t>
      </w:r>
      <w:proofErr w:type="spellEnd"/>
      <w:r w:rsidRPr="0028117D">
        <w:rPr>
          <w:rFonts w:ascii="Times New Roman" w:hAnsi="Times New Roman" w:cs="Times New Roman"/>
        </w:rPr>
        <w:t xml:space="preserve">, T., </w:t>
      </w:r>
      <w:proofErr w:type="spellStart"/>
      <w:r w:rsidRPr="0028117D">
        <w:rPr>
          <w:rFonts w:ascii="Times New Roman" w:hAnsi="Times New Roman" w:cs="Times New Roman"/>
        </w:rPr>
        <w:t>Vilagos</w:t>
      </w:r>
      <w:proofErr w:type="spellEnd"/>
      <w:r w:rsidRPr="0028117D">
        <w:rPr>
          <w:rFonts w:ascii="Times New Roman" w:hAnsi="Times New Roman" w:cs="Times New Roman"/>
        </w:rPr>
        <w:t xml:space="preserve">, B., </w:t>
      </w:r>
      <w:proofErr w:type="spellStart"/>
      <w:r w:rsidRPr="0028117D">
        <w:rPr>
          <w:rFonts w:ascii="Times New Roman" w:hAnsi="Times New Roman" w:cs="Times New Roman"/>
        </w:rPr>
        <w:t>Tagoh</w:t>
      </w:r>
      <w:proofErr w:type="spellEnd"/>
      <w:r w:rsidRPr="0028117D">
        <w:rPr>
          <w:rFonts w:ascii="Times New Roman" w:hAnsi="Times New Roman" w:cs="Times New Roman"/>
        </w:rPr>
        <w:t xml:space="preserve">, H., </w:t>
      </w:r>
      <w:proofErr w:type="spellStart"/>
      <w:r w:rsidRPr="0028117D">
        <w:rPr>
          <w:rFonts w:ascii="Times New Roman" w:hAnsi="Times New Roman" w:cs="Times New Roman"/>
        </w:rPr>
        <w:t>Poliakova</w:t>
      </w:r>
      <w:proofErr w:type="spellEnd"/>
      <w:r w:rsidRPr="0028117D">
        <w:rPr>
          <w:rFonts w:ascii="Times New Roman" w:hAnsi="Times New Roman" w:cs="Times New Roman"/>
        </w:rPr>
        <w:t xml:space="preserve">, D. K., </w:t>
      </w:r>
      <w:proofErr w:type="spellStart"/>
      <w:r w:rsidRPr="0028117D">
        <w:rPr>
          <w:rFonts w:ascii="Times New Roman" w:hAnsi="Times New Roman" w:cs="Times New Roman"/>
        </w:rPr>
        <w:t>Schwickert</w:t>
      </w:r>
      <w:proofErr w:type="spellEnd"/>
      <w:r w:rsidRPr="0028117D">
        <w:rPr>
          <w:rFonts w:ascii="Times New Roman" w:hAnsi="Times New Roman" w:cs="Times New Roman"/>
        </w:rPr>
        <w:t xml:space="preserve">, T. A., </w:t>
      </w:r>
      <w:proofErr w:type="spellStart"/>
      <w:r w:rsidRPr="0028117D">
        <w:rPr>
          <w:rFonts w:ascii="Times New Roman" w:hAnsi="Times New Roman" w:cs="Times New Roman"/>
        </w:rPr>
        <w:t>Wohner</w:t>
      </w:r>
      <w:proofErr w:type="spellEnd"/>
      <w:r w:rsidRPr="0028117D">
        <w:rPr>
          <w:rFonts w:ascii="Times New Roman" w:hAnsi="Times New Roman" w:cs="Times New Roman"/>
        </w:rPr>
        <w:t xml:space="preserve">, M., et al. (2017). Essential role for the transcription factor Bhlhe41 in regulating the development, self-renewal and BCR repertoire of B-1a cells. </w:t>
      </w:r>
      <w:r w:rsidRPr="0028117D">
        <w:rPr>
          <w:rFonts w:ascii="Times New Roman" w:hAnsi="Times New Roman" w:cs="Times New Roman"/>
          <w:i/>
          <w:iCs/>
        </w:rPr>
        <w:t xml:space="preserve">Nat. Immunol. </w:t>
      </w:r>
      <w:r w:rsidRPr="0028117D">
        <w:rPr>
          <w:rFonts w:ascii="Times New Roman" w:hAnsi="Times New Roman" w:cs="Times New Roman"/>
        </w:rPr>
        <w:t xml:space="preserve">18, 442-455.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10.1038/ni.3694. </w:t>
      </w:r>
    </w:p>
    <w:p w14:paraId="12C0B78B" w14:textId="5068A4E5" w:rsidR="00436803" w:rsidRPr="0028117D" w:rsidRDefault="00436803" w:rsidP="003630FF">
      <w:pPr>
        <w:spacing w:after="120"/>
        <w:rPr>
          <w:rFonts w:ascii="Times New Roman" w:hAnsi="Times New Roman" w:cs="Times New Roman"/>
          <w:i/>
          <w:iCs/>
        </w:rPr>
      </w:pPr>
      <w:proofErr w:type="spellStart"/>
      <w:r w:rsidRPr="0028117D">
        <w:rPr>
          <w:rFonts w:ascii="Times New Roman" w:hAnsi="Times New Roman" w:cs="Times New Roman"/>
        </w:rPr>
        <w:lastRenderedPageBreak/>
        <w:t>Kreslavsky</w:t>
      </w:r>
      <w:proofErr w:type="spellEnd"/>
      <w:r w:rsidRPr="0028117D">
        <w:rPr>
          <w:rFonts w:ascii="Times New Roman" w:hAnsi="Times New Roman" w:cs="Times New Roman"/>
        </w:rPr>
        <w:t xml:space="preserve">, T., Wong, J. B., Fischer, M., </w:t>
      </w:r>
      <w:proofErr w:type="spellStart"/>
      <w:r w:rsidRPr="0028117D">
        <w:rPr>
          <w:rFonts w:ascii="Times New Roman" w:hAnsi="Times New Roman" w:cs="Times New Roman"/>
        </w:rPr>
        <w:t>Skok</w:t>
      </w:r>
      <w:proofErr w:type="spellEnd"/>
      <w:r w:rsidRPr="0028117D">
        <w:rPr>
          <w:rFonts w:ascii="Times New Roman" w:hAnsi="Times New Roman" w:cs="Times New Roman"/>
        </w:rPr>
        <w:t xml:space="preserve">, J. A., </w:t>
      </w:r>
      <w:proofErr w:type="spellStart"/>
      <w:r w:rsidRPr="0028117D">
        <w:rPr>
          <w:rFonts w:ascii="Times New Roman" w:hAnsi="Times New Roman" w:cs="Times New Roman"/>
        </w:rPr>
        <w:t>Busslinger</w:t>
      </w:r>
      <w:proofErr w:type="spellEnd"/>
      <w:r w:rsidRPr="0028117D">
        <w:rPr>
          <w:rFonts w:ascii="Times New Roman" w:hAnsi="Times New Roman" w:cs="Times New Roman"/>
        </w:rPr>
        <w:t xml:space="preserve">, M. (2018). Control of B-1a cell development by instructive BCR signaling. </w:t>
      </w:r>
      <w:proofErr w:type="spellStart"/>
      <w:r w:rsidRPr="0028117D">
        <w:rPr>
          <w:rFonts w:ascii="Times New Roman" w:hAnsi="Times New Roman" w:cs="Times New Roman"/>
          <w:i/>
          <w:iCs/>
        </w:rPr>
        <w:t>Curr</w:t>
      </w:r>
      <w:proofErr w:type="spellEnd"/>
      <w:r w:rsidRPr="0028117D">
        <w:rPr>
          <w:rFonts w:ascii="Times New Roman" w:hAnsi="Times New Roman" w:cs="Times New Roman"/>
          <w:i/>
          <w:iCs/>
        </w:rPr>
        <w:t xml:space="preserve">. </w:t>
      </w:r>
      <w:proofErr w:type="spellStart"/>
      <w:r w:rsidRPr="0028117D">
        <w:rPr>
          <w:rFonts w:ascii="Times New Roman" w:hAnsi="Times New Roman" w:cs="Times New Roman"/>
          <w:i/>
          <w:iCs/>
        </w:rPr>
        <w:t>Opin</w:t>
      </w:r>
      <w:proofErr w:type="spellEnd"/>
      <w:r w:rsidRPr="0028117D">
        <w:rPr>
          <w:rFonts w:ascii="Times New Roman" w:hAnsi="Times New Roman" w:cs="Times New Roman"/>
          <w:i/>
          <w:iCs/>
        </w:rPr>
        <w:t xml:space="preserve">. Immunol. </w:t>
      </w:r>
      <w:r w:rsidRPr="0028117D">
        <w:rPr>
          <w:rFonts w:ascii="Times New Roman" w:hAnsi="Times New Roman" w:cs="Times New Roman"/>
        </w:rPr>
        <w:t xml:space="preserve">51, 24-31.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10.1016/j.coi.2018.01.001. </w:t>
      </w:r>
    </w:p>
    <w:p w14:paraId="6D1A4D5A" w14:textId="2DC53D63" w:rsidR="0040275C" w:rsidRPr="0028117D" w:rsidRDefault="0040275C" w:rsidP="003630FF">
      <w:pPr>
        <w:spacing w:after="120"/>
        <w:rPr>
          <w:rFonts w:ascii="Times New Roman" w:hAnsi="Times New Roman" w:cs="Times New Roman"/>
        </w:rPr>
      </w:pPr>
      <w:r w:rsidRPr="0028117D">
        <w:rPr>
          <w:rFonts w:ascii="Times New Roman" w:hAnsi="Times New Roman" w:cs="Times New Roman"/>
        </w:rPr>
        <w:t xml:space="preserve">Maekawa, T., Krauss, J. L., Abe, T., </w:t>
      </w:r>
      <w:proofErr w:type="spellStart"/>
      <w:r w:rsidRPr="0028117D">
        <w:rPr>
          <w:rFonts w:ascii="Times New Roman" w:hAnsi="Times New Roman" w:cs="Times New Roman"/>
        </w:rPr>
        <w:t>Jotwani</w:t>
      </w:r>
      <w:proofErr w:type="spellEnd"/>
      <w:r w:rsidRPr="0028117D">
        <w:rPr>
          <w:rFonts w:ascii="Times New Roman" w:hAnsi="Times New Roman" w:cs="Times New Roman"/>
        </w:rPr>
        <w:t xml:space="preserve">, R., </w:t>
      </w:r>
      <w:proofErr w:type="spellStart"/>
      <w:r w:rsidRPr="0028117D">
        <w:rPr>
          <w:rFonts w:ascii="Times New Roman" w:hAnsi="Times New Roman" w:cs="Times New Roman"/>
        </w:rPr>
        <w:t>Triantafilou</w:t>
      </w:r>
      <w:proofErr w:type="spellEnd"/>
      <w:r w:rsidRPr="0028117D">
        <w:rPr>
          <w:rFonts w:ascii="Times New Roman" w:hAnsi="Times New Roman" w:cs="Times New Roman"/>
        </w:rPr>
        <w:t xml:space="preserve">, M., Hashim, A., et al. (2014). </w:t>
      </w:r>
      <w:proofErr w:type="spellStart"/>
      <w:r w:rsidRPr="0028117D">
        <w:rPr>
          <w:rFonts w:ascii="Times New Roman" w:hAnsi="Times New Roman" w:cs="Times New Roman"/>
        </w:rPr>
        <w:t>Porphyromonas</w:t>
      </w:r>
      <w:proofErr w:type="spellEnd"/>
      <w:r w:rsidRPr="0028117D">
        <w:rPr>
          <w:rFonts w:ascii="Times New Roman" w:hAnsi="Times New Roman" w:cs="Times New Roman"/>
        </w:rPr>
        <w:t xml:space="preserve"> </w:t>
      </w:r>
      <w:proofErr w:type="spellStart"/>
      <w:r w:rsidRPr="0028117D">
        <w:rPr>
          <w:rFonts w:ascii="Times New Roman" w:hAnsi="Times New Roman" w:cs="Times New Roman"/>
        </w:rPr>
        <w:t>gingivalis</w:t>
      </w:r>
      <w:proofErr w:type="spellEnd"/>
      <w:r w:rsidRPr="0028117D">
        <w:rPr>
          <w:rFonts w:ascii="Times New Roman" w:hAnsi="Times New Roman" w:cs="Times New Roman"/>
        </w:rPr>
        <w:t xml:space="preserve"> manipulates complement and TLR signaling to uncouple bacterial clearance from inflammation and promote dysbiosis. </w:t>
      </w:r>
      <w:r w:rsidRPr="0028117D">
        <w:rPr>
          <w:rFonts w:ascii="Times New Roman" w:hAnsi="Times New Roman" w:cs="Times New Roman"/>
          <w:i/>
          <w:iCs/>
        </w:rPr>
        <w:t xml:space="preserve">Cell Host Microbe </w:t>
      </w:r>
      <w:r w:rsidRPr="0028117D">
        <w:rPr>
          <w:rFonts w:ascii="Times New Roman" w:hAnsi="Times New Roman" w:cs="Times New Roman"/>
        </w:rPr>
        <w:t xml:space="preserve">15, 768-778. </w:t>
      </w:r>
      <w:proofErr w:type="spellStart"/>
      <w:r w:rsidRPr="0028117D">
        <w:rPr>
          <w:rFonts w:ascii="Times New Roman" w:hAnsi="Times New Roman" w:cs="Times New Roman"/>
        </w:rPr>
        <w:t>doi</w:t>
      </w:r>
      <w:proofErr w:type="spellEnd"/>
      <w:r w:rsidRPr="0028117D">
        <w:rPr>
          <w:rFonts w:ascii="Times New Roman" w:hAnsi="Times New Roman" w:cs="Times New Roman"/>
        </w:rPr>
        <w:t>:</w:t>
      </w:r>
      <w:r w:rsidR="0002098D" w:rsidRPr="0028117D">
        <w:rPr>
          <w:rFonts w:ascii="Times New Roman" w:hAnsi="Times New Roman" w:cs="Times New Roman"/>
        </w:rPr>
        <w:t xml:space="preserve"> 10.1016/j.chom.2014.05.012.</w:t>
      </w:r>
      <w:r w:rsidRPr="0028117D">
        <w:rPr>
          <w:rFonts w:ascii="Times New Roman" w:hAnsi="Times New Roman" w:cs="Times New Roman"/>
        </w:rPr>
        <w:t xml:space="preserve">   </w:t>
      </w:r>
    </w:p>
    <w:p w14:paraId="0AA5C556" w14:textId="012EA6B8" w:rsidR="006024F3" w:rsidRPr="0028117D" w:rsidRDefault="006024F3" w:rsidP="003630FF">
      <w:pPr>
        <w:spacing w:after="120"/>
        <w:rPr>
          <w:rFonts w:ascii="Times New Roman" w:hAnsi="Times New Roman" w:cs="Times New Roman"/>
        </w:rPr>
      </w:pPr>
      <w:proofErr w:type="spellStart"/>
      <w:r w:rsidRPr="0028117D">
        <w:rPr>
          <w:rFonts w:ascii="Times New Roman" w:hAnsi="Times New Roman" w:cs="Times New Roman"/>
        </w:rPr>
        <w:t>Misheva</w:t>
      </w:r>
      <w:proofErr w:type="spellEnd"/>
      <w:r w:rsidRPr="0028117D">
        <w:rPr>
          <w:rFonts w:ascii="Times New Roman" w:hAnsi="Times New Roman" w:cs="Times New Roman"/>
        </w:rPr>
        <w:t xml:space="preserve">, M., </w:t>
      </w:r>
      <w:proofErr w:type="spellStart"/>
      <w:r w:rsidRPr="0028117D">
        <w:rPr>
          <w:rFonts w:ascii="Times New Roman" w:hAnsi="Times New Roman" w:cs="Times New Roman"/>
        </w:rPr>
        <w:t>Kotzamanis</w:t>
      </w:r>
      <w:proofErr w:type="spellEnd"/>
      <w:r w:rsidRPr="0028117D">
        <w:rPr>
          <w:rFonts w:ascii="Times New Roman" w:hAnsi="Times New Roman" w:cs="Times New Roman"/>
        </w:rPr>
        <w:t xml:space="preserve">, K., Davies, L. C., Tyrrell, V. J., Rodrigues, P. R. S., Benavides, G. A., et al. (2022). Oxylipin metabolism is controlled by mitochondrial beta-oxidation during bacterial inflammation. </w:t>
      </w:r>
      <w:r w:rsidRPr="0028117D">
        <w:rPr>
          <w:rFonts w:ascii="Times New Roman" w:hAnsi="Times New Roman" w:cs="Times New Roman"/>
          <w:i/>
          <w:iCs/>
        </w:rPr>
        <w:t xml:space="preserve">Nat. </w:t>
      </w:r>
      <w:proofErr w:type="spellStart"/>
      <w:r w:rsidRPr="0028117D">
        <w:rPr>
          <w:rFonts w:ascii="Times New Roman" w:hAnsi="Times New Roman" w:cs="Times New Roman"/>
          <w:i/>
          <w:iCs/>
        </w:rPr>
        <w:t>Commun</w:t>
      </w:r>
      <w:proofErr w:type="spellEnd"/>
      <w:r w:rsidRPr="0028117D">
        <w:rPr>
          <w:rFonts w:ascii="Times New Roman" w:hAnsi="Times New Roman" w:cs="Times New Roman"/>
          <w:i/>
          <w:iCs/>
        </w:rPr>
        <w:t xml:space="preserve">. </w:t>
      </w:r>
      <w:r w:rsidRPr="0028117D">
        <w:rPr>
          <w:rFonts w:ascii="Times New Roman" w:hAnsi="Times New Roman" w:cs="Times New Roman"/>
        </w:rPr>
        <w:t xml:space="preserve">13, 139. </w:t>
      </w:r>
      <w:proofErr w:type="spellStart"/>
      <w:r w:rsidRPr="0028117D">
        <w:rPr>
          <w:rFonts w:ascii="Times New Roman" w:hAnsi="Times New Roman" w:cs="Times New Roman"/>
        </w:rPr>
        <w:t>doi</w:t>
      </w:r>
      <w:proofErr w:type="spellEnd"/>
      <w:r w:rsidRPr="0028117D">
        <w:rPr>
          <w:rFonts w:ascii="Times New Roman" w:hAnsi="Times New Roman" w:cs="Times New Roman"/>
        </w:rPr>
        <w:t>: 10.1038/s41467-021-27766-8.</w:t>
      </w:r>
    </w:p>
    <w:p w14:paraId="3C32B083" w14:textId="4C85C7C2" w:rsidR="00334C6E" w:rsidRPr="0028117D" w:rsidRDefault="00334C6E" w:rsidP="003630FF">
      <w:pPr>
        <w:spacing w:after="120"/>
        <w:rPr>
          <w:rFonts w:ascii="Times New Roman" w:hAnsi="Times New Roman" w:cs="Times New Roman"/>
        </w:rPr>
      </w:pPr>
      <w:r w:rsidRPr="0028117D">
        <w:rPr>
          <w:rFonts w:ascii="Times New Roman" w:hAnsi="Times New Roman" w:cs="Times New Roman"/>
        </w:rPr>
        <w:t xml:space="preserve">Mo, S., Tang, W., </w:t>
      </w:r>
      <w:proofErr w:type="spellStart"/>
      <w:r w:rsidRPr="0028117D">
        <w:rPr>
          <w:rFonts w:ascii="Times New Roman" w:hAnsi="Times New Roman" w:cs="Times New Roman"/>
        </w:rPr>
        <w:t>Xie</w:t>
      </w:r>
      <w:proofErr w:type="spellEnd"/>
      <w:r w:rsidRPr="0028117D">
        <w:rPr>
          <w:rFonts w:ascii="Times New Roman" w:hAnsi="Times New Roman" w:cs="Times New Roman"/>
        </w:rPr>
        <w:t>, J., Chen, S., Ren, L., Zang, N., et al. (2021). Respiratory syncytial virus activates Rab5a to suppress IRF1-dependent IFN-gamma production</w:t>
      </w:r>
      <w:r w:rsidR="008A6D09" w:rsidRPr="0028117D">
        <w:rPr>
          <w:rFonts w:ascii="Times New Roman" w:hAnsi="Times New Roman" w:cs="Times New Roman"/>
        </w:rPr>
        <w:t xml:space="preserve">, subverting the antiviral defense of airway epithelial cells. </w:t>
      </w:r>
      <w:r w:rsidR="008A6D09" w:rsidRPr="0028117D">
        <w:rPr>
          <w:rFonts w:ascii="Times New Roman" w:hAnsi="Times New Roman" w:cs="Times New Roman"/>
          <w:i/>
          <w:iCs/>
        </w:rPr>
        <w:t xml:space="preserve">J. </w:t>
      </w:r>
      <w:proofErr w:type="spellStart"/>
      <w:r w:rsidR="008A6D09" w:rsidRPr="0028117D">
        <w:rPr>
          <w:rFonts w:ascii="Times New Roman" w:hAnsi="Times New Roman" w:cs="Times New Roman"/>
          <w:i/>
          <w:iCs/>
        </w:rPr>
        <w:t>Virol</w:t>
      </w:r>
      <w:proofErr w:type="spellEnd"/>
      <w:r w:rsidR="008A6D09" w:rsidRPr="0028117D">
        <w:rPr>
          <w:rFonts w:ascii="Times New Roman" w:hAnsi="Times New Roman" w:cs="Times New Roman"/>
          <w:i/>
          <w:iCs/>
        </w:rPr>
        <w:t xml:space="preserve">. </w:t>
      </w:r>
      <w:r w:rsidR="008A6D09" w:rsidRPr="0028117D">
        <w:rPr>
          <w:rFonts w:ascii="Times New Roman" w:hAnsi="Times New Roman" w:cs="Times New Roman"/>
        </w:rPr>
        <w:t xml:space="preserve">95, e02333-20. </w:t>
      </w:r>
      <w:proofErr w:type="spellStart"/>
      <w:r w:rsidR="008A6D09" w:rsidRPr="0028117D">
        <w:rPr>
          <w:rFonts w:ascii="Times New Roman" w:hAnsi="Times New Roman" w:cs="Times New Roman"/>
        </w:rPr>
        <w:t>doi</w:t>
      </w:r>
      <w:proofErr w:type="spellEnd"/>
      <w:r w:rsidR="008A6D09" w:rsidRPr="0028117D">
        <w:rPr>
          <w:rFonts w:ascii="Times New Roman" w:hAnsi="Times New Roman" w:cs="Times New Roman"/>
        </w:rPr>
        <w:t xml:space="preserve">: 10.1128/JVI.02333-20. </w:t>
      </w:r>
    </w:p>
    <w:p w14:paraId="769B4F87" w14:textId="7A96832D" w:rsidR="000C5FC6" w:rsidRPr="0028117D" w:rsidRDefault="000C5FC6" w:rsidP="003630FF">
      <w:pPr>
        <w:spacing w:after="120"/>
        <w:rPr>
          <w:rFonts w:ascii="Times New Roman" w:hAnsi="Times New Roman" w:cs="Times New Roman"/>
        </w:rPr>
      </w:pPr>
      <w:r w:rsidRPr="0028117D">
        <w:rPr>
          <w:rFonts w:ascii="Times New Roman" w:hAnsi="Times New Roman" w:cs="Times New Roman"/>
        </w:rPr>
        <w:t xml:space="preserve">Nixon, J. C., Ferrell, S., Miner, C., Oldham, A. L., </w:t>
      </w:r>
      <w:proofErr w:type="spellStart"/>
      <w:r w:rsidRPr="0028117D">
        <w:rPr>
          <w:rFonts w:ascii="Times New Roman" w:hAnsi="Times New Roman" w:cs="Times New Roman"/>
        </w:rPr>
        <w:t>Hochgeschwender</w:t>
      </w:r>
      <w:proofErr w:type="spellEnd"/>
      <w:r w:rsidRPr="0028117D">
        <w:rPr>
          <w:rFonts w:ascii="Times New Roman" w:hAnsi="Times New Roman" w:cs="Times New Roman"/>
        </w:rPr>
        <w:t xml:space="preserve">, U., Webb, C. F. (2008). Transgenic mice expressing dominant-negative bright exhibit defects in B1 B cells. </w:t>
      </w:r>
      <w:r w:rsidRPr="0028117D">
        <w:rPr>
          <w:rFonts w:ascii="Times New Roman" w:hAnsi="Times New Roman" w:cs="Times New Roman"/>
          <w:i/>
          <w:iCs/>
        </w:rPr>
        <w:t xml:space="preserve">J. Immunol. </w:t>
      </w:r>
      <w:r w:rsidRPr="0028117D">
        <w:rPr>
          <w:rFonts w:ascii="Times New Roman" w:hAnsi="Times New Roman" w:cs="Times New Roman"/>
        </w:rPr>
        <w:t xml:space="preserve">181, 6913-6922.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10.4049/jimmunol.181.10.6913. </w:t>
      </w:r>
    </w:p>
    <w:p w14:paraId="4FDA812E" w14:textId="16693BBF" w:rsidR="00785ED3" w:rsidRPr="0028117D" w:rsidRDefault="00785ED3" w:rsidP="003630FF">
      <w:pPr>
        <w:spacing w:after="120"/>
        <w:rPr>
          <w:rFonts w:ascii="Times New Roman" w:hAnsi="Times New Roman" w:cs="Times New Roman"/>
        </w:rPr>
      </w:pPr>
      <w:r w:rsidRPr="0028117D">
        <w:rPr>
          <w:rFonts w:ascii="Times New Roman" w:hAnsi="Times New Roman" w:cs="Times New Roman"/>
        </w:rPr>
        <w:t xml:space="preserve">Piccolo, B. D., Graham, J. L., Kang, P., Randolph, C. E., Shankar, K., </w:t>
      </w:r>
      <w:proofErr w:type="spellStart"/>
      <w:r w:rsidRPr="0028117D">
        <w:rPr>
          <w:rFonts w:ascii="Times New Roman" w:hAnsi="Times New Roman" w:cs="Times New Roman"/>
        </w:rPr>
        <w:t>Yeruva</w:t>
      </w:r>
      <w:proofErr w:type="spellEnd"/>
      <w:r w:rsidRPr="0028117D">
        <w:rPr>
          <w:rFonts w:ascii="Times New Roman" w:hAnsi="Times New Roman" w:cs="Times New Roman"/>
        </w:rPr>
        <w:t xml:space="preserve">, L., et al. (2021). Progression of diabetes is associated with changes in the ileal transcriptome and ileal-colon morphology in the UC Davis Type 2 Diabetes Mellitus rat. </w:t>
      </w:r>
      <w:r w:rsidRPr="0028117D">
        <w:rPr>
          <w:rFonts w:ascii="Times New Roman" w:hAnsi="Times New Roman" w:cs="Times New Roman"/>
          <w:i/>
          <w:iCs/>
        </w:rPr>
        <w:t xml:space="preserve">Physiol. Rep. </w:t>
      </w:r>
      <w:r w:rsidRPr="0028117D">
        <w:rPr>
          <w:rFonts w:ascii="Times New Roman" w:hAnsi="Times New Roman" w:cs="Times New Roman"/>
        </w:rPr>
        <w:t xml:space="preserve">9, e15102. </w:t>
      </w:r>
      <w:proofErr w:type="spellStart"/>
      <w:r w:rsidRPr="0028117D">
        <w:rPr>
          <w:rFonts w:ascii="Times New Roman" w:hAnsi="Times New Roman" w:cs="Times New Roman"/>
        </w:rPr>
        <w:t>doi</w:t>
      </w:r>
      <w:proofErr w:type="spellEnd"/>
      <w:r w:rsidRPr="0028117D">
        <w:rPr>
          <w:rFonts w:ascii="Times New Roman" w:hAnsi="Times New Roman" w:cs="Times New Roman"/>
        </w:rPr>
        <w:t>: 10.14814/phy2.15102.</w:t>
      </w:r>
    </w:p>
    <w:p w14:paraId="409CD6B2" w14:textId="68D85FA7" w:rsidR="005C7D92" w:rsidRPr="0028117D" w:rsidRDefault="005C7D92" w:rsidP="003630FF">
      <w:pPr>
        <w:spacing w:after="120"/>
        <w:rPr>
          <w:rFonts w:ascii="Times New Roman" w:hAnsi="Times New Roman" w:cs="Times New Roman"/>
        </w:rPr>
      </w:pPr>
      <w:r w:rsidRPr="0028117D">
        <w:rPr>
          <w:rFonts w:ascii="Times New Roman" w:hAnsi="Times New Roman" w:cs="Times New Roman"/>
        </w:rPr>
        <w:t xml:space="preserve">Ratliff, M. L., Shankar, M., Guthridge, J. M., James, J. A., Webb, C. F. (2020). TLR engagement induces ARID3A in human blood hematopoietic progenitors and modulates IFN-alpha production. </w:t>
      </w:r>
      <w:r w:rsidRPr="0028117D">
        <w:rPr>
          <w:rFonts w:ascii="Times New Roman" w:hAnsi="Times New Roman" w:cs="Times New Roman"/>
          <w:i/>
          <w:iCs/>
        </w:rPr>
        <w:t xml:space="preserve">Cell Immunol. </w:t>
      </w:r>
      <w:r w:rsidRPr="0028117D">
        <w:rPr>
          <w:rFonts w:ascii="Times New Roman" w:hAnsi="Times New Roman" w:cs="Times New Roman"/>
        </w:rPr>
        <w:t xml:space="preserve">357, 104201.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10.1016/j.cellimm.2020.104201. </w:t>
      </w:r>
    </w:p>
    <w:p w14:paraId="1B87992B" w14:textId="4B31D361" w:rsidR="006A1194" w:rsidRPr="0028117D" w:rsidRDefault="006A1194" w:rsidP="003630FF">
      <w:pPr>
        <w:spacing w:after="120"/>
        <w:rPr>
          <w:rFonts w:ascii="Times New Roman" w:hAnsi="Times New Roman" w:cs="Times New Roman"/>
        </w:rPr>
      </w:pPr>
      <w:proofErr w:type="spellStart"/>
      <w:r w:rsidRPr="0028117D">
        <w:rPr>
          <w:rFonts w:ascii="Times New Roman" w:hAnsi="Times New Roman" w:cs="Times New Roman"/>
        </w:rPr>
        <w:t>Rauschmeier</w:t>
      </w:r>
      <w:proofErr w:type="spellEnd"/>
      <w:r w:rsidRPr="0028117D">
        <w:rPr>
          <w:rFonts w:ascii="Times New Roman" w:hAnsi="Times New Roman" w:cs="Times New Roman"/>
        </w:rPr>
        <w:t xml:space="preserve">, R., Gustafsson, C., Reinhardt, A., Gonzalez, N. A., Tortola, L., </w:t>
      </w:r>
      <w:proofErr w:type="spellStart"/>
      <w:r w:rsidRPr="0028117D">
        <w:rPr>
          <w:rFonts w:ascii="Times New Roman" w:hAnsi="Times New Roman" w:cs="Times New Roman"/>
        </w:rPr>
        <w:t>Cansever</w:t>
      </w:r>
      <w:proofErr w:type="spellEnd"/>
      <w:r w:rsidRPr="0028117D">
        <w:rPr>
          <w:rFonts w:ascii="Times New Roman" w:hAnsi="Times New Roman" w:cs="Times New Roman"/>
        </w:rPr>
        <w:t xml:space="preserve">, D., et al. (2019). Bhlhe40 and Bhlhe41 transcription factors regulate alveolar macrophage self-renewal and identity. </w:t>
      </w:r>
      <w:r w:rsidRPr="0028117D">
        <w:rPr>
          <w:rFonts w:ascii="Times New Roman" w:hAnsi="Times New Roman" w:cs="Times New Roman"/>
          <w:i/>
          <w:iCs/>
        </w:rPr>
        <w:t xml:space="preserve">EMBO J. </w:t>
      </w:r>
      <w:r w:rsidRPr="0028117D">
        <w:rPr>
          <w:rFonts w:ascii="Times New Roman" w:hAnsi="Times New Roman" w:cs="Times New Roman"/>
        </w:rPr>
        <w:t xml:space="preserve">38, e101233.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10.15252/embj.2018101233. </w:t>
      </w:r>
    </w:p>
    <w:p w14:paraId="35AE5D2B" w14:textId="0A2393FD" w:rsidR="001F4B3C" w:rsidRPr="0028117D" w:rsidRDefault="001F4B3C" w:rsidP="003630FF">
      <w:pPr>
        <w:spacing w:after="120"/>
        <w:rPr>
          <w:rFonts w:ascii="Times New Roman" w:hAnsi="Times New Roman" w:cs="Times New Roman"/>
        </w:rPr>
      </w:pPr>
      <w:r w:rsidRPr="0028117D">
        <w:rPr>
          <w:rFonts w:ascii="Times New Roman" w:hAnsi="Times New Roman" w:cs="Times New Roman"/>
        </w:rPr>
        <w:t>Rodriguez-</w:t>
      </w:r>
      <w:proofErr w:type="spellStart"/>
      <w:r w:rsidRPr="0028117D">
        <w:rPr>
          <w:rFonts w:ascii="Times New Roman" w:hAnsi="Times New Roman" w:cs="Times New Roman"/>
        </w:rPr>
        <w:t>Feo</w:t>
      </w:r>
      <w:proofErr w:type="spellEnd"/>
      <w:r w:rsidRPr="0028117D">
        <w:rPr>
          <w:rFonts w:ascii="Times New Roman" w:hAnsi="Times New Roman" w:cs="Times New Roman"/>
        </w:rPr>
        <w:t xml:space="preserve">, J.A., Puerto, M., Fernandez-Mena, C., Verdejo, C., Lara, J. M., Diaz-Sanchez, M., et al. (2015). A new role for reticulon-4B/NOGO-B in the intestinal epithelial barrier function and inflammatory bowel disease. </w:t>
      </w:r>
      <w:r w:rsidRPr="0028117D">
        <w:rPr>
          <w:rFonts w:ascii="Times New Roman" w:hAnsi="Times New Roman" w:cs="Times New Roman"/>
          <w:i/>
          <w:iCs/>
        </w:rPr>
        <w:t xml:space="preserve">Am. J. Physiol. </w:t>
      </w:r>
      <w:proofErr w:type="spellStart"/>
      <w:r w:rsidRPr="0028117D">
        <w:rPr>
          <w:rFonts w:ascii="Times New Roman" w:hAnsi="Times New Roman" w:cs="Times New Roman"/>
          <w:i/>
          <w:iCs/>
        </w:rPr>
        <w:t>Gastrointest</w:t>
      </w:r>
      <w:proofErr w:type="spellEnd"/>
      <w:r w:rsidRPr="0028117D">
        <w:rPr>
          <w:rFonts w:ascii="Times New Roman" w:hAnsi="Times New Roman" w:cs="Times New Roman"/>
          <w:i/>
          <w:iCs/>
        </w:rPr>
        <w:t xml:space="preserve">. Liver Physiol. </w:t>
      </w:r>
      <w:r w:rsidRPr="0028117D">
        <w:rPr>
          <w:rFonts w:ascii="Times New Roman" w:hAnsi="Times New Roman" w:cs="Times New Roman"/>
        </w:rPr>
        <w:t xml:space="preserve">308, G981-993. </w:t>
      </w:r>
      <w:proofErr w:type="spellStart"/>
      <w:r w:rsidRPr="0028117D">
        <w:rPr>
          <w:rFonts w:ascii="Times New Roman" w:hAnsi="Times New Roman" w:cs="Times New Roman"/>
        </w:rPr>
        <w:t>doi</w:t>
      </w:r>
      <w:proofErr w:type="spellEnd"/>
      <w:r w:rsidRPr="0028117D">
        <w:rPr>
          <w:rFonts w:ascii="Times New Roman" w:hAnsi="Times New Roman" w:cs="Times New Roman"/>
        </w:rPr>
        <w:t>: 10.1152/ajpgo.00309.2014.</w:t>
      </w:r>
    </w:p>
    <w:p w14:paraId="1790D8C8" w14:textId="62822410" w:rsidR="00A45333" w:rsidRPr="0028117D" w:rsidRDefault="00A45333" w:rsidP="003630FF">
      <w:pPr>
        <w:spacing w:after="120"/>
        <w:rPr>
          <w:rFonts w:ascii="Times New Roman" w:hAnsi="Times New Roman" w:cs="Times New Roman"/>
        </w:rPr>
      </w:pPr>
      <w:proofErr w:type="spellStart"/>
      <w:r w:rsidRPr="0028117D">
        <w:rPr>
          <w:rFonts w:ascii="Times New Roman" w:hAnsi="Times New Roman" w:cs="Times New Roman"/>
        </w:rPr>
        <w:t>Sako</w:t>
      </w:r>
      <w:proofErr w:type="spellEnd"/>
      <w:r w:rsidRPr="0028117D">
        <w:rPr>
          <w:rFonts w:ascii="Times New Roman" w:hAnsi="Times New Roman" w:cs="Times New Roman"/>
        </w:rPr>
        <w:t xml:space="preserve">, N., </w:t>
      </w:r>
      <w:proofErr w:type="spellStart"/>
      <w:r w:rsidRPr="0028117D">
        <w:rPr>
          <w:rFonts w:ascii="Times New Roman" w:hAnsi="Times New Roman" w:cs="Times New Roman"/>
        </w:rPr>
        <w:t>Dessirier</w:t>
      </w:r>
      <w:proofErr w:type="spellEnd"/>
      <w:r w:rsidRPr="0028117D">
        <w:rPr>
          <w:rFonts w:ascii="Times New Roman" w:hAnsi="Times New Roman" w:cs="Times New Roman"/>
        </w:rPr>
        <w:t xml:space="preserve">, V., Bagot, M., </w:t>
      </w:r>
      <w:proofErr w:type="spellStart"/>
      <w:r w:rsidRPr="0028117D">
        <w:rPr>
          <w:rFonts w:ascii="Times New Roman" w:hAnsi="Times New Roman" w:cs="Times New Roman"/>
        </w:rPr>
        <w:t>Bensussan</w:t>
      </w:r>
      <w:proofErr w:type="spellEnd"/>
      <w:r w:rsidRPr="0028117D">
        <w:rPr>
          <w:rFonts w:ascii="Times New Roman" w:hAnsi="Times New Roman" w:cs="Times New Roman"/>
        </w:rPr>
        <w:t xml:space="preserve">, A., Schmitt, C. (2014). HACE1, a potential tumor suppressor </w:t>
      </w:r>
      <w:proofErr w:type="spellStart"/>
      <w:r w:rsidRPr="0028117D">
        <w:rPr>
          <w:rFonts w:ascii="Times New Roman" w:hAnsi="Times New Roman" w:cs="Times New Roman"/>
        </w:rPr>
        <w:t>geneon</w:t>
      </w:r>
      <w:proofErr w:type="spellEnd"/>
      <w:r w:rsidRPr="0028117D">
        <w:rPr>
          <w:rFonts w:ascii="Times New Roman" w:hAnsi="Times New Roman" w:cs="Times New Roman"/>
        </w:rPr>
        <w:t xml:space="preserve"> 6q21, is not involved in </w:t>
      </w:r>
      <w:proofErr w:type="spellStart"/>
      <w:r w:rsidRPr="0028117D">
        <w:rPr>
          <w:rFonts w:ascii="Times New Roman" w:hAnsi="Times New Roman" w:cs="Times New Roman"/>
        </w:rPr>
        <w:t>extranodal</w:t>
      </w:r>
      <w:proofErr w:type="spellEnd"/>
      <w:r w:rsidRPr="0028117D">
        <w:rPr>
          <w:rFonts w:ascii="Times New Roman" w:hAnsi="Times New Roman" w:cs="Times New Roman"/>
        </w:rPr>
        <w:t xml:space="preserve"> natural killer/T-cell lymphoma pathophysiology. </w:t>
      </w:r>
      <w:r w:rsidRPr="0028117D">
        <w:rPr>
          <w:rFonts w:ascii="Times New Roman" w:hAnsi="Times New Roman" w:cs="Times New Roman"/>
          <w:i/>
          <w:iCs/>
        </w:rPr>
        <w:t xml:space="preserve">Am. J. </w:t>
      </w:r>
      <w:proofErr w:type="spellStart"/>
      <w:r w:rsidRPr="0028117D">
        <w:rPr>
          <w:rFonts w:ascii="Times New Roman" w:hAnsi="Times New Roman" w:cs="Times New Roman"/>
          <w:i/>
          <w:iCs/>
        </w:rPr>
        <w:t>Pathol</w:t>
      </w:r>
      <w:proofErr w:type="spellEnd"/>
      <w:r w:rsidRPr="0028117D">
        <w:rPr>
          <w:rFonts w:ascii="Times New Roman" w:hAnsi="Times New Roman" w:cs="Times New Roman"/>
          <w:i/>
          <w:iCs/>
        </w:rPr>
        <w:t xml:space="preserve">. </w:t>
      </w:r>
      <w:r w:rsidRPr="0028117D">
        <w:rPr>
          <w:rFonts w:ascii="Times New Roman" w:hAnsi="Times New Roman" w:cs="Times New Roman"/>
        </w:rPr>
        <w:t xml:space="preserve">184, 2899-2907. </w:t>
      </w:r>
      <w:proofErr w:type="spellStart"/>
      <w:r w:rsidRPr="0028117D">
        <w:rPr>
          <w:rFonts w:ascii="Times New Roman" w:hAnsi="Times New Roman" w:cs="Times New Roman"/>
        </w:rPr>
        <w:t>doi</w:t>
      </w:r>
      <w:proofErr w:type="spellEnd"/>
      <w:r w:rsidRPr="0028117D">
        <w:rPr>
          <w:rFonts w:ascii="Times New Roman" w:hAnsi="Times New Roman" w:cs="Times New Roman"/>
        </w:rPr>
        <w:t>: 10.1016/j.ajpath.2014.07.011.</w:t>
      </w:r>
    </w:p>
    <w:p w14:paraId="2C924315" w14:textId="29D2D061" w:rsidR="00680B95" w:rsidRPr="0028117D" w:rsidRDefault="00680B95" w:rsidP="003630FF">
      <w:pPr>
        <w:spacing w:after="120"/>
        <w:rPr>
          <w:rFonts w:ascii="Times New Roman" w:hAnsi="Times New Roman" w:cs="Times New Roman"/>
        </w:rPr>
      </w:pPr>
      <w:r w:rsidRPr="0028117D">
        <w:rPr>
          <w:rFonts w:ascii="Times New Roman" w:hAnsi="Times New Roman" w:cs="Times New Roman"/>
        </w:rPr>
        <w:t xml:space="preserve">Sari-Ak, D., Torres-Gomez, A., </w:t>
      </w:r>
      <w:proofErr w:type="spellStart"/>
      <w:r w:rsidRPr="0028117D">
        <w:rPr>
          <w:rFonts w:ascii="Times New Roman" w:hAnsi="Times New Roman" w:cs="Times New Roman"/>
        </w:rPr>
        <w:t>Yazicioglu</w:t>
      </w:r>
      <w:proofErr w:type="spellEnd"/>
      <w:r w:rsidRPr="0028117D">
        <w:rPr>
          <w:rFonts w:ascii="Times New Roman" w:hAnsi="Times New Roman" w:cs="Times New Roman"/>
        </w:rPr>
        <w:t>, Y.</w:t>
      </w:r>
      <w:r w:rsidR="008B4A99" w:rsidRPr="0028117D">
        <w:rPr>
          <w:rFonts w:ascii="Times New Roman" w:hAnsi="Times New Roman" w:cs="Times New Roman"/>
        </w:rPr>
        <w:t xml:space="preserve"> </w:t>
      </w:r>
      <w:r w:rsidRPr="0028117D">
        <w:rPr>
          <w:rFonts w:ascii="Times New Roman" w:hAnsi="Times New Roman" w:cs="Times New Roman"/>
        </w:rPr>
        <w:t xml:space="preserve">F., </w:t>
      </w:r>
      <w:proofErr w:type="spellStart"/>
      <w:r w:rsidRPr="0028117D">
        <w:rPr>
          <w:rFonts w:ascii="Times New Roman" w:hAnsi="Times New Roman" w:cs="Times New Roman"/>
        </w:rPr>
        <w:t>Christofides</w:t>
      </w:r>
      <w:proofErr w:type="spellEnd"/>
      <w:r w:rsidRPr="0028117D">
        <w:rPr>
          <w:rFonts w:ascii="Times New Roman" w:hAnsi="Times New Roman" w:cs="Times New Roman"/>
        </w:rPr>
        <w:t xml:space="preserve">, A., </w:t>
      </w:r>
      <w:proofErr w:type="spellStart"/>
      <w:r w:rsidRPr="0028117D">
        <w:rPr>
          <w:rFonts w:ascii="Times New Roman" w:hAnsi="Times New Roman" w:cs="Times New Roman"/>
        </w:rPr>
        <w:t>Patsoukis</w:t>
      </w:r>
      <w:proofErr w:type="spellEnd"/>
      <w:r w:rsidRPr="0028117D">
        <w:rPr>
          <w:rFonts w:ascii="Times New Roman" w:hAnsi="Times New Roman" w:cs="Times New Roman"/>
        </w:rPr>
        <w:t xml:space="preserve">, N., </w:t>
      </w:r>
      <w:proofErr w:type="spellStart"/>
      <w:r w:rsidRPr="0028117D">
        <w:rPr>
          <w:rFonts w:ascii="Times New Roman" w:hAnsi="Times New Roman" w:cs="Times New Roman"/>
        </w:rPr>
        <w:t>Lafuente</w:t>
      </w:r>
      <w:proofErr w:type="spellEnd"/>
      <w:r w:rsidRPr="0028117D">
        <w:rPr>
          <w:rFonts w:ascii="Times New Roman" w:hAnsi="Times New Roman" w:cs="Times New Roman"/>
        </w:rPr>
        <w:t>, E.</w:t>
      </w:r>
      <w:r w:rsidR="008B4A99" w:rsidRPr="0028117D">
        <w:rPr>
          <w:rFonts w:ascii="Times New Roman" w:hAnsi="Times New Roman" w:cs="Times New Roman"/>
        </w:rPr>
        <w:t xml:space="preserve"> </w:t>
      </w:r>
      <w:r w:rsidRPr="0028117D">
        <w:rPr>
          <w:rFonts w:ascii="Times New Roman" w:hAnsi="Times New Roman" w:cs="Times New Roman"/>
        </w:rPr>
        <w:t xml:space="preserve">M., </w:t>
      </w:r>
      <w:proofErr w:type="spellStart"/>
      <w:r w:rsidR="008B4A99" w:rsidRPr="0028117D">
        <w:rPr>
          <w:rFonts w:ascii="Times New Roman" w:hAnsi="Times New Roman" w:cs="Times New Roman"/>
        </w:rPr>
        <w:t>Bioussiotis</w:t>
      </w:r>
      <w:proofErr w:type="spellEnd"/>
      <w:r w:rsidR="008B4A99" w:rsidRPr="0028117D">
        <w:rPr>
          <w:rFonts w:ascii="Times New Roman" w:hAnsi="Times New Roman" w:cs="Times New Roman"/>
        </w:rPr>
        <w:t xml:space="preserve">, V.A. (2022). Structural, biochemical, and functional properties of the Rap1-interacting adaptor molecule (RIAM). </w:t>
      </w:r>
      <w:r w:rsidR="008B4A99" w:rsidRPr="0028117D">
        <w:rPr>
          <w:rFonts w:ascii="Times New Roman" w:hAnsi="Times New Roman" w:cs="Times New Roman"/>
          <w:i/>
          <w:iCs/>
        </w:rPr>
        <w:t xml:space="preserve">Biomed. J. </w:t>
      </w:r>
      <w:r w:rsidR="008B4A99" w:rsidRPr="0028117D">
        <w:rPr>
          <w:rFonts w:ascii="Times New Roman" w:hAnsi="Times New Roman" w:cs="Times New Roman"/>
        </w:rPr>
        <w:t xml:space="preserve">45, 289-298. </w:t>
      </w:r>
      <w:proofErr w:type="spellStart"/>
      <w:r w:rsidR="008B4A99" w:rsidRPr="0028117D">
        <w:rPr>
          <w:rFonts w:ascii="Times New Roman" w:hAnsi="Times New Roman" w:cs="Times New Roman"/>
        </w:rPr>
        <w:t>doi</w:t>
      </w:r>
      <w:proofErr w:type="spellEnd"/>
      <w:r w:rsidR="008B4A99" w:rsidRPr="0028117D">
        <w:rPr>
          <w:rFonts w:ascii="Times New Roman" w:hAnsi="Times New Roman" w:cs="Times New Roman"/>
        </w:rPr>
        <w:t xml:space="preserve">: 10.1016/j.bj.2021.09.005.  </w:t>
      </w:r>
    </w:p>
    <w:p w14:paraId="583B5A3A" w14:textId="1AE62DF8" w:rsidR="0002098D" w:rsidRPr="0028117D" w:rsidRDefault="0002098D" w:rsidP="003630FF">
      <w:pPr>
        <w:spacing w:after="120"/>
        <w:rPr>
          <w:rFonts w:ascii="Times New Roman" w:hAnsi="Times New Roman" w:cs="Times New Roman"/>
        </w:rPr>
      </w:pPr>
      <w:proofErr w:type="spellStart"/>
      <w:r w:rsidRPr="0028117D">
        <w:rPr>
          <w:rFonts w:ascii="Times New Roman" w:hAnsi="Times New Roman" w:cs="Times New Roman"/>
        </w:rPr>
        <w:t>Seow</w:t>
      </w:r>
      <w:proofErr w:type="spellEnd"/>
      <w:r w:rsidRPr="0028117D">
        <w:rPr>
          <w:rFonts w:ascii="Times New Roman" w:hAnsi="Times New Roman" w:cs="Times New Roman"/>
        </w:rPr>
        <w:t xml:space="preserve">, V., Lim, J., </w:t>
      </w:r>
      <w:proofErr w:type="spellStart"/>
      <w:r w:rsidRPr="0028117D">
        <w:rPr>
          <w:rFonts w:ascii="Times New Roman" w:hAnsi="Times New Roman" w:cs="Times New Roman"/>
        </w:rPr>
        <w:t>Iyer</w:t>
      </w:r>
      <w:proofErr w:type="spellEnd"/>
      <w:r w:rsidRPr="0028117D">
        <w:rPr>
          <w:rFonts w:ascii="Times New Roman" w:hAnsi="Times New Roman" w:cs="Times New Roman"/>
        </w:rPr>
        <w:t xml:space="preserve">, A., Suen, J. Y., </w:t>
      </w:r>
      <w:proofErr w:type="spellStart"/>
      <w:r w:rsidRPr="0028117D">
        <w:rPr>
          <w:rFonts w:ascii="Times New Roman" w:hAnsi="Times New Roman" w:cs="Times New Roman"/>
        </w:rPr>
        <w:t>Ariffin</w:t>
      </w:r>
      <w:proofErr w:type="spellEnd"/>
      <w:r w:rsidRPr="0028117D">
        <w:rPr>
          <w:rFonts w:ascii="Times New Roman" w:hAnsi="Times New Roman" w:cs="Times New Roman"/>
        </w:rPr>
        <w:t xml:space="preserve">, J. K., </w:t>
      </w:r>
      <w:proofErr w:type="spellStart"/>
      <w:r w:rsidRPr="0028117D">
        <w:rPr>
          <w:rFonts w:ascii="Times New Roman" w:hAnsi="Times New Roman" w:cs="Times New Roman"/>
        </w:rPr>
        <w:t>Hohenhaus</w:t>
      </w:r>
      <w:proofErr w:type="spellEnd"/>
      <w:r w:rsidRPr="0028117D">
        <w:rPr>
          <w:rFonts w:ascii="Times New Roman" w:hAnsi="Times New Roman" w:cs="Times New Roman"/>
        </w:rPr>
        <w:t xml:space="preserve">, D. M., et al. (2013). Inflammatory responses induced by lipopolysaccharide are amplified in primary human monocytes but suppressed in macrophages by complement protein C5a. </w:t>
      </w:r>
      <w:r w:rsidRPr="0028117D">
        <w:rPr>
          <w:rFonts w:ascii="Times New Roman" w:hAnsi="Times New Roman" w:cs="Times New Roman"/>
          <w:i/>
          <w:iCs/>
        </w:rPr>
        <w:t xml:space="preserve">J. Immunol. </w:t>
      </w:r>
      <w:r w:rsidRPr="0028117D">
        <w:rPr>
          <w:rFonts w:ascii="Times New Roman" w:hAnsi="Times New Roman" w:cs="Times New Roman"/>
        </w:rPr>
        <w:t xml:space="preserve">191, 4308-4316. </w:t>
      </w:r>
      <w:proofErr w:type="spellStart"/>
      <w:r w:rsidRPr="0028117D">
        <w:rPr>
          <w:rFonts w:ascii="Times New Roman" w:hAnsi="Times New Roman" w:cs="Times New Roman"/>
        </w:rPr>
        <w:t>doi</w:t>
      </w:r>
      <w:proofErr w:type="spellEnd"/>
      <w:r w:rsidRPr="0028117D">
        <w:rPr>
          <w:rFonts w:ascii="Times New Roman" w:hAnsi="Times New Roman" w:cs="Times New Roman"/>
        </w:rPr>
        <w:t>: 10.4049/jimmunol.</w:t>
      </w:r>
      <w:r w:rsidR="001D679E" w:rsidRPr="0028117D">
        <w:rPr>
          <w:rFonts w:ascii="Times New Roman" w:hAnsi="Times New Roman" w:cs="Times New Roman"/>
        </w:rPr>
        <w:t>1301355.</w:t>
      </w:r>
      <w:r w:rsidRPr="0028117D">
        <w:rPr>
          <w:rFonts w:ascii="Times New Roman" w:hAnsi="Times New Roman" w:cs="Times New Roman"/>
        </w:rPr>
        <w:t xml:space="preserve"> </w:t>
      </w:r>
    </w:p>
    <w:p w14:paraId="46002EC5" w14:textId="1497279F" w:rsidR="00037F18" w:rsidRPr="0028117D" w:rsidRDefault="00037F18" w:rsidP="003630FF">
      <w:pPr>
        <w:spacing w:after="120"/>
        <w:rPr>
          <w:rFonts w:ascii="Times New Roman" w:hAnsi="Times New Roman" w:cs="Times New Roman"/>
        </w:rPr>
      </w:pPr>
      <w:proofErr w:type="spellStart"/>
      <w:r w:rsidRPr="0028117D">
        <w:rPr>
          <w:rFonts w:ascii="Times New Roman" w:hAnsi="Times New Roman" w:cs="Times New Roman"/>
        </w:rPr>
        <w:t>Shima</w:t>
      </w:r>
      <w:proofErr w:type="spellEnd"/>
      <w:r w:rsidRPr="0028117D">
        <w:rPr>
          <w:rFonts w:ascii="Times New Roman" w:hAnsi="Times New Roman" w:cs="Times New Roman"/>
        </w:rPr>
        <w:t xml:space="preserve">, K., Inoue, T., Uehara, Y., </w:t>
      </w:r>
      <w:proofErr w:type="spellStart"/>
      <w:r w:rsidRPr="0028117D">
        <w:rPr>
          <w:rFonts w:ascii="Times New Roman" w:hAnsi="Times New Roman" w:cs="Times New Roman"/>
        </w:rPr>
        <w:t>Iwamura</w:t>
      </w:r>
      <w:proofErr w:type="spellEnd"/>
      <w:r w:rsidRPr="0028117D">
        <w:rPr>
          <w:rFonts w:ascii="Times New Roman" w:hAnsi="Times New Roman" w:cs="Times New Roman"/>
        </w:rPr>
        <w:t xml:space="preserve">, M., </w:t>
      </w:r>
      <w:proofErr w:type="spellStart"/>
      <w:r w:rsidRPr="0028117D">
        <w:rPr>
          <w:rFonts w:ascii="Times New Roman" w:hAnsi="Times New Roman" w:cs="Times New Roman"/>
        </w:rPr>
        <w:t>Fukagawa</w:t>
      </w:r>
      <w:proofErr w:type="spellEnd"/>
      <w:r w:rsidRPr="0028117D">
        <w:rPr>
          <w:rFonts w:ascii="Times New Roman" w:hAnsi="Times New Roman" w:cs="Times New Roman"/>
        </w:rPr>
        <w:t xml:space="preserve">, S., </w:t>
      </w:r>
      <w:proofErr w:type="spellStart"/>
      <w:r w:rsidRPr="0028117D">
        <w:rPr>
          <w:rFonts w:ascii="Times New Roman" w:hAnsi="Times New Roman" w:cs="Times New Roman"/>
        </w:rPr>
        <w:t>Kuwano</w:t>
      </w:r>
      <w:proofErr w:type="spellEnd"/>
      <w:r w:rsidRPr="0028117D">
        <w:rPr>
          <w:rFonts w:ascii="Times New Roman" w:hAnsi="Times New Roman" w:cs="Times New Roman"/>
        </w:rPr>
        <w:t xml:space="preserve">, T., et al. (2022). Non-invasive transcriptomic analysis using mRNAs in skin surface lipids obtained from children with mild-to-moderate atopic dermatitis. </w:t>
      </w:r>
      <w:r w:rsidRPr="0028117D">
        <w:rPr>
          <w:rFonts w:ascii="Times New Roman" w:hAnsi="Times New Roman" w:cs="Times New Roman"/>
          <w:i/>
          <w:iCs/>
        </w:rPr>
        <w:t xml:space="preserve">J. Eur. Acad. </w:t>
      </w:r>
      <w:proofErr w:type="spellStart"/>
      <w:r w:rsidRPr="0028117D">
        <w:rPr>
          <w:rFonts w:ascii="Times New Roman" w:hAnsi="Times New Roman" w:cs="Times New Roman"/>
          <w:i/>
          <w:iCs/>
        </w:rPr>
        <w:t>Dermatol.Venereol</w:t>
      </w:r>
      <w:proofErr w:type="spellEnd"/>
      <w:r w:rsidRPr="0028117D">
        <w:rPr>
          <w:rFonts w:ascii="Times New Roman" w:hAnsi="Times New Roman" w:cs="Times New Roman"/>
          <w:i/>
          <w:iCs/>
        </w:rPr>
        <w:t xml:space="preserve">. </w:t>
      </w:r>
      <w:r w:rsidRPr="0028117D">
        <w:rPr>
          <w:rFonts w:ascii="Times New Roman" w:hAnsi="Times New Roman" w:cs="Times New Roman"/>
        </w:rPr>
        <w:t xml:space="preserve">36, 1477-1485. </w:t>
      </w:r>
      <w:proofErr w:type="spellStart"/>
      <w:r w:rsidRPr="0028117D">
        <w:rPr>
          <w:rFonts w:ascii="Times New Roman" w:hAnsi="Times New Roman" w:cs="Times New Roman"/>
        </w:rPr>
        <w:t>doi</w:t>
      </w:r>
      <w:proofErr w:type="spellEnd"/>
      <w:r w:rsidRPr="0028117D">
        <w:rPr>
          <w:rFonts w:ascii="Times New Roman" w:hAnsi="Times New Roman" w:cs="Times New Roman"/>
        </w:rPr>
        <w:t>: 10.1111/jdv.18173.</w:t>
      </w:r>
    </w:p>
    <w:p w14:paraId="2C7CD1CD" w14:textId="71E053EA" w:rsidR="00524EED" w:rsidRPr="0028117D" w:rsidRDefault="00524EED" w:rsidP="003630FF">
      <w:pPr>
        <w:spacing w:after="120"/>
        <w:rPr>
          <w:rFonts w:ascii="Times New Roman" w:hAnsi="Times New Roman" w:cs="Times New Roman"/>
        </w:rPr>
      </w:pPr>
      <w:r w:rsidRPr="0028117D">
        <w:rPr>
          <w:rFonts w:ascii="Times New Roman" w:hAnsi="Times New Roman" w:cs="Times New Roman"/>
        </w:rPr>
        <w:t xml:space="preserve">Sommerfeld, O., </w:t>
      </w:r>
      <w:proofErr w:type="spellStart"/>
      <w:r w:rsidRPr="0028117D">
        <w:rPr>
          <w:rFonts w:ascii="Times New Roman" w:hAnsi="Times New Roman" w:cs="Times New Roman"/>
        </w:rPr>
        <w:t>Medyukhina</w:t>
      </w:r>
      <w:proofErr w:type="spellEnd"/>
      <w:r w:rsidRPr="0028117D">
        <w:rPr>
          <w:rFonts w:ascii="Times New Roman" w:hAnsi="Times New Roman" w:cs="Times New Roman"/>
        </w:rPr>
        <w:t xml:space="preserve">, A., Neugebauer, S., </w:t>
      </w:r>
      <w:proofErr w:type="spellStart"/>
      <w:r w:rsidRPr="0028117D">
        <w:rPr>
          <w:rFonts w:ascii="Times New Roman" w:hAnsi="Times New Roman" w:cs="Times New Roman"/>
        </w:rPr>
        <w:t>Ghait</w:t>
      </w:r>
      <w:proofErr w:type="spellEnd"/>
      <w:r w:rsidRPr="0028117D">
        <w:rPr>
          <w:rFonts w:ascii="Times New Roman" w:hAnsi="Times New Roman" w:cs="Times New Roman"/>
        </w:rPr>
        <w:t xml:space="preserve">, M., </w:t>
      </w:r>
      <w:proofErr w:type="spellStart"/>
      <w:r w:rsidRPr="0028117D">
        <w:rPr>
          <w:rFonts w:ascii="Times New Roman" w:hAnsi="Times New Roman" w:cs="Times New Roman"/>
        </w:rPr>
        <w:t>Ulferts</w:t>
      </w:r>
      <w:proofErr w:type="spellEnd"/>
      <w:r w:rsidRPr="0028117D">
        <w:rPr>
          <w:rFonts w:ascii="Times New Roman" w:hAnsi="Times New Roman" w:cs="Times New Roman"/>
        </w:rPr>
        <w:t xml:space="preserve">, S., </w:t>
      </w:r>
      <w:proofErr w:type="spellStart"/>
      <w:r w:rsidRPr="0028117D">
        <w:rPr>
          <w:rFonts w:ascii="Times New Roman" w:hAnsi="Times New Roman" w:cs="Times New Roman"/>
        </w:rPr>
        <w:t>Lupp</w:t>
      </w:r>
      <w:proofErr w:type="spellEnd"/>
      <w:r w:rsidRPr="0028117D">
        <w:rPr>
          <w:rFonts w:ascii="Times New Roman" w:hAnsi="Times New Roman" w:cs="Times New Roman"/>
        </w:rPr>
        <w:t xml:space="preserve">, A., et al. (2021) Targeting complement C5a receptor 1 for the treatment of immunosuppression and sepsis. </w:t>
      </w:r>
      <w:r w:rsidRPr="0028117D">
        <w:rPr>
          <w:rFonts w:ascii="Times New Roman" w:hAnsi="Times New Roman" w:cs="Times New Roman"/>
          <w:i/>
          <w:iCs/>
        </w:rPr>
        <w:t xml:space="preserve">Mol. </w:t>
      </w:r>
      <w:proofErr w:type="spellStart"/>
      <w:r w:rsidRPr="0028117D">
        <w:rPr>
          <w:rFonts w:ascii="Times New Roman" w:hAnsi="Times New Roman" w:cs="Times New Roman"/>
          <w:i/>
          <w:iCs/>
        </w:rPr>
        <w:t>Ther</w:t>
      </w:r>
      <w:proofErr w:type="spellEnd"/>
      <w:r w:rsidRPr="0028117D">
        <w:rPr>
          <w:rFonts w:ascii="Times New Roman" w:hAnsi="Times New Roman" w:cs="Times New Roman"/>
          <w:i/>
          <w:iCs/>
        </w:rPr>
        <w:t xml:space="preserve">. </w:t>
      </w:r>
      <w:r w:rsidRPr="0028117D">
        <w:rPr>
          <w:rFonts w:ascii="Times New Roman" w:hAnsi="Times New Roman" w:cs="Times New Roman"/>
        </w:rPr>
        <w:t xml:space="preserve">29, 338-346. </w:t>
      </w:r>
      <w:proofErr w:type="spellStart"/>
      <w:r w:rsidRPr="0028117D">
        <w:rPr>
          <w:rFonts w:ascii="Times New Roman" w:hAnsi="Times New Roman" w:cs="Times New Roman"/>
        </w:rPr>
        <w:t>doi</w:t>
      </w:r>
      <w:proofErr w:type="spellEnd"/>
      <w:r w:rsidRPr="0028117D">
        <w:rPr>
          <w:rFonts w:ascii="Times New Roman" w:hAnsi="Times New Roman" w:cs="Times New Roman"/>
        </w:rPr>
        <w:t>:  10.1016/j.ymthe.2020.09.008.</w:t>
      </w:r>
    </w:p>
    <w:p w14:paraId="07419306" w14:textId="0C26183F" w:rsidR="008B4A99" w:rsidRPr="0028117D" w:rsidRDefault="008B4A99" w:rsidP="003630FF">
      <w:pPr>
        <w:spacing w:after="120"/>
        <w:rPr>
          <w:rFonts w:ascii="Times New Roman" w:hAnsi="Times New Roman" w:cs="Times New Roman"/>
        </w:rPr>
      </w:pPr>
      <w:r w:rsidRPr="0028117D">
        <w:rPr>
          <w:rFonts w:ascii="Times New Roman" w:hAnsi="Times New Roman" w:cs="Times New Roman"/>
        </w:rPr>
        <w:lastRenderedPageBreak/>
        <w:t xml:space="preserve">Sun, H., </w:t>
      </w:r>
      <w:proofErr w:type="spellStart"/>
      <w:r w:rsidRPr="0028117D">
        <w:rPr>
          <w:rFonts w:ascii="Times New Roman" w:hAnsi="Times New Roman" w:cs="Times New Roman"/>
        </w:rPr>
        <w:t>Lagarrigue</w:t>
      </w:r>
      <w:proofErr w:type="spellEnd"/>
      <w:r w:rsidRPr="0028117D">
        <w:rPr>
          <w:rFonts w:ascii="Times New Roman" w:hAnsi="Times New Roman" w:cs="Times New Roman"/>
        </w:rPr>
        <w:t>, F., Wang, H., Fan, Z., Lopez-Ramirez, M.</w:t>
      </w:r>
      <w:r w:rsidR="003630FF" w:rsidRPr="0028117D">
        <w:rPr>
          <w:rFonts w:ascii="Times New Roman" w:hAnsi="Times New Roman" w:cs="Times New Roman"/>
        </w:rPr>
        <w:t xml:space="preserve"> </w:t>
      </w:r>
      <w:r w:rsidRPr="0028117D">
        <w:rPr>
          <w:rFonts w:ascii="Times New Roman" w:hAnsi="Times New Roman" w:cs="Times New Roman"/>
        </w:rPr>
        <w:t xml:space="preserve">A., </w:t>
      </w:r>
      <w:r w:rsidR="003630FF" w:rsidRPr="0028117D">
        <w:rPr>
          <w:rFonts w:ascii="Times New Roman" w:hAnsi="Times New Roman" w:cs="Times New Roman"/>
        </w:rPr>
        <w:t xml:space="preserve">Chang, J. T., Ginsberg, M. H. (2021). Distinct integrin activation pathways for effector and regulatory T cell trafficking and function. </w:t>
      </w:r>
      <w:r w:rsidR="003630FF" w:rsidRPr="0028117D">
        <w:rPr>
          <w:rFonts w:ascii="Times New Roman" w:hAnsi="Times New Roman" w:cs="Times New Roman"/>
          <w:i/>
          <w:iCs/>
        </w:rPr>
        <w:t xml:space="preserve">J. Exp. Med. </w:t>
      </w:r>
      <w:r w:rsidR="003630FF" w:rsidRPr="0028117D">
        <w:rPr>
          <w:rFonts w:ascii="Times New Roman" w:hAnsi="Times New Roman" w:cs="Times New Roman"/>
        </w:rPr>
        <w:t xml:space="preserve">218, e20201524. </w:t>
      </w:r>
      <w:proofErr w:type="spellStart"/>
      <w:r w:rsidR="003630FF" w:rsidRPr="0028117D">
        <w:rPr>
          <w:rFonts w:ascii="Times New Roman" w:hAnsi="Times New Roman" w:cs="Times New Roman"/>
        </w:rPr>
        <w:t>doi</w:t>
      </w:r>
      <w:proofErr w:type="spellEnd"/>
      <w:r w:rsidR="003630FF" w:rsidRPr="0028117D">
        <w:rPr>
          <w:rFonts w:ascii="Times New Roman" w:hAnsi="Times New Roman" w:cs="Times New Roman"/>
        </w:rPr>
        <w:t>: 10.1084/jem.20201524.</w:t>
      </w:r>
    </w:p>
    <w:p w14:paraId="66824025" w14:textId="77ED54A5" w:rsidR="00A96857" w:rsidRPr="0028117D" w:rsidRDefault="00A96857" w:rsidP="003630FF">
      <w:pPr>
        <w:spacing w:after="120"/>
        <w:rPr>
          <w:rFonts w:ascii="Times New Roman" w:hAnsi="Times New Roman" w:cs="Times New Roman"/>
        </w:rPr>
      </w:pPr>
      <w:r w:rsidRPr="0028117D">
        <w:rPr>
          <w:rFonts w:ascii="Times New Roman" w:hAnsi="Times New Roman" w:cs="Times New Roman"/>
        </w:rPr>
        <w:t xml:space="preserve">Tong, H. H., Lambert, G., Li, Y. X., Thurman, J. M., Stahl, G. L., </w:t>
      </w:r>
      <w:proofErr w:type="spellStart"/>
      <w:r w:rsidRPr="0028117D">
        <w:rPr>
          <w:rFonts w:ascii="Times New Roman" w:hAnsi="Times New Roman" w:cs="Times New Roman"/>
        </w:rPr>
        <w:t>Douthitt</w:t>
      </w:r>
      <w:proofErr w:type="spellEnd"/>
      <w:r w:rsidRPr="0028117D">
        <w:rPr>
          <w:rFonts w:ascii="Times New Roman" w:hAnsi="Times New Roman" w:cs="Times New Roman"/>
        </w:rPr>
        <w:t xml:space="preserve">, K., et al. (2014). Deletion of the complement C5a receptor alleviates the severity of acute pneumococcal otitis media following influenza A virus infection in mice. </w:t>
      </w:r>
      <w:proofErr w:type="spellStart"/>
      <w:r w:rsidRPr="0028117D">
        <w:rPr>
          <w:rFonts w:ascii="Times New Roman" w:hAnsi="Times New Roman" w:cs="Times New Roman"/>
          <w:i/>
          <w:iCs/>
        </w:rPr>
        <w:t>PLoS</w:t>
      </w:r>
      <w:proofErr w:type="spellEnd"/>
      <w:r w:rsidRPr="0028117D">
        <w:rPr>
          <w:rFonts w:ascii="Times New Roman" w:hAnsi="Times New Roman" w:cs="Times New Roman"/>
          <w:i/>
          <w:iCs/>
        </w:rPr>
        <w:t xml:space="preserve"> One </w:t>
      </w:r>
      <w:r w:rsidRPr="0028117D">
        <w:rPr>
          <w:rFonts w:ascii="Times New Roman" w:hAnsi="Times New Roman" w:cs="Times New Roman"/>
        </w:rPr>
        <w:t xml:space="preserve">9, e95160.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10.1371/journal.pone.0095160. </w:t>
      </w:r>
    </w:p>
    <w:p w14:paraId="222EF17D" w14:textId="75DAD09E" w:rsidR="006024F3" w:rsidRPr="0028117D" w:rsidRDefault="006024F3" w:rsidP="003630FF">
      <w:pPr>
        <w:spacing w:after="120"/>
        <w:rPr>
          <w:rFonts w:ascii="Times New Roman" w:hAnsi="Times New Roman" w:cs="Times New Roman"/>
        </w:rPr>
      </w:pPr>
      <w:proofErr w:type="spellStart"/>
      <w:r w:rsidRPr="0028117D">
        <w:rPr>
          <w:rFonts w:ascii="Times New Roman" w:hAnsi="Times New Roman" w:cs="Times New Roman"/>
        </w:rPr>
        <w:t>Tzanavari</w:t>
      </w:r>
      <w:proofErr w:type="spellEnd"/>
      <w:r w:rsidRPr="0028117D">
        <w:rPr>
          <w:rFonts w:ascii="Times New Roman" w:hAnsi="Times New Roman" w:cs="Times New Roman"/>
        </w:rPr>
        <w:t xml:space="preserve">, T., Varela, A., </w:t>
      </w:r>
      <w:proofErr w:type="spellStart"/>
      <w:r w:rsidRPr="0028117D">
        <w:rPr>
          <w:rFonts w:ascii="Times New Roman" w:hAnsi="Times New Roman" w:cs="Times New Roman"/>
        </w:rPr>
        <w:t>Theocharis</w:t>
      </w:r>
      <w:proofErr w:type="spellEnd"/>
      <w:r w:rsidRPr="0028117D">
        <w:rPr>
          <w:rFonts w:ascii="Times New Roman" w:hAnsi="Times New Roman" w:cs="Times New Roman"/>
        </w:rPr>
        <w:t xml:space="preserve">, S., </w:t>
      </w:r>
      <w:proofErr w:type="spellStart"/>
      <w:r w:rsidRPr="0028117D">
        <w:rPr>
          <w:rFonts w:ascii="Times New Roman" w:hAnsi="Times New Roman" w:cs="Times New Roman"/>
        </w:rPr>
        <w:t>Ninou</w:t>
      </w:r>
      <w:proofErr w:type="spellEnd"/>
      <w:r w:rsidRPr="0028117D">
        <w:rPr>
          <w:rFonts w:ascii="Times New Roman" w:hAnsi="Times New Roman" w:cs="Times New Roman"/>
        </w:rPr>
        <w:t xml:space="preserve">, E., </w:t>
      </w:r>
      <w:proofErr w:type="spellStart"/>
      <w:r w:rsidRPr="0028117D">
        <w:rPr>
          <w:rFonts w:ascii="Times New Roman" w:hAnsi="Times New Roman" w:cs="Times New Roman"/>
        </w:rPr>
        <w:t>Kapelouzou</w:t>
      </w:r>
      <w:proofErr w:type="spellEnd"/>
      <w:r w:rsidRPr="0028117D">
        <w:rPr>
          <w:rFonts w:ascii="Times New Roman" w:hAnsi="Times New Roman" w:cs="Times New Roman"/>
        </w:rPr>
        <w:t xml:space="preserve">, A., </w:t>
      </w:r>
      <w:proofErr w:type="spellStart"/>
      <w:r w:rsidRPr="0028117D">
        <w:rPr>
          <w:rFonts w:ascii="Times New Roman" w:hAnsi="Times New Roman" w:cs="Times New Roman"/>
        </w:rPr>
        <w:t>Cokkinos</w:t>
      </w:r>
      <w:proofErr w:type="spellEnd"/>
      <w:r w:rsidRPr="0028117D">
        <w:rPr>
          <w:rFonts w:ascii="Times New Roman" w:hAnsi="Times New Roman" w:cs="Times New Roman"/>
        </w:rPr>
        <w:t xml:space="preserve">, D. V., et al. (2016). Metformin protects against infection-induced myocardial dysfunction. </w:t>
      </w:r>
      <w:r w:rsidRPr="0028117D">
        <w:rPr>
          <w:rFonts w:ascii="Times New Roman" w:hAnsi="Times New Roman" w:cs="Times New Roman"/>
          <w:i/>
          <w:iCs/>
        </w:rPr>
        <w:t xml:space="preserve">Metabolism </w:t>
      </w:r>
      <w:r w:rsidRPr="0028117D">
        <w:rPr>
          <w:rFonts w:ascii="Times New Roman" w:hAnsi="Times New Roman" w:cs="Times New Roman"/>
        </w:rPr>
        <w:t xml:space="preserve">65, 1447-1458.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10.1016/j.metabol.2016.06.012.  </w:t>
      </w:r>
    </w:p>
    <w:p w14:paraId="26C89159" w14:textId="7567F51C" w:rsidR="00473100" w:rsidRPr="0028117D" w:rsidRDefault="00473100" w:rsidP="003630FF">
      <w:pPr>
        <w:spacing w:after="120"/>
        <w:rPr>
          <w:rFonts w:ascii="Times New Roman" w:hAnsi="Times New Roman" w:cs="Times New Roman"/>
        </w:rPr>
      </w:pPr>
      <w:r w:rsidRPr="0028117D">
        <w:rPr>
          <w:rFonts w:ascii="Times New Roman" w:hAnsi="Times New Roman" w:cs="Times New Roman"/>
        </w:rPr>
        <w:t xml:space="preserve">van der Maten, E., de </w:t>
      </w:r>
      <w:proofErr w:type="spellStart"/>
      <w:r w:rsidRPr="0028117D">
        <w:rPr>
          <w:rFonts w:ascii="Times New Roman" w:hAnsi="Times New Roman" w:cs="Times New Roman"/>
        </w:rPr>
        <w:t>Bont</w:t>
      </w:r>
      <w:proofErr w:type="spellEnd"/>
      <w:r w:rsidRPr="0028117D">
        <w:rPr>
          <w:rFonts w:ascii="Times New Roman" w:hAnsi="Times New Roman" w:cs="Times New Roman"/>
        </w:rPr>
        <w:t xml:space="preserve">, C. M., de Groot, R., de </w:t>
      </w:r>
      <w:proofErr w:type="spellStart"/>
      <w:r w:rsidRPr="0028117D">
        <w:rPr>
          <w:rFonts w:ascii="Times New Roman" w:hAnsi="Times New Roman" w:cs="Times New Roman"/>
        </w:rPr>
        <w:t>Jonge</w:t>
      </w:r>
      <w:proofErr w:type="spellEnd"/>
      <w:r w:rsidRPr="0028117D">
        <w:rPr>
          <w:rFonts w:ascii="Times New Roman" w:hAnsi="Times New Roman" w:cs="Times New Roman"/>
        </w:rPr>
        <w:t xml:space="preserve">, M. I., </w:t>
      </w:r>
      <w:proofErr w:type="spellStart"/>
      <w:r w:rsidRPr="0028117D">
        <w:rPr>
          <w:rFonts w:ascii="Times New Roman" w:hAnsi="Times New Roman" w:cs="Times New Roman"/>
        </w:rPr>
        <w:t>Langereis</w:t>
      </w:r>
      <w:proofErr w:type="spellEnd"/>
      <w:r w:rsidRPr="0028117D">
        <w:rPr>
          <w:rFonts w:ascii="Times New Roman" w:hAnsi="Times New Roman" w:cs="Times New Roman"/>
        </w:rPr>
        <w:t xml:space="preserve">, J. D., van der Flier, M. (2016). Alternative pathway regulation by factor H modulates Streptococcus pneumoniae induced proinflammatory cytokine responses by decreasing C5a receptor crosstalk. </w:t>
      </w:r>
      <w:r w:rsidRPr="0028117D">
        <w:rPr>
          <w:rFonts w:ascii="Times New Roman" w:hAnsi="Times New Roman" w:cs="Times New Roman"/>
          <w:i/>
          <w:iCs/>
        </w:rPr>
        <w:t xml:space="preserve">Cytokine </w:t>
      </w:r>
      <w:r w:rsidRPr="0028117D">
        <w:rPr>
          <w:rFonts w:ascii="Times New Roman" w:hAnsi="Times New Roman" w:cs="Times New Roman"/>
        </w:rPr>
        <w:t xml:space="preserve">88, 281-286. </w:t>
      </w:r>
      <w:proofErr w:type="spellStart"/>
      <w:r w:rsidRPr="0028117D">
        <w:rPr>
          <w:rFonts w:ascii="Times New Roman" w:hAnsi="Times New Roman" w:cs="Times New Roman"/>
        </w:rPr>
        <w:t>doi</w:t>
      </w:r>
      <w:proofErr w:type="spellEnd"/>
      <w:r w:rsidRPr="0028117D">
        <w:rPr>
          <w:rFonts w:ascii="Times New Roman" w:hAnsi="Times New Roman" w:cs="Times New Roman"/>
        </w:rPr>
        <w:t>: 10.1016/j.cyto.2016.09.025.</w:t>
      </w:r>
    </w:p>
    <w:p w14:paraId="6F2F9898" w14:textId="77FEC60B" w:rsidR="008F5EA2" w:rsidRPr="0028117D" w:rsidRDefault="008F5EA2" w:rsidP="003630FF">
      <w:pPr>
        <w:spacing w:after="120"/>
        <w:rPr>
          <w:rFonts w:ascii="Times New Roman" w:hAnsi="Times New Roman" w:cs="Times New Roman"/>
        </w:rPr>
      </w:pPr>
      <w:r w:rsidRPr="0028117D">
        <w:rPr>
          <w:rFonts w:ascii="Times New Roman" w:hAnsi="Times New Roman" w:cs="Times New Roman"/>
        </w:rPr>
        <w:t xml:space="preserve">Wang, J., Zhong, Q., Zhang, H., Liu, S., Li, S., Xia, T., et al. (2022) </w:t>
      </w:r>
      <w:proofErr w:type="spellStart"/>
      <w:r w:rsidRPr="0028117D">
        <w:rPr>
          <w:rFonts w:ascii="Times New Roman" w:hAnsi="Times New Roman" w:cs="Times New Roman"/>
        </w:rPr>
        <w:t>Nogo</w:t>
      </w:r>
      <w:proofErr w:type="spellEnd"/>
      <w:r w:rsidRPr="0028117D">
        <w:rPr>
          <w:rFonts w:ascii="Times New Roman" w:hAnsi="Times New Roman" w:cs="Times New Roman"/>
        </w:rPr>
        <w:t xml:space="preserve">-B promotes invasion and metastasis of nasopharyngeal carcinoma via </w:t>
      </w:r>
      <w:proofErr w:type="spellStart"/>
      <w:r w:rsidRPr="0028117D">
        <w:rPr>
          <w:rFonts w:ascii="Times New Roman" w:hAnsi="Times New Roman" w:cs="Times New Roman"/>
        </w:rPr>
        <w:t>RhoA</w:t>
      </w:r>
      <w:proofErr w:type="spellEnd"/>
      <w:r w:rsidRPr="0028117D">
        <w:rPr>
          <w:rFonts w:ascii="Times New Roman" w:hAnsi="Times New Roman" w:cs="Times New Roman"/>
        </w:rPr>
        <w:t xml:space="preserve">-SRF-MRTFA pathway. </w:t>
      </w:r>
      <w:r w:rsidRPr="0028117D">
        <w:rPr>
          <w:rFonts w:ascii="Times New Roman" w:hAnsi="Times New Roman" w:cs="Times New Roman"/>
          <w:i/>
          <w:iCs/>
        </w:rPr>
        <w:t xml:space="preserve">Cell Death Dis </w:t>
      </w:r>
      <w:r w:rsidRPr="0028117D">
        <w:rPr>
          <w:rFonts w:ascii="Times New Roman" w:hAnsi="Times New Roman" w:cs="Times New Roman"/>
        </w:rPr>
        <w:t xml:space="preserve">13, 76. </w:t>
      </w:r>
      <w:proofErr w:type="spellStart"/>
      <w:r w:rsidRPr="0028117D">
        <w:rPr>
          <w:rFonts w:ascii="Times New Roman" w:hAnsi="Times New Roman" w:cs="Times New Roman"/>
        </w:rPr>
        <w:t>doi</w:t>
      </w:r>
      <w:proofErr w:type="spellEnd"/>
      <w:r w:rsidRPr="0028117D">
        <w:rPr>
          <w:rFonts w:ascii="Times New Roman" w:hAnsi="Times New Roman" w:cs="Times New Roman"/>
        </w:rPr>
        <w:t xml:space="preserve">: 10.1038/s41419-022-04518-0. </w:t>
      </w:r>
    </w:p>
    <w:p w14:paraId="1273722A" w14:textId="637E3E12" w:rsidR="00E721B6" w:rsidRPr="0028117D" w:rsidRDefault="00AA623C" w:rsidP="003630FF">
      <w:pPr>
        <w:spacing w:after="120"/>
        <w:rPr>
          <w:rFonts w:ascii="Times New Roman" w:hAnsi="Times New Roman" w:cs="Times New Roman"/>
        </w:rPr>
      </w:pPr>
      <w:r w:rsidRPr="0028117D">
        <w:rPr>
          <w:rFonts w:ascii="Times New Roman" w:hAnsi="Times New Roman" w:cs="Times New Roman"/>
        </w:rPr>
        <w:t xml:space="preserve">Zou, D. D., Xu, D., Deng, Y. Y., Wu, W. J., Zhang, J., Huang, L., He, L. (2021). Identification of key genes in cutaneous squamous cell carcinoma: a transcriptome sequencing and bioinformatics profiling study. </w:t>
      </w:r>
      <w:r w:rsidRPr="0028117D">
        <w:rPr>
          <w:rFonts w:ascii="Times New Roman" w:hAnsi="Times New Roman" w:cs="Times New Roman"/>
          <w:i/>
          <w:iCs/>
        </w:rPr>
        <w:t xml:space="preserve">Ann. Transl. Med. </w:t>
      </w:r>
      <w:r w:rsidRPr="0028117D">
        <w:rPr>
          <w:rFonts w:ascii="Times New Roman" w:hAnsi="Times New Roman" w:cs="Times New Roman"/>
        </w:rPr>
        <w:t xml:space="preserve">9, 1497. </w:t>
      </w:r>
      <w:proofErr w:type="spellStart"/>
      <w:r w:rsidRPr="0028117D">
        <w:rPr>
          <w:rFonts w:ascii="Times New Roman" w:hAnsi="Times New Roman" w:cs="Times New Roman"/>
        </w:rPr>
        <w:t>doi</w:t>
      </w:r>
      <w:proofErr w:type="spellEnd"/>
      <w:r w:rsidRPr="0028117D">
        <w:rPr>
          <w:rFonts w:ascii="Times New Roman" w:hAnsi="Times New Roman" w:cs="Times New Roman"/>
        </w:rPr>
        <w:t>: 10.21037/atm-21-3915.</w:t>
      </w:r>
    </w:p>
    <w:sectPr w:rsidR="00E721B6" w:rsidRPr="0028117D" w:rsidSect="004054E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31F"/>
    <w:multiLevelType w:val="hybridMultilevel"/>
    <w:tmpl w:val="0FF0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41D6F"/>
    <w:multiLevelType w:val="hybridMultilevel"/>
    <w:tmpl w:val="C2D2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7941"/>
    <w:multiLevelType w:val="hybridMultilevel"/>
    <w:tmpl w:val="2B2C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F629E"/>
    <w:multiLevelType w:val="hybridMultilevel"/>
    <w:tmpl w:val="26C0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71E70"/>
    <w:multiLevelType w:val="hybridMultilevel"/>
    <w:tmpl w:val="CE64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8347B"/>
    <w:multiLevelType w:val="hybridMultilevel"/>
    <w:tmpl w:val="997CA61E"/>
    <w:lvl w:ilvl="0" w:tplc="E42AB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12793"/>
    <w:multiLevelType w:val="hybridMultilevel"/>
    <w:tmpl w:val="D7D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6A56"/>
    <w:multiLevelType w:val="hybridMultilevel"/>
    <w:tmpl w:val="8788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3903"/>
    <w:multiLevelType w:val="hybridMultilevel"/>
    <w:tmpl w:val="BCB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56AF5"/>
    <w:multiLevelType w:val="hybridMultilevel"/>
    <w:tmpl w:val="0CE4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E4D9D"/>
    <w:multiLevelType w:val="hybridMultilevel"/>
    <w:tmpl w:val="6CDE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95FA4"/>
    <w:multiLevelType w:val="hybridMultilevel"/>
    <w:tmpl w:val="835E0E62"/>
    <w:lvl w:ilvl="0" w:tplc="54F46FF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834F54"/>
    <w:multiLevelType w:val="hybridMultilevel"/>
    <w:tmpl w:val="2008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C1527"/>
    <w:multiLevelType w:val="hybridMultilevel"/>
    <w:tmpl w:val="6FAA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57B7C"/>
    <w:multiLevelType w:val="hybridMultilevel"/>
    <w:tmpl w:val="2E7E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01240"/>
    <w:multiLevelType w:val="hybridMultilevel"/>
    <w:tmpl w:val="C978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106E6"/>
    <w:multiLevelType w:val="hybridMultilevel"/>
    <w:tmpl w:val="0E4A7D0A"/>
    <w:lvl w:ilvl="0" w:tplc="8F38C43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A4002"/>
    <w:multiLevelType w:val="hybridMultilevel"/>
    <w:tmpl w:val="1A6E3DFE"/>
    <w:lvl w:ilvl="0" w:tplc="92F2D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A7B3B"/>
    <w:multiLevelType w:val="hybridMultilevel"/>
    <w:tmpl w:val="C00C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50428"/>
    <w:multiLevelType w:val="hybridMultilevel"/>
    <w:tmpl w:val="3510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8"/>
  </w:num>
  <w:num w:numId="6">
    <w:abstractNumId w:val="10"/>
  </w:num>
  <w:num w:numId="7">
    <w:abstractNumId w:val="17"/>
  </w:num>
  <w:num w:numId="8">
    <w:abstractNumId w:val="19"/>
  </w:num>
  <w:num w:numId="9">
    <w:abstractNumId w:val="9"/>
  </w:num>
  <w:num w:numId="10">
    <w:abstractNumId w:val="3"/>
  </w:num>
  <w:num w:numId="11">
    <w:abstractNumId w:val="13"/>
  </w:num>
  <w:num w:numId="12">
    <w:abstractNumId w:val="7"/>
  </w:num>
  <w:num w:numId="13">
    <w:abstractNumId w:val="18"/>
  </w:num>
  <w:num w:numId="14">
    <w:abstractNumId w:val="0"/>
  </w:num>
  <w:num w:numId="15">
    <w:abstractNumId w:val="15"/>
  </w:num>
  <w:num w:numId="16">
    <w:abstractNumId w:val="14"/>
  </w:num>
  <w:num w:numId="17">
    <w:abstractNumId w:val="12"/>
  </w:num>
  <w:num w:numId="18">
    <w:abstractNumId w:val="5"/>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E8"/>
    <w:rsid w:val="00005C39"/>
    <w:rsid w:val="0001281D"/>
    <w:rsid w:val="0002098D"/>
    <w:rsid w:val="00026C90"/>
    <w:rsid w:val="00027BB7"/>
    <w:rsid w:val="00037F18"/>
    <w:rsid w:val="00054439"/>
    <w:rsid w:val="00057B75"/>
    <w:rsid w:val="000C5FC6"/>
    <w:rsid w:val="000F174D"/>
    <w:rsid w:val="00106028"/>
    <w:rsid w:val="001550B4"/>
    <w:rsid w:val="001B2048"/>
    <w:rsid w:val="001D679E"/>
    <w:rsid w:val="001F4B3C"/>
    <w:rsid w:val="001F5530"/>
    <w:rsid w:val="002121A0"/>
    <w:rsid w:val="00242165"/>
    <w:rsid w:val="002437FB"/>
    <w:rsid w:val="00245078"/>
    <w:rsid w:val="00260EC3"/>
    <w:rsid w:val="0028117D"/>
    <w:rsid w:val="0031592E"/>
    <w:rsid w:val="00334C6E"/>
    <w:rsid w:val="00336564"/>
    <w:rsid w:val="00353B92"/>
    <w:rsid w:val="003611C1"/>
    <w:rsid w:val="003630FF"/>
    <w:rsid w:val="003863E4"/>
    <w:rsid w:val="003E5532"/>
    <w:rsid w:val="003E5D56"/>
    <w:rsid w:val="0040275C"/>
    <w:rsid w:val="004054E8"/>
    <w:rsid w:val="00434CF9"/>
    <w:rsid w:val="00436803"/>
    <w:rsid w:val="00473100"/>
    <w:rsid w:val="004744FF"/>
    <w:rsid w:val="00524EED"/>
    <w:rsid w:val="00526C28"/>
    <w:rsid w:val="005710B9"/>
    <w:rsid w:val="00577568"/>
    <w:rsid w:val="005B4E9A"/>
    <w:rsid w:val="005C7D92"/>
    <w:rsid w:val="005F19D3"/>
    <w:rsid w:val="006024F3"/>
    <w:rsid w:val="006133C8"/>
    <w:rsid w:val="00680B95"/>
    <w:rsid w:val="006A1194"/>
    <w:rsid w:val="007024BF"/>
    <w:rsid w:val="007212C8"/>
    <w:rsid w:val="00785ED3"/>
    <w:rsid w:val="007C6317"/>
    <w:rsid w:val="007E6161"/>
    <w:rsid w:val="00803642"/>
    <w:rsid w:val="00835EA7"/>
    <w:rsid w:val="00856E7E"/>
    <w:rsid w:val="008A6D09"/>
    <w:rsid w:val="008B4A99"/>
    <w:rsid w:val="008B67CA"/>
    <w:rsid w:val="008F5EA2"/>
    <w:rsid w:val="00947028"/>
    <w:rsid w:val="009C627A"/>
    <w:rsid w:val="009D0E08"/>
    <w:rsid w:val="00A12342"/>
    <w:rsid w:val="00A30BB7"/>
    <w:rsid w:val="00A45333"/>
    <w:rsid w:val="00A54706"/>
    <w:rsid w:val="00A96857"/>
    <w:rsid w:val="00AA623C"/>
    <w:rsid w:val="00AB044F"/>
    <w:rsid w:val="00AD2B4B"/>
    <w:rsid w:val="00B139B9"/>
    <w:rsid w:val="00B351C3"/>
    <w:rsid w:val="00BC58D9"/>
    <w:rsid w:val="00BE377A"/>
    <w:rsid w:val="00BF3B30"/>
    <w:rsid w:val="00C4085B"/>
    <w:rsid w:val="00C40B23"/>
    <w:rsid w:val="00CA62E7"/>
    <w:rsid w:val="00CF113C"/>
    <w:rsid w:val="00CF2E4A"/>
    <w:rsid w:val="00D270FF"/>
    <w:rsid w:val="00D61853"/>
    <w:rsid w:val="00D94872"/>
    <w:rsid w:val="00E56323"/>
    <w:rsid w:val="00E721B6"/>
    <w:rsid w:val="00E7709B"/>
    <w:rsid w:val="00EA29AF"/>
    <w:rsid w:val="00EC6B09"/>
    <w:rsid w:val="00EE720D"/>
    <w:rsid w:val="00FD2C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BDA5"/>
  <w15:chartTrackingRefBased/>
  <w15:docId w15:val="{BDCA213E-E70C-3745-9556-E7026B7F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4E8"/>
    <w:pPr>
      <w:ind w:left="720"/>
      <w:contextualSpacing/>
    </w:pPr>
  </w:style>
  <w:style w:type="table" w:customStyle="1" w:styleId="TableGrid1">
    <w:name w:val="Table Grid1"/>
    <w:basedOn w:val="TableNormal"/>
    <w:next w:val="TableGrid"/>
    <w:uiPriority w:val="39"/>
    <w:rsid w:val="00D9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E721B6"/>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4760">
      <w:bodyDiv w:val="1"/>
      <w:marLeft w:val="0"/>
      <w:marRight w:val="0"/>
      <w:marTop w:val="0"/>
      <w:marBottom w:val="0"/>
      <w:divBdr>
        <w:top w:val="none" w:sz="0" w:space="0" w:color="auto"/>
        <w:left w:val="none" w:sz="0" w:space="0" w:color="auto"/>
        <w:bottom w:val="none" w:sz="0" w:space="0" w:color="auto"/>
        <w:right w:val="none" w:sz="0" w:space="0" w:color="auto"/>
      </w:divBdr>
    </w:div>
    <w:div w:id="113453042">
      <w:bodyDiv w:val="1"/>
      <w:marLeft w:val="0"/>
      <w:marRight w:val="0"/>
      <w:marTop w:val="0"/>
      <w:marBottom w:val="0"/>
      <w:divBdr>
        <w:top w:val="none" w:sz="0" w:space="0" w:color="auto"/>
        <w:left w:val="none" w:sz="0" w:space="0" w:color="auto"/>
        <w:bottom w:val="none" w:sz="0" w:space="0" w:color="auto"/>
        <w:right w:val="none" w:sz="0" w:space="0" w:color="auto"/>
      </w:divBdr>
    </w:div>
    <w:div w:id="123236561">
      <w:bodyDiv w:val="1"/>
      <w:marLeft w:val="0"/>
      <w:marRight w:val="0"/>
      <w:marTop w:val="0"/>
      <w:marBottom w:val="0"/>
      <w:divBdr>
        <w:top w:val="none" w:sz="0" w:space="0" w:color="auto"/>
        <w:left w:val="none" w:sz="0" w:space="0" w:color="auto"/>
        <w:bottom w:val="none" w:sz="0" w:space="0" w:color="auto"/>
        <w:right w:val="none" w:sz="0" w:space="0" w:color="auto"/>
      </w:divBdr>
    </w:div>
    <w:div w:id="433943563">
      <w:bodyDiv w:val="1"/>
      <w:marLeft w:val="0"/>
      <w:marRight w:val="0"/>
      <w:marTop w:val="0"/>
      <w:marBottom w:val="0"/>
      <w:divBdr>
        <w:top w:val="none" w:sz="0" w:space="0" w:color="auto"/>
        <w:left w:val="none" w:sz="0" w:space="0" w:color="auto"/>
        <w:bottom w:val="none" w:sz="0" w:space="0" w:color="auto"/>
        <w:right w:val="none" w:sz="0" w:space="0" w:color="auto"/>
      </w:divBdr>
    </w:div>
    <w:div w:id="1306666966">
      <w:bodyDiv w:val="1"/>
      <w:marLeft w:val="0"/>
      <w:marRight w:val="0"/>
      <w:marTop w:val="0"/>
      <w:marBottom w:val="0"/>
      <w:divBdr>
        <w:top w:val="none" w:sz="0" w:space="0" w:color="auto"/>
        <w:left w:val="none" w:sz="0" w:space="0" w:color="auto"/>
        <w:bottom w:val="none" w:sz="0" w:space="0" w:color="auto"/>
        <w:right w:val="none" w:sz="0" w:space="0" w:color="auto"/>
      </w:divBdr>
    </w:div>
    <w:div w:id="1637637616">
      <w:bodyDiv w:val="1"/>
      <w:marLeft w:val="0"/>
      <w:marRight w:val="0"/>
      <w:marTop w:val="0"/>
      <w:marBottom w:val="0"/>
      <w:divBdr>
        <w:top w:val="none" w:sz="0" w:space="0" w:color="auto"/>
        <w:left w:val="none" w:sz="0" w:space="0" w:color="auto"/>
        <w:bottom w:val="none" w:sz="0" w:space="0" w:color="auto"/>
        <w:right w:val="none" w:sz="0" w:space="0" w:color="auto"/>
      </w:divBdr>
    </w:div>
    <w:div w:id="1691031887">
      <w:bodyDiv w:val="1"/>
      <w:marLeft w:val="0"/>
      <w:marRight w:val="0"/>
      <w:marTop w:val="0"/>
      <w:marBottom w:val="0"/>
      <w:divBdr>
        <w:top w:val="none" w:sz="0" w:space="0" w:color="auto"/>
        <w:left w:val="none" w:sz="0" w:space="0" w:color="auto"/>
        <w:bottom w:val="none" w:sz="0" w:space="0" w:color="auto"/>
        <w:right w:val="none" w:sz="0" w:space="0" w:color="auto"/>
      </w:divBdr>
    </w:div>
    <w:div w:id="17675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Nam</dc:creator>
  <cp:keywords/>
  <dc:description/>
  <cp:lastModifiedBy>Florine Lièvre</cp:lastModifiedBy>
  <cp:revision>4</cp:revision>
  <dcterms:created xsi:type="dcterms:W3CDTF">2022-12-08T17:14:00Z</dcterms:created>
  <dcterms:modified xsi:type="dcterms:W3CDTF">2022-12-26T15:20:00Z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id="O2bZD0Wt"/&gt;&lt;style id="http://www.zotero.org/styles/springer-vancouver-brackets" locale="en-US" hasBibliography="1" bibliographyStyleHasBeenSet="1"/&gt;&lt;prefs&gt;&lt;pref name="fieldType" value="Field"/&gt;&lt;/</vt:lpwstr>
  </property>
  <property fmtid="{D5CDD505-2E9C-101B-9397-08002B2CF9AE}" pid="3" name="ZOTERO_PREF_2">
    <vt:lpwstr>prefs&gt;&lt;/data&gt;</vt:lpwstr>
  </property>
</Properties>
</file>