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88E7" w14:textId="6014E274" w:rsidR="001C4D13" w:rsidRDefault="001C4D13" w:rsidP="001C4D13">
      <w:pPr>
        <w:pStyle w:val="SupplementaryMaterial"/>
      </w:pPr>
      <w:bookmarkStart w:id="0" w:name="_Hlk76565436"/>
      <w:bookmarkStart w:id="1" w:name="_Hlk74302851"/>
      <w:bookmarkStart w:id="2" w:name="_Hlk77588583"/>
      <w:r w:rsidRPr="001549D3">
        <w:t>Supplementary Material</w:t>
      </w:r>
    </w:p>
    <w:p w14:paraId="1C40627F" w14:textId="6D0F5A41" w:rsidR="001C4D13" w:rsidRDefault="001C4D13" w:rsidP="001C4D13">
      <w:pPr>
        <w:pStyle w:val="Title"/>
      </w:pPr>
    </w:p>
    <w:p w14:paraId="4E6CE808" w14:textId="77777777" w:rsidR="001C4D13" w:rsidRPr="0010699E" w:rsidRDefault="001C4D13" w:rsidP="001C4D13">
      <w:pPr>
        <w:jc w:val="center"/>
        <w:rPr>
          <w:rFonts w:cs="Times New Roman"/>
          <w:b/>
          <w:bCs/>
          <w:sz w:val="32"/>
          <w:szCs w:val="32"/>
          <w:vertAlign w:val="subscript"/>
        </w:rPr>
      </w:pPr>
      <w:r w:rsidRPr="0010699E">
        <w:rPr>
          <w:rFonts w:cs="Times New Roman"/>
          <w:b/>
          <w:bCs/>
          <w:i/>
          <w:iCs/>
          <w:sz w:val="32"/>
          <w:szCs w:val="32"/>
        </w:rPr>
        <w:t>Fhb1</w:t>
      </w:r>
      <w:r w:rsidRPr="0010699E">
        <w:rPr>
          <w:rFonts w:cs="Times New Roman"/>
          <w:b/>
          <w:bCs/>
          <w:sz w:val="32"/>
          <w:szCs w:val="32"/>
        </w:rPr>
        <w:t xml:space="preserve"> disease resistance QTL does not exacerbate wheat grain protein loss at elevated CO</w:t>
      </w:r>
      <w:r w:rsidRPr="0010699E">
        <w:rPr>
          <w:rFonts w:cs="Times New Roman"/>
          <w:b/>
          <w:bCs/>
          <w:sz w:val="32"/>
          <w:szCs w:val="32"/>
          <w:vertAlign w:val="subscript"/>
        </w:rPr>
        <w:t>2</w:t>
      </w:r>
    </w:p>
    <w:bookmarkEnd w:id="0"/>
    <w:bookmarkEnd w:id="1"/>
    <w:bookmarkEnd w:id="2"/>
    <w:p w14:paraId="430E55CB" w14:textId="77777777" w:rsidR="001C4D13" w:rsidRPr="00380603" w:rsidRDefault="001C4D13" w:rsidP="001C4D13">
      <w:pPr>
        <w:rPr>
          <w:rFonts w:cs="Times New Roman"/>
          <w:b/>
          <w:szCs w:val="24"/>
        </w:rPr>
      </w:pPr>
      <w:r w:rsidRPr="00380603">
        <w:rPr>
          <w:rFonts w:cs="Times New Roman"/>
          <w:b/>
          <w:szCs w:val="24"/>
        </w:rPr>
        <w:t>William T. Hay</w:t>
      </w:r>
      <w:r w:rsidRPr="00380603">
        <w:rPr>
          <w:rFonts w:cs="Times New Roman"/>
          <w:b/>
          <w:szCs w:val="24"/>
          <w:vertAlign w:val="superscript"/>
        </w:rPr>
        <w:t>1*</w:t>
      </w:r>
      <w:r w:rsidRPr="00380603">
        <w:rPr>
          <w:rFonts w:cs="Times New Roman"/>
          <w:b/>
          <w:szCs w:val="24"/>
        </w:rPr>
        <w:t>, James A. Anderson</w:t>
      </w:r>
      <w:r w:rsidRPr="00380603">
        <w:rPr>
          <w:rFonts w:cs="Times New Roman"/>
          <w:b/>
          <w:szCs w:val="24"/>
          <w:vertAlign w:val="superscript"/>
        </w:rPr>
        <w:t>2</w:t>
      </w:r>
      <w:r w:rsidRPr="00380603">
        <w:rPr>
          <w:rFonts w:cs="Times New Roman"/>
          <w:b/>
          <w:szCs w:val="24"/>
        </w:rPr>
        <w:t xml:space="preserve">, </w:t>
      </w:r>
      <w:r w:rsidRPr="005B427A">
        <w:rPr>
          <w:rFonts w:cs="Times New Roman"/>
          <w:b/>
          <w:szCs w:val="24"/>
        </w:rPr>
        <w:t>David F. Garvin</w:t>
      </w:r>
      <w:r w:rsidRPr="005B427A">
        <w:rPr>
          <w:rFonts w:cs="Times New Roman"/>
          <w:b/>
          <w:szCs w:val="24"/>
          <w:vertAlign w:val="superscript"/>
        </w:rPr>
        <w:t>2</w:t>
      </w:r>
      <w:r w:rsidRPr="005B427A">
        <w:rPr>
          <w:rFonts w:cs="Times New Roman"/>
          <w:b/>
          <w:szCs w:val="24"/>
        </w:rPr>
        <w:t>, Susan</w:t>
      </w:r>
      <w:r w:rsidRPr="00380603">
        <w:rPr>
          <w:rFonts w:cs="Times New Roman"/>
          <w:b/>
          <w:szCs w:val="24"/>
        </w:rPr>
        <w:t xml:space="preserve"> P. McCormick</w:t>
      </w:r>
      <w:r w:rsidRPr="00380603">
        <w:rPr>
          <w:rFonts w:cs="Times New Roman"/>
          <w:b/>
          <w:szCs w:val="24"/>
          <w:vertAlign w:val="superscript"/>
        </w:rPr>
        <w:t>1</w:t>
      </w:r>
      <w:r w:rsidRPr="00380603">
        <w:rPr>
          <w:rFonts w:cs="Times New Roman"/>
          <w:b/>
          <w:szCs w:val="24"/>
        </w:rPr>
        <w:t>, Martha M. Vaughan</w:t>
      </w:r>
      <w:r w:rsidRPr="00380603">
        <w:rPr>
          <w:rFonts w:cs="Times New Roman"/>
          <w:b/>
          <w:szCs w:val="24"/>
          <w:vertAlign w:val="superscript"/>
        </w:rPr>
        <w:t>1</w:t>
      </w:r>
    </w:p>
    <w:p w14:paraId="17FE3340" w14:textId="77777777" w:rsidR="001C4D13" w:rsidRPr="00380603" w:rsidRDefault="001C4D13" w:rsidP="001C4D13">
      <w:pPr>
        <w:rPr>
          <w:rFonts w:cs="Times New Roman"/>
          <w:szCs w:val="24"/>
        </w:rPr>
      </w:pPr>
      <w:r w:rsidRPr="00380603">
        <w:rPr>
          <w:rFonts w:cs="Times New Roman"/>
          <w:szCs w:val="24"/>
          <w:vertAlign w:val="superscript"/>
        </w:rPr>
        <w:t>1</w:t>
      </w:r>
      <w:r w:rsidRPr="00380603">
        <w:rPr>
          <w:rFonts w:cs="Times New Roman"/>
          <w:szCs w:val="24"/>
        </w:rPr>
        <w:t>USDA, Agricultural Research Service, National Center for Agricultural Utilization Research, Mycotoxin Prevention and Applied Microbiology Unit, 1815 N, University Street, Peoria, IL 61604, USA.</w:t>
      </w:r>
    </w:p>
    <w:p w14:paraId="0E00E450" w14:textId="77777777" w:rsidR="001C4D13" w:rsidRPr="00380603" w:rsidRDefault="001C4D13" w:rsidP="001C4D13">
      <w:pPr>
        <w:rPr>
          <w:rFonts w:cs="Times New Roman"/>
          <w:szCs w:val="24"/>
        </w:rPr>
      </w:pPr>
      <w:r w:rsidRPr="00380603">
        <w:rPr>
          <w:rFonts w:cs="Times New Roman"/>
          <w:szCs w:val="24"/>
          <w:vertAlign w:val="superscript"/>
        </w:rPr>
        <w:t>2</w:t>
      </w:r>
      <w:r w:rsidRPr="00380603">
        <w:rPr>
          <w:rFonts w:cs="Times New Roman"/>
          <w:szCs w:val="24"/>
        </w:rPr>
        <w:t>Department of Agronomy &amp; Plant Genetics, University of Minnesota, St. Paul, MN 55108</w:t>
      </w:r>
      <w:r>
        <w:rPr>
          <w:rFonts w:cs="Times New Roman"/>
          <w:szCs w:val="24"/>
        </w:rPr>
        <w:t>, USA</w:t>
      </w:r>
    </w:p>
    <w:p w14:paraId="53437E2B" w14:textId="77777777" w:rsidR="001C4D13" w:rsidRPr="00380603" w:rsidRDefault="001C4D13" w:rsidP="001C4D13">
      <w:pPr>
        <w:rPr>
          <w:rFonts w:cs="Times New Roman"/>
          <w:szCs w:val="24"/>
        </w:rPr>
      </w:pPr>
      <w:r w:rsidRPr="00376CC5">
        <w:rPr>
          <w:rFonts w:cs="Times New Roman"/>
          <w:b/>
          <w:szCs w:val="24"/>
        </w:rPr>
        <w:t xml:space="preserve">* Correspondence: </w:t>
      </w:r>
      <w:r w:rsidRPr="00376CC5">
        <w:rPr>
          <w:rFonts w:cs="Times New Roman"/>
          <w:b/>
          <w:szCs w:val="24"/>
        </w:rPr>
        <w:br/>
      </w:r>
      <w:r w:rsidRPr="00376CC5">
        <w:rPr>
          <w:rFonts w:cs="Times New Roman"/>
          <w:szCs w:val="24"/>
        </w:rPr>
        <w:t>Corresponding Author</w:t>
      </w:r>
      <w:r w:rsidRPr="00376CC5">
        <w:rPr>
          <w:rFonts w:cs="Times New Roman"/>
          <w:szCs w:val="24"/>
        </w:rPr>
        <w:br/>
      </w:r>
      <w:hyperlink r:id="rId8" w:history="1">
        <w:r w:rsidRPr="00380603">
          <w:rPr>
            <w:rStyle w:val="Hyperlink"/>
          </w:rPr>
          <w:t>William.Hay@usda.gov</w:t>
        </w:r>
      </w:hyperlink>
      <w:r w:rsidRPr="00380603">
        <w:rPr>
          <w:rFonts w:cs="Times New Roman"/>
          <w:szCs w:val="24"/>
        </w:rPr>
        <w:t>, 309-681-6361; ORCID ID: 0000-0001-8784-6591</w:t>
      </w:r>
    </w:p>
    <w:p w14:paraId="36ECD4FC" w14:textId="77777777" w:rsidR="001C4D13" w:rsidRDefault="001C4D13" w:rsidP="001C4D13">
      <w:pPr>
        <w:rPr>
          <w:rFonts w:cs="Times New Roman"/>
          <w:szCs w:val="24"/>
        </w:rPr>
      </w:pPr>
    </w:p>
    <w:p w14:paraId="5372010F" w14:textId="03D53152" w:rsidR="001C4D13" w:rsidRDefault="001C4D13" w:rsidP="001C4D13">
      <w:pPr>
        <w:rPr>
          <w:rFonts w:cs="Times New Roman"/>
          <w:szCs w:val="24"/>
        </w:rPr>
      </w:pPr>
      <w:r w:rsidRPr="00380603">
        <w:rPr>
          <w:rFonts w:cs="Times New Roman"/>
          <w:szCs w:val="24"/>
        </w:rPr>
        <w:t>Disclaimer: This work was funded by the United States Department of Agriculture. Mention of trade names or commercial products in this publication is solely for the purpose of providing specific information and does not imply recommendation or endorsement by the U.S. Department of Agriculture. Authors have no conflicts of interest to declare. USDA is an equal opportunity provider and employer.</w:t>
      </w:r>
    </w:p>
    <w:p w14:paraId="24D1C6BF" w14:textId="77777777" w:rsidR="001C4D13" w:rsidRDefault="001C4D13">
      <w:pPr>
        <w:spacing w:before="0" w:after="200" w:line="276" w:lineRule="auto"/>
        <w:rPr>
          <w:rFonts w:cs="Times New Roman"/>
          <w:szCs w:val="24"/>
        </w:rPr>
      </w:pPr>
      <w:r>
        <w:rPr>
          <w:rFonts w:cs="Times New Roman"/>
          <w:szCs w:val="24"/>
        </w:rPr>
        <w:br w:type="page"/>
      </w:r>
    </w:p>
    <w:p w14:paraId="2FA263A3" w14:textId="77777777" w:rsidR="001C4D13" w:rsidRDefault="001C4D13" w:rsidP="001C4D13">
      <w:pPr>
        <w:rPr>
          <w:rFonts w:cs="Times New Roman"/>
          <w:szCs w:val="24"/>
        </w:rPr>
      </w:pPr>
    </w:p>
    <w:p w14:paraId="63D7C2B0" w14:textId="77777777" w:rsidR="00994A3D" w:rsidRPr="001549D3" w:rsidRDefault="00994A3D" w:rsidP="0001436A">
      <w:pPr>
        <w:pStyle w:val="Heading2"/>
      </w:pPr>
      <w:r w:rsidRPr="0001436A">
        <w:t>Supplementary</w:t>
      </w:r>
      <w:r w:rsidRPr="001549D3">
        <w:t xml:space="preserve"> Figures</w:t>
      </w:r>
    </w:p>
    <w:p w14:paraId="6D9C42C6" w14:textId="77777777" w:rsidR="001C4D13" w:rsidRDefault="001C4D13" w:rsidP="001C4D13">
      <w:pPr>
        <w:spacing w:after="160" w:line="259" w:lineRule="auto"/>
        <w:rPr>
          <w:rFonts w:cs="Times New Roman"/>
          <w:bCs/>
          <w:szCs w:val="24"/>
        </w:rPr>
      </w:pPr>
      <w:r>
        <w:rPr>
          <w:rFonts w:cs="Times New Roman"/>
          <w:bCs/>
          <w:noProof/>
          <w:szCs w:val="24"/>
        </w:rPr>
        <w:drawing>
          <wp:inline distT="0" distB="0" distL="0" distR="0" wp14:anchorId="75A1A4D8" wp14:editId="553DD945">
            <wp:extent cx="5418455" cy="4258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8455" cy="4258310"/>
                    </a:xfrm>
                    <a:prstGeom prst="rect">
                      <a:avLst/>
                    </a:prstGeom>
                    <a:noFill/>
                    <a:ln>
                      <a:noFill/>
                    </a:ln>
                  </pic:spPr>
                </pic:pic>
              </a:graphicData>
            </a:graphic>
          </wp:inline>
        </w:drawing>
      </w:r>
    </w:p>
    <w:p w14:paraId="1EBA8C36" w14:textId="7BB4316B" w:rsidR="001C4D13" w:rsidRDefault="001C4D13" w:rsidP="001C4D13">
      <w:pPr>
        <w:spacing w:line="480" w:lineRule="auto"/>
        <w:contextualSpacing/>
        <w:rPr>
          <w:rFonts w:cs="Times New Roman"/>
          <w:szCs w:val="24"/>
        </w:rPr>
      </w:pPr>
      <w:r w:rsidRPr="001C4D13">
        <w:rPr>
          <w:rFonts w:cs="Times New Roman"/>
          <w:b/>
          <w:szCs w:val="24"/>
        </w:rPr>
        <w:t>Supplementary</w:t>
      </w:r>
      <w:r w:rsidRPr="001C4D13">
        <w:rPr>
          <w:rFonts w:cs="Times New Roman"/>
          <w:b/>
          <w:szCs w:val="24"/>
        </w:rPr>
        <w:t xml:space="preserve"> Figure 1</w:t>
      </w:r>
      <w:r>
        <w:rPr>
          <w:rFonts w:cs="Times New Roman"/>
          <w:bCs/>
          <w:szCs w:val="24"/>
        </w:rPr>
        <w:t xml:space="preserve">. </w:t>
      </w:r>
      <w:r w:rsidRPr="00AA4C3E">
        <w:rPr>
          <w:rFonts w:cs="Times New Roman"/>
          <w:szCs w:val="24"/>
        </w:rPr>
        <w:t>Linear correlations between</w:t>
      </w:r>
      <w:r>
        <w:rPr>
          <w:rFonts w:cs="Times New Roman"/>
          <w:szCs w:val="24"/>
        </w:rPr>
        <w:t xml:space="preserve"> seed fill days and grain protein only in wheat at elevated CO</w:t>
      </w:r>
      <w:r w:rsidRPr="00C029EA">
        <w:rPr>
          <w:rFonts w:cs="Times New Roman"/>
          <w:szCs w:val="24"/>
          <w:vertAlign w:val="subscript"/>
        </w:rPr>
        <w:t>2</w:t>
      </w:r>
      <w:r>
        <w:rPr>
          <w:rFonts w:cs="Times New Roman"/>
          <w:szCs w:val="24"/>
          <w:vertAlign w:val="subscript"/>
        </w:rPr>
        <w:t>,</w:t>
      </w:r>
      <w:r>
        <w:rPr>
          <w:rFonts w:cs="Times New Roman"/>
          <w:szCs w:val="24"/>
        </w:rPr>
        <w:t xml:space="preserve"> </w:t>
      </w:r>
      <w:r w:rsidRPr="00AA4C3E">
        <w:rPr>
          <w:rFonts w:cs="Times New Roman"/>
          <w:szCs w:val="24"/>
        </w:rPr>
        <w:t xml:space="preserve">in moderately </w:t>
      </w:r>
      <w:r>
        <w:rPr>
          <w:rFonts w:cs="Times New Roman"/>
          <w:szCs w:val="24"/>
        </w:rPr>
        <w:t xml:space="preserve">susceptible </w:t>
      </w:r>
      <w:r w:rsidRPr="00AA4C3E">
        <w:rPr>
          <w:rFonts w:cs="Times New Roman"/>
          <w:szCs w:val="24"/>
        </w:rPr>
        <w:t>wheat cultivars. Linear fits were produced, and the analysis of variance was performed using JMP V15.0.</w:t>
      </w:r>
    </w:p>
    <w:p w14:paraId="794073C0" w14:textId="77777777" w:rsidR="001C4D13" w:rsidRDefault="001C4D13" w:rsidP="001C4D13">
      <w:pPr>
        <w:spacing w:line="480" w:lineRule="auto"/>
        <w:contextualSpacing/>
        <w:jc w:val="center"/>
        <w:rPr>
          <w:rFonts w:cs="Times New Roman"/>
          <w:bCs/>
          <w:szCs w:val="24"/>
        </w:rPr>
      </w:pPr>
      <w:r>
        <w:rPr>
          <w:rFonts w:cs="Times New Roman"/>
          <w:bCs/>
          <w:noProof/>
          <w:szCs w:val="24"/>
        </w:rPr>
        <w:lastRenderedPageBreak/>
        <w:drawing>
          <wp:inline distT="0" distB="0" distL="0" distR="0" wp14:anchorId="413468F0" wp14:editId="12AA9B0D">
            <wp:extent cx="5715000" cy="563584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370" cy="5656919"/>
                    </a:xfrm>
                    <a:prstGeom prst="rect">
                      <a:avLst/>
                    </a:prstGeom>
                    <a:noFill/>
                    <a:ln>
                      <a:noFill/>
                    </a:ln>
                  </pic:spPr>
                </pic:pic>
              </a:graphicData>
            </a:graphic>
          </wp:inline>
        </w:drawing>
      </w:r>
    </w:p>
    <w:p w14:paraId="38A586E2" w14:textId="2AA4EE1A" w:rsidR="001C4D13" w:rsidRDefault="001C4D13" w:rsidP="001C4D13">
      <w:pPr>
        <w:spacing w:line="480" w:lineRule="auto"/>
        <w:contextualSpacing/>
      </w:pPr>
      <w:r w:rsidRPr="001C4D13">
        <w:rPr>
          <w:rFonts w:cs="Times New Roman"/>
          <w:b/>
          <w:szCs w:val="24"/>
        </w:rPr>
        <w:t>Supplementa</w:t>
      </w:r>
      <w:r w:rsidRPr="001C4D13">
        <w:rPr>
          <w:rFonts w:cs="Times New Roman"/>
          <w:b/>
          <w:szCs w:val="24"/>
        </w:rPr>
        <w:t xml:space="preserve">ry </w:t>
      </w:r>
      <w:r w:rsidRPr="001C4D13">
        <w:rPr>
          <w:rFonts w:cs="Times New Roman"/>
          <w:b/>
          <w:szCs w:val="24"/>
        </w:rPr>
        <w:t>Figure 2</w:t>
      </w:r>
      <w:r w:rsidRPr="001A0422">
        <w:rPr>
          <w:rFonts w:cs="Times New Roman"/>
          <w:bCs/>
          <w:szCs w:val="24"/>
        </w:rPr>
        <w:t>. Principal component analysis (PCA) of wheat cultivars grown at ambient</w:t>
      </w:r>
      <w:r>
        <w:rPr>
          <w:rFonts w:cs="Times New Roman"/>
          <w:bCs/>
          <w:szCs w:val="24"/>
        </w:rPr>
        <w:t xml:space="preserve"> </w:t>
      </w:r>
      <w:r w:rsidRPr="001A0422">
        <w:rPr>
          <w:rFonts w:cs="Times New Roman"/>
          <w:bCs/>
          <w:szCs w:val="24"/>
        </w:rPr>
        <w:t>and elevated CO</w:t>
      </w:r>
      <w:r w:rsidRPr="001A0422">
        <w:rPr>
          <w:rFonts w:cs="Times New Roman"/>
          <w:bCs/>
          <w:szCs w:val="24"/>
          <w:vertAlign w:val="subscript"/>
        </w:rPr>
        <w:t>2</w:t>
      </w:r>
      <w:r w:rsidRPr="001A0422">
        <w:rPr>
          <w:rFonts w:cs="Times New Roman"/>
          <w:bCs/>
          <w:szCs w:val="24"/>
        </w:rPr>
        <w:t xml:space="preserve">. </w:t>
      </w:r>
      <w:r>
        <w:rPr>
          <w:rFonts w:cs="Times New Roman"/>
          <w:bCs/>
          <w:szCs w:val="24"/>
        </w:rPr>
        <w:t xml:space="preserve">The biplot displays each cultivar in relation to the two principal components which account for the greatest variance of wheat agronomic data. Coordinates for each cultivar observation </w:t>
      </w:r>
      <w:r w:rsidRPr="00EF046A">
        <w:rPr>
          <w:rFonts w:cs="Times New Roman"/>
          <w:bCs/>
          <w:szCs w:val="24"/>
        </w:rPr>
        <w:t xml:space="preserve">are calculated in an </w:t>
      </w:r>
      <w:proofErr w:type="spellStart"/>
      <w:r w:rsidRPr="00EF046A">
        <w:rPr>
          <w:rFonts w:cs="Times New Roman"/>
          <w:bCs/>
          <w:szCs w:val="24"/>
        </w:rPr>
        <w:t>orthoganal</w:t>
      </w:r>
      <w:proofErr w:type="spellEnd"/>
      <w:r w:rsidRPr="00EF046A">
        <w:rPr>
          <w:rFonts w:cs="Times New Roman"/>
          <w:bCs/>
          <w:szCs w:val="24"/>
        </w:rPr>
        <w:t xml:space="preserve"> linear transformation by the pair of principal components.</w:t>
      </w:r>
      <w:r>
        <w:rPr>
          <w:rFonts w:cs="Times New Roman"/>
          <w:bCs/>
          <w:szCs w:val="24"/>
        </w:rPr>
        <w:t xml:space="preserve"> The centroid position of each cultivar is represented by a red square with a corresponding cultivar label; cultivar details can be found in Table 1. Arrows represent the influence of each independent variable on the principal components. </w:t>
      </w:r>
    </w:p>
    <w:p w14:paraId="7B65BC41" w14:textId="77777777" w:rsidR="00DE23E8" w:rsidRPr="001549D3" w:rsidRDefault="00DE23E8" w:rsidP="00654E8F">
      <w:pPr>
        <w:spacing w:before="240"/>
      </w:pPr>
    </w:p>
    <w:sectPr w:rsidR="00DE23E8" w:rsidRPr="001549D3"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1C4D13"/>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Hay@usd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3</Pages>
  <Words>290</Words>
  <Characters>1657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Hay, William - ARS</cp:lastModifiedBy>
  <cp:revision>2</cp:revision>
  <cp:lastPrinted>2013-10-03T12:51:00Z</cp:lastPrinted>
  <dcterms:created xsi:type="dcterms:W3CDTF">2022-08-18T18:41:00Z</dcterms:created>
  <dcterms:modified xsi:type="dcterms:W3CDTF">2022-08-18T18:41:00Z</dcterms:modified>
</cp:coreProperties>
</file>