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61969A36" w:rsidR="00654E8F" w:rsidRDefault="00654E8F" w:rsidP="00895140">
      <w:pPr>
        <w:pStyle w:val="Ttulo"/>
      </w:pPr>
      <w:r w:rsidRPr="001549D3">
        <w:t>Supplementary Material</w:t>
      </w:r>
      <w:r w:rsidR="00C10614">
        <w:t xml:space="preserve"> S2</w:t>
      </w:r>
    </w:p>
    <w:p w14:paraId="3BD5A427" w14:textId="6D582A27" w:rsidR="00EA3D3C" w:rsidRPr="00994A3D" w:rsidRDefault="00942370" w:rsidP="00942370">
      <w:pPr>
        <w:pStyle w:val="Ttulo1"/>
        <w:numPr>
          <w:ilvl w:val="0"/>
          <w:numId w:val="0"/>
        </w:numPr>
        <w:ind w:left="567"/>
      </w:pPr>
      <w:r>
        <w:t xml:space="preserve">Modeling of oil spills scenarios </w:t>
      </w:r>
    </w:p>
    <w:p w14:paraId="612C88F2" w14:textId="2B451F5A" w:rsidR="00E03D1C" w:rsidRPr="004C74FA" w:rsidRDefault="004D6405" w:rsidP="006B2C2C">
      <w:pPr>
        <w:spacing w:before="240" w:after="240"/>
      </w:pPr>
      <w:r w:rsidRPr="004C74FA">
        <w:t>A s</w:t>
      </w:r>
      <w:r w:rsidR="00B54251" w:rsidRPr="004C74FA">
        <w:t>pill scenario</w:t>
      </w:r>
      <w:r w:rsidRPr="004C74FA">
        <w:t xml:space="preserve"> i</w:t>
      </w:r>
      <w:r w:rsidR="00B54251" w:rsidRPr="004C74FA">
        <w:t xml:space="preserve">s </w:t>
      </w:r>
      <w:r w:rsidRPr="004C74FA">
        <w:t xml:space="preserve">a </w:t>
      </w:r>
      <w:r w:rsidR="00B54251" w:rsidRPr="004C74FA">
        <w:t xml:space="preserve">statistical and probabilistic </w:t>
      </w:r>
      <w:r w:rsidRPr="004C74FA">
        <w:t xml:space="preserve">assembly </w:t>
      </w:r>
      <w:r w:rsidR="00B54251" w:rsidRPr="004C74FA">
        <w:t>of hun</w:t>
      </w:r>
      <w:bookmarkStart w:id="0" w:name="_GoBack"/>
      <w:bookmarkEnd w:id="0"/>
      <w:r w:rsidR="00B54251" w:rsidRPr="004C74FA">
        <w:t xml:space="preserve">dreds </w:t>
      </w:r>
      <w:r w:rsidR="00074BDD" w:rsidRPr="004C74FA">
        <w:t xml:space="preserve">or thousands </w:t>
      </w:r>
      <w:r w:rsidR="00B54251" w:rsidRPr="004C74FA">
        <w:t>of individual spill simulations under different oceanographic and atmospheric conditions (</w:t>
      </w:r>
      <w:r w:rsidR="00B54251" w:rsidRPr="004C74FA">
        <w:rPr>
          <w:i/>
          <w:iCs/>
        </w:rPr>
        <w:t>e. g</w:t>
      </w:r>
      <w:r w:rsidR="00B54251" w:rsidRPr="004C74FA">
        <w:t xml:space="preserve">., currents, winds, temperature). </w:t>
      </w:r>
      <w:r w:rsidR="00942370" w:rsidRPr="004C74FA">
        <w:t xml:space="preserve">The </w:t>
      </w:r>
      <w:r w:rsidR="004A708D" w:rsidRPr="004C74FA">
        <w:t xml:space="preserve">spill </w:t>
      </w:r>
      <w:r w:rsidR="00942370" w:rsidRPr="004C74FA">
        <w:t>scenarios were generated using the CIC-OIL model</w:t>
      </w:r>
      <w:r w:rsidR="009137DF" w:rsidRPr="004C74FA">
        <w:t>, which is an integrated spill modeling system that contemplates multiple processes of weathering and dispersion of oil in the three spatial dimensions</w:t>
      </w:r>
      <w:r w:rsidR="00942370" w:rsidRPr="004C74FA">
        <w:t xml:space="preserve">. </w:t>
      </w:r>
      <w:r w:rsidR="008B224E" w:rsidRPr="004C74FA">
        <w:t xml:space="preserve">CIC-OIL is composed of a near-field model </w:t>
      </w:r>
      <w:r w:rsidR="00336049" w:rsidRPr="004C74FA">
        <w:t>(</w:t>
      </w:r>
      <w:hyperlink r:id="rId9">
        <w:r w:rsidR="00336049" w:rsidRPr="004C74FA">
          <w:rPr>
            <w:rStyle w:val="Hipervnculo"/>
            <w:color w:val="auto"/>
            <w:u w:val="none"/>
          </w:rPr>
          <w:t xml:space="preserve">Texas A&amp;M </w:t>
        </w:r>
      </w:hyperlink>
      <w:r w:rsidR="00336049" w:rsidRPr="004C74FA">
        <w:t xml:space="preserve">Oil Spill Calculator (TAMOC): </w:t>
      </w:r>
      <w:hyperlink r:id="rId10" w:history="1">
        <w:r w:rsidR="00336049" w:rsidRPr="004C74FA">
          <w:rPr>
            <w:rStyle w:val="Hipervnculo"/>
            <w:color w:val="auto"/>
          </w:rPr>
          <w:t>https://github.com/socolofs/tamocOilspill</w:t>
        </w:r>
      </w:hyperlink>
      <w:r w:rsidR="00336049" w:rsidRPr="004C74FA">
        <w:t xml:space="preserve">, </w:t>
      </w:r>
      <w:proofErr w:type="spellStart"/>
      <w:r w:rsidR="00336049" w:rsidRPr="004C74FA">
        <w:t>Socolofsky</w:t>
      </w:r>
      <w:proofErr w:type="spellEnd"/>
      <w:r w:rsidR="00336049" w:rsidRPr="004C74FA">
        <w:t xml:space="preserve"> </w:t>
      </w:r>
      <w:r w:rsidR="004C74FA">
        <w:t xml:space="preserve">et al. </w:t>
      </w:r>
      <w:r w:rsidR="00336049" w:rsidRPr="004C74FA">
        <w:t xml:space="preserve">2015) </w:t>
      </w:r>
      <w:r w:rsidR="008B224E" w:rsidRPr="004C74FA">
        <w:t>that simulates the blowout and produces the initial conditions for the far-field model</w:t>
      </w:r>
      <w:r w:rsidR="004C74FA">
        <w:t>. The far-field i</w:t>
      </w:r>
      <w:r w:rsidR="00336049" w:rsidRPr="004C74FA">
        <w:t xml:space="preserve">s the </w:t>
      </w:r>
      <w:proofErr w:type="spellStart"/>
      <w:r w:rsidR="00336049" w:rsidRPr="004C74FA">
        <w:t>Lagrangian</w:t>
      </w:r>
      <w:proofErr w:type="spellEnd"/>
      <w:r w:rsidR="00336049" w:rsidRPr="004C74FA">
        <w:t xml:space="preserve"> </w:t>
      </w:r>
      <w:proofErr w:type="spellStart"/>
      <w:r w:rsidR="00336049" w:rsidRPr="004C74FA">
        <w:t>OpenDrift</w:t>
      </w:r>
      <w:proofErr w:type="spellEnd"/>
      <w:r w:rsidR="00336049" w:rsidRPr="004C74FA">
        <w:t xml:space="preserve"> model, in its version for oil called </w:t>
      </w:r>
      <w:proofErr w:type="spellStart"/>
      <w:r w:rsidR="00336049" w:rsidRPr="004C74FA">
        <w:t>OpenOil</w:t>
      </w:r>
      <w:proofErr w:type="spellEnd"/>
      <w:r w:rsidR="00336049" w:rsidRPr="004C74FA">
        <w:t xml:space="preserve"> (</w:t>
      </w:r>
      <w:proofErr w:type="spellStart"/>
      <w:r w:rsidR="004C74FA">
        <w:t>Dagestad</w:t>
      </w:r>
      <w:proofErr w:type="spellEnd"/>
      <w:r w:rsidR="004C74FA">
        <w:t xml:space="preserve"> et al.</w:t>
      </w:r>
      <w:r w:rsidR="00336049" w:rsidRPr="004C74FA">
        <w:t xml:space="preserve"> 2018; </w:t>
      </w:r>
      <w:proofErr w:type="spellStart"/>
      <w:r w:rsidR="004D73C5" w:rsidRPr="004C74FA">
        <w:t>Röhrs</w:t>
      </w:r>
      <w:proofErr w:type="spellEnd"/>
      <w:r w:rsidR="004C74FA">
        <w:t xml:space="preserve"> et al.</w:t>
      </w:r>
      <w:r w:rsidR="00336049" w:rsidRPr="004C74FA">
        <w:t xml:space="preserve"> 2018). This model was improved for the </w:t>
      </w:r>
      <w:proofErr w:type="spellStart"/>
      <w:r w:rsidR="00336049" w:rsidRPr="004C74FA">
        <w:t>CIGoM</w:t>
      </w:r>
      <w:proofErr w:type="spellEnd"/>
      <w:r w:rsidR="00336049" w:rsidRPr="004C74FA">
        <w:t xml:space="preserve"> p</w:t>
      </w:r>
      <w:r w:rsidR="00B501AD" w:rsidRPr="004C74FA">
        <w:t>roject and the modified version</w:t>
      </w:r>
      <w:r w:rsidR="00336049" w:rsidRPr="004C74FA">
        <w:t xml:space="preserve"> includes a specially designed interface to automatically communicate results from the TAMOC plume model to the far-field model </w:t>
      </w:r>
      <w:proofErr w:type="spellStart"/>
      <w:r w:rsidR="00336049" w:rsidRPr="004C74FA">
        <w:t>OpenDrift</w:t>
      </w:r>
      <w:proofErr w:type="spellEnd"/>
      <w:r w:rsidR="00336049" w:rsidRPr="004C74FA">
        <w:t>, in addition to new parameterizations of oil degradation processes such as evaporation, dissolution and biodegradation</w:t>
      </w:r>
      <w:r w:rsidR="00817F9D" w:rsidRPr="004C74FA">
        <w:t xml:space="preserve">. This enhanced model, CIC-OIL, </w:t>
      </w:r>
      <w:r w:rsidR="008B224E" w:rsidRPr="004C74FA">
        <w:t xml:space="preserve">provides the total mass of the spill indicating the </w:t>
      </w:r>
      <w:r w:rsidR="005C1A71" w:rsidRPr="004C74FA">
        <w:t xml:space="preserve">mass of oil </w:t>
      </w:r>
      <w:r w:rsidR="008B224E" w:rsidRPr="004C74FA">
        <w:t>associated with each degradation process (</w:t>
      </w:r>
      <w:r w:rsidR="004A708D" w:rsidRPr="004C74FA">
        <w:rPr>
          <w:i/>
          <w:iCs/>
        </w:rPr>
        <w:t>e.</w:t>
      </w:r>
      <w:r w:rsidR="008B224E" w:rsidRPr="004C74FA">
        <w:rPr>
          <w:i/>
          <w:iCs/>
        </w:rPr>
        <w:t>g</w:t>
      </w:r>
      <w:r w:rsidR="008B224E" w:rsidRPr="004C74FA">
        <w:t xml:space="preserve">., evaporation, emulsion, wave entrainment) and each </w:t>
      </w:r>
      <w:r w:rsidR="00074BDD" w:rsidRPr="004C74FA">
        <w:t xml:space="preserve">spatial dimension </w:t>
      </w:r>
      <w:r w:rsidR="008B224E" w:rsidRPr="004C74FA">
        <w:t>(</w:t>
      </w:r>
      <w:r w:rsidR="00074BDD" w:rsidRPr="004C74FA">
        <w:rPr>
          <w:i/>
          <w:iCs/>
        </w:rPr>
        <w:t>i</w:t>
      </w:r>
      <w:r w:rsidR="002611F5" w:rsidRPr="004C74FA">
        <w:rPr>
          <w:i/>
          <w:iCs/>
        </w:rPr>
        <w:t>.</w:t>
      </w:r>
      <w:r w:rsidR="00074BDD" w:rsidRPr="004C74FA">
        <w:rPr>
          <w:i/>
          <w:iCs/>
        </w:rPr>
        <w:t>e</w:t>
      </w:r>
      <w:r w:rsidR="00074BDD" w:rsidRPr="004C74FA">
        <w:t xml:space="preserve">., </w:t>
      </w:r>
      <w:r w:rsidR="008B224E" w:rsidRPr="004C74FA">
        <w:t>surface, water column, and atmosphere), and generates oil trajectories and concentration maps.</w:t>
      </w:r>
      <w:r w:rsidR="002C7E92" w:rsidRPr="004C74FA">
        <w:t xml:space="preserve"> </w:t>
      </w:r>
    </w:p>
    <w:p w14:paraId="15BDD97C" w14:textId="2D920D0A" w:rsidR="000970AF" w:rsidRDefault="00074BDD" w:rsidP="006B2C2C">
      <w:pPr>
        <w:spacing w:before="240" w:after="240"/>
        <w:ind w:firstLine="720"/>
      </w:pPr>
      <w:r>
        <w:t xml:space="preserve">The scenarios were constructed using the </w:t>
      </w:r>
      <w:r w:rsidR="00B54251">
        <w:t xml:space="preserve">same initial conditions of </w:t>
      </w:r>
      <w:r w:rsidR="002C7E92">
        <w:t xml:space="preserve">a </w:t>
      </w:r>
      <w:r w:rsidR="00B54251">
        <w:t>blowout</w:t>
      </w:r>
      <w:r>
        <w:t xml:space="preserve"> for all individual spills</w:t>
      </w:r>
      <w:r w:rsidR="00B54251">
        <w:t>: oil flow of 40 kg/s</w:t>
      </w:r>
      <w:r w:rsidR="006B2C2C">
        <w:t xml:space="preserve"> (a flow in between the </w:t>
      </w:r>
      <w:proofErr w:type="spellStart"/>
      <w:r w:rsidR="00817F9D" w:rsidRPr="006B2C2C">
        <w:rPr>
          <w:i/>
        </w:rPr>
        <w:t>Ixtoc</w:t>
      </w:r>
      <w:proofErr w:type="spellEnd"/>
      <w:r w:rsidR="00817F9D" w:rsidRPr="006B2C2C">
        <w:rPr>
          <w:i/>
        </w:rPr>
        <w:t>-I</w:t>
      </w:r>
      <w:r w:rsidR="006B2C2C">
        <w:t xml:space="preserve"> and the </w:t>
      </w:r>
      <w:r w:rsidR="006B2C2C" w:rsidRPr="006B2C2C">
        <w:rPr>
          <w:i/>
        </w:rPr>
        <w:t>Deepw</w:t>
      </w:r>
      <w:r w:rsidR="00817F9D" w:rsidRPr="006B2C2C">
        <w:rPr>
          <w:i/>
        </w:rPr>
        <w:t>ater Horizon</w:t>
      </w:r>
      <w:r w:rsidR="00817F9D">
        <w:t xml:space="preserve"> accidents)</w:t>
      </w:r>
      <w:r w:rsidR="007773E9">
        <w:t>, outlet diameter</w:t>
      </w:r>
      <w:r w:rsidR="005C1A71">
        <w:t xml:space="preserve"> of</w:t>
      </w:r>
      <w:r w:rsidR="007773E9">
        <w:t xml:space="preserve"> 0.15</w:t>
      </w:r>
      <w:r w:rsidR="000970AF">
        <w:t xml:space="preserve"> </w:t>
      </w:r>
      <w:r w:rsidR="007773E9">
        <w:t>m, outlet temperature</w:t>
      </w:r>
      <w:r w:rsidR="005C1A71">
        <w:t xml:space="preserve"> of</w:t>
      </w:r>
      <w:r w:rsidR="007773E9">
        <w:t xml:space="preserve"> 35°C, </w:t>
      </w:r>
      <w:r w:rsidR="005C1A71">
        <w:t xml:space="preserve">vertical </w:t>
      </w:r>
      <w:r w:rsidR="007773E9">
        <w:t>release angle,</w:t>
      </w:r>
      <w:r w:rsidR="00B54251">
        <w:t xml:space="preserve"> and </w:t>
      </w:r>
      <w:r w:rsidR="009F679E">
        <w:t>duration of 15 days</w:t>
      </w:r>
      <w:r w:rsidR="005C1A71">
        <w:t xml:space="preserve">. These initial conditions were estimated based on the </w:t>
      </w:r>
      <w:r w:rsidR="00C3272E" w:rsidRPr="00C3272E">
        <w:rPr>
          <w:i/>
          <w:iCs/>
        </w:rPr>
        <w:t>Ixtoc-1</w:t>
      </w:r>
      <w:r w:rsidR="00C3272E">
        <w:t xml:space="preserve"> and </w:t>
      </w:r>
      <w:r w:rsidR="00C3272E" w:rsidRPr="00C3272E">
        <w:rPr>
          <w:i/>
          <w:iCs/>
        </w:rPr>
        <w:t>Deepwater Horizon</w:t>
      </w:r>
      <w:r w:rsidR="00C3272E">
        <w:t xml:space="preserve"> oil spills</w:t>
      </w:r>
      <w:r w:rsidR="009F679E">
        <w:t xml:space="preserve">, </w:t>
      </w:r>
      <w:r w:rsidR="00C3272E">
        <w:t>both of which occurred in the Gulf of Mexico</w:t>
      </w:r>
      <w:r w:rsidR="00817F9D">
        <w:t xml:space="preserve"> in 1979 and 2010, respectively. A generic </w:t>
      </w:r>
      <w:r w:rsidR="00117761">
        <w:t>heavy oil (Maya</w:t>
      </w:r>
      <w:r w:rsidR="000F6536">
        <w:t>:</w:t>
      </w:r>
      <w:r w:rsidR="00117761">
        <w:t xml:space="preserve"> API</w:t>
      </w:r>
      <w:r w:rsidR="000F6536">
        <w:t>=</w:t>
      </w:r>
      <w:r w:rsidR="00117761">
        <w:t>2</w:t>
      </w:r>
      <w:r w:rsidR="000F6536">
        <w:t>1</w:t>
      </w:r>
      <w:r w:rsidR="00117761">
        <w:t>.3)</w:t>
      </w:r>
      <w:r w:rsidR="00817F9D">
        <w:t xml:space="preserve"> </w:t>
      </w:r>
      <w:r w:rsidR="00117761">
        <w:t>based on the physical properties of oil</w:t>
      </w:r>
      <w:r w:rsidR="000F6536">
        <w:t xml:space="preserve"> of Mexican origin</w:t>
      </w:r>
      <w:r w:rsidR="00117761">
        <w:t xml:space="preserve"> found in the NOA</w:t>
      </w:r>
      <w:r w:rsidR="000F6536">
        <w:t>A</w:t>
      </w:r>
      <w:r w:rsidR="00117761">
        <w:t xml:space="preserve"> database. </w:t>
      </w:r>
      <w:r w:rsidR="000F6536">
        <w:t>Twenty</w:t>
      </w:r>
      <w:r w:rsidR="009F679E">
        <w:t xml:space="preserve"> years </w:t>
      </w:r>
      <w:r w:rsidR="00E94EBE">
        <w:t xml:space="preserve">(1993–2012) </w:t>
      </w:r>
      <w:r w:rsidR="009F679E">
        <w:t>of simulation</w:t>
      </w:r>
      <w:r w:rsidR="000F6536">
        <w:t>s</w:t>
      </w:r>
      <w:r w:rsidR="009F679E">
        <w:t xml:space="preserve"> of the oceanographic </w:t>
      </w:r>
      <w:r w:rsidR="008A0318">
        <w:t>and atmospheric</w:t>
      </w:r>
      <w:r w:rsidR="005C1A71">
        <w:t xml:space="preserve"> </w:t>
      </w:r>
      <w:r w:rsidR="00C3272E">
        <w:t xml:space="preserve">conditions </w:t>
      </w:r>
      <w:r w:rsidR="009F679E">
        <w:t>of the Gulf of Mexico</w:t>
      </w:r>
      <w:r w:rsidR="00C3272E">
        <w:t xml:space="preserve"> were used</w:t>
      </w:r>
      <w:r w:rsidR="008A0318">
        <w:t xml:space="preserve">. Marine currents and seawater properties were simulated with the hydrodynamic model NEMO </w:t>
      </w:r>
      <w:r w:rsidR="00DF720F" w:rsidRPr="006B2C2C">
        <w:t>(</w:t>
      </w:r>
      <w:hyperlink r:id="rId11" w:history="1">
        <w:r w:rsidR="00DF720F" w:rsidRPr="006B2C2C">
          <w:rPr>
            <w:rStyle w:val="Hipervnculo"/>
            <w:color w:val="auto"/>
          </w:rPr>
          <w:t>https://www.nemo-ocean.eu)</w:t>
        </w:r>
      </w:hyperlink>
      <w:r w:rsidR="00DF720F">
        <w:t xml:space="preserve"> </w:t>
      </w:r>
      <w:r w:rsidR="008A0318">
        <w:t>and winds with the atmospheric model DFS5.2</w:t>
      </w:r>
      <w:r w:rsidR="00D61243">
        <w:t xml:space="preserve"> (</w:t>
      </w:r>
      <w:proofErr w:type="spellStart"/>
      <w:r w:rsidR="00D61243">
        <w:t>Dussin</w:t>
      </w:r>
      <w:proofErr w:type="spellEnd"/>
      <w:r w:rsidR="00D61243">
        <w:t xml:space="preserve"> et al. 2016)</w:t>
      </w:r>
      <w:r w:rsidR="00BD0099">
        <w:t xml:space="preserve">, with the open boundary conditions given by the GLORYS2V3 reanalysis </w:t>
      </w:r>
      <w:r w:rsidR="00BD0099" w:rsidRPr="006B2C2C">
        <w:t>(</w:t>
      </w:r>
      <w:hyperlink r:id="rId12" w:history="1">
        <w:r w:rsidR="00BD0099" w:rsidRPr="006B2C2C">
          <w:rPr>
            <w:rStyle w:val="Hipervnculo"/>
            <w:color w:val="auto"/>
          </w:rPr>
          <w:t>https://www.mercator-ocean.eu/en/ocean-science/glorys/)</w:t>
        </w:r>
      </w:hyperlink>
      <w:r w:rsidR="00BD0099" w:rsidRPr="006B2C2C">
        <w:t xml:space="preserve">. </w:t>
      </w:r>
      <w:r w:rsidR="008A0318">
        <w:t>E</w:t>
      </w:r>
      <w:r w:rsidR="009F679E">
        <w:t xml:space="preserve">ach </w:t>
      </w:r>
      <w:r w:rsidR="00BD0099">
        <w:t xml:space="preserve">oil spill </w:t>
      </w:r>
      <w:r w:rsidR="009F679E">
        <w:t>simulation began on the first day of each month</w:t>
      </w:r>
      <w:r w:rsidR="008A0318">
        <w:t>; t</w:t>
      </w:r>
      <w:r w:rsidR="009F679E">
        <w:t>herefore, each scenario was built from 240 individual spill</w:t>
      </w:r>
      <w:r w:rsidR="000F6536">
        <w:t xml:space="preserve">s which had each very different </w:t>
      </w:r>
      <w:proofErr w:type="spellStart"/>
      <w:r w:rsidR="000F6536">
        <w:t>hydrodynamical</w:t>
      </w:r>
      <w:proofErr w:type="spellEnd"/>
      <w:r w:rsidR="000F6536">
        <w:t xml:space="preserve"> conditions, and hence a different spatial ev</w:t>
      </w:r>
      <w:r w:rsidR="000D153A">
        <w:t>olution of the fate of the oil.</w:t>
      </w:r>
    </w:p>
    <w:p w14:paraId="250519EC" w14:textId="235B53D9" w:rsidR="00876691" w:rsidRDefault="00A06F55" w:rsidP="00F31890">
      <w:pPr>
        <w:spacing w:before="120" w:after="240"/>
        <w:ind w:firstLine="720"/>
      </w:pPr>
      <w:r>
        <w:t xml:space="preserve">The </w:t>
      </w:r>
      <w:r w:rsidRPr="00A06F55">
        <w:t xml:space="preserve">CIC-OIL </w:t>
      </w:r>
      <w:r>
        <w:t xml:space="preserve">model </w:t>
      </w:r>
      <w:r w:rsidRPr="00A06F55">
        <w:t>uses the droplet size distribution model of Johansen et al. (2013), which estimates the mean droplet size (droplet size such that 50% of the oil volume has broken into smaller drops and the other 50% into larger drops). Subsequently, the complete droplet size distribution is derived from the Rosin-</w:t>
      </w:r>
      <w:proofErr w:type="spellStart"/>
      <w:r w:rsidRPr="00A06F55">
        <w:t>Rammler</w:t>
      </w:r>
      <w:proofErr w:type="spellEnd"/>
      <w:r w:rsidRPr="00A06F55">
        <w:t xml:space="preserve"> probability distribution with a constant spreading factor.</w:t>
      </w:r>
      <w:r w:rsidR="00540509">
        <w:t xml:space="preserve"> </w:t>
      </w:r>
      <w:r w:rsidRPr="00A06F55">
        <w:t>The far-field model uses a specific number of particles, considering separately the particles that are on the surface (</w:t>
      </w:r>
      <w:proofErr w:type="spellStart"/>
      <w:r w:rsidRPr="00A06F55">
        <w:t>spillets</w:t>
      </w:r>
      <w:proofErr w:type="spellEnd"/>
      <w:r w:rsidRPr="00A06F55">
        <w:t xml:space="preserve">) and those that are submerged (droplets). Each particle has a set of initial properties (diameter, mass, density, thickness) and is tracked independently, as their properties can change over time due to environmental processes at the surface (weathering) or when they are trapped in the water column because of waves (dispersion), dissolution and biodegradation. </w:t>
      </w:r>
      <w:r w:rsidR="00006186">
        <w:t xml:space="preserve">The </w:t>
      </w:r>
      <w:r w:rsidRPr="00A06F55">
        <w:t xml:space="preserve">oil </w:t>
      </w:r>
      <w:r w:rsidR="00541DF6">
        <w:t>weathering</w:t>
      </w:r>
      <w:r w:rsidR="00541DF6" w:rsidRPr="00A06F55">
        <w:t xml:space="preserve"> </w:t>
      </w:r>
      <w:r w:rsidRPr="00A06F55">
        <w:t>processes included in CIC-OIL</w:t>
      </w:r>
      <w:r w:rsidR="00006186">
        <w:t xml:space="preserve"> </w:t>
      </w:r>
      <w:r w:rsidR="00584E6D">
        <w:t>are</w:t>
      </w:r>
      <w:r w:rsidR="00541DF6">
        <w:t xml:space="preserve"> evaporation</w:t>
      </w:r>
      <w:r w:rsidR="00345D7B">
        <w:t>, emulsification</w:t>
      </w:r>
      <w:r w:rsidR="00366E61">
        <w:t xml:space="preserve"> and</w:t>
      </w:r>
      <w:r w:rsidR="00345D7B">
        <w:t xml:space="preserve"> </w:t>
      </w:r>
      <w:r w:rsidR="00366E61">
        <w:t>dissolution</w:t>
      </w:r>
      <w:r w:rsidR="00006186">
        <w:t>, as well as the physical processes of</w:t>
      </w:r>
      <w:r w:rsidR="00AB7241">
        <w:t xml:space="preserve"> horizontal</w:t>
      </w:r>
      <w:r w:rsidR="00006186">
        <w:t xml:space="preserve"> spreading</w:t>
      </w:r>
      <w:r w:rsidR="00AB7241">
        <w:t xml:space="preserve"> and transport by ocean currents, </w:t>
      </w:r>
      <w:r w:rsidR="00006186">
        <w:t>wind drag and wave drift,</w:t>
      </w:r>
      <w:r w:rsidR="007A21AE">
        <w:t xml:space="preserve"> droplet </w:t>
      </w:r>
      <w:r w:rsidR="007A21AE">
        <w:lastRenderedPageBreak/>
        <w:t>buoyancy,</w:t>
      </w:r>
      <w:r w:rsidR="00006186">
        <w:t xml:space="preserve"> and v</w:t>
      </w:r>
      <w:r w:rsidR="00AB7241">
        <w:t>e</w:t>
      </w:r>
      <w:r w:rsidR="00006186">
        <w:t>rtical dispersion (wave entrainment)</w:t>
      </w:r>
      <w:r w:rsidR="006E2A7C">
        <w:t xml:space="preserve">. Wave entrainment is a </w:t>
      </w:r>
      <w:r w:rsidR="00006186" w:rsidRPr="00A06F55">
        <w:t xml:space="preserve">process by which particles on the surface can be submerged by the action of waves, breaking into finer droplets that are dispersed by turbulence and, eventually, float up again </w:t>
      </w:r>
      <w:r w:rsidR="00AB7241">
        <w:t xml:space="preserve">to </w:t>
      </w:r>
      <w:r w:rsidR="00006186" w:rsidRPr="00A06F55">
        <w:t>the surface. This vertical movement has the net effect that the oil is less exposed to the action of evaporation, wind drag</w:t>
      </w:r>
      <w:r w:rsidR="00006186">
        <w:t>, and wave drift</w:t>
      </w:r>
      <w:r w:rsidR="00006186" w:rsidRPr="000F6536">
        <w:t>, than would be the case if only a two</w:t>
      </w:r>
      <w:r w:rsidR="00006186">
        <w:t>-</w:t>
      </w:r>
      <w:r w:rsidR="00006186" w:rsidRPr="000F6536">
        <w:t>dimensional surface layer model were used</w:t>
      </w:r>
      <w:r w:rsidR="00006186">
        <w:t xml:space="preserve"> (</w:t>
      </w:r>
      <w:r w:rsidR="00AB7241" w:rsidRPr="006B2C2C">
        <w:rPr>
          <w:i/>
        </w:rPr>
        <w:t>e.g.</w:t>
      </w:r>
      <w:r w:rsidR="006B2C2C">
        <w:rPr>
          <w:i/>
        </w:rPr>
        <w:t>,</w:t>
      </w:r>
      <w:r w:rsidR="00AB7241">
        <w:t xml:space="preserve"> </w:t>
      </w:r>
      <w:proofErr w:type="spellStart"/>
      <w:r w:rsidR="00AB7241" w:rsidRPr="00AB7241">
        <w:t>Röhrs</w:t>
      </w:r>
      <w:proofErr w:type="spellEnd"/>
      <w:r w:rsidR="00566809">
        <w:t xml:space="preserve"> </w:t>
      </w:r>
      <w:r w:rsidR="006B2C2C">
        <w:t xml:space="preserve">et al. 2018; </w:t>
      </w:r>
      <w:proofErr w:type="spellStart"/>
      <w:r w:rsidR="006B2C2C">
        <w:t>Kotzakoulakis</w:t>
      </w:r>
      <w:proofErr w:type="spellEnd"/>
      <w:r w:rsidR="006B2C2C">
        <w:t xml:space="preserve"> and Simon</w:t>
      </w:r>
      <w:r w:rsidR="00006186" w:rsidRPr="00D97BDD">
        <w:t xml:space="preserve"> 2021)</w:t>
      </w:r>
      <w:r w:rsidR="00006186">
        <w:t>.</w:t>
      </w:r>
      <w:r w:rsidR="00006186" w:rsidRPr="00364DFF">
        <w:t xml:space="preserve"> </w:t>
      </w:r>
    </w:p>
    <w:p w14:paraId="1D1300C6" w14:textId="1292CB69" w:rsidR="00876691" w:rsidRDefault="00006186" w:rsidP="006B2C2C">
      <w:pPr>
        <w:spacing w:before="120" w:after="240"/>
        <w:ind w:firstLine="720"/>
      </w:pPr>
      <w:r>
        <w:t xml:space="preserve">Evaporation is the most effective weathering process, with up to </w:t>
      </w:r>
      <w:r w:rsidR="00AB7241">
        <w:t>4</w:t>
      </w:r>
      <w:r w:rsidR="00541DF6">
        <w:t>0%</w:t>
      </w:r>
      <w:r>
        <w:t xml:space="preserve"> of oil </w:t>
      </w:r>
      <w:r w:rsidR="00566809">
        <w:t>e</w:t>
      </w:r>
      <w:r w:rsidR="00541DF6">
        <w:t xml:space="preserve">xtracted </w:t>
      </w:r>
      <w:r>
        <w:t xml:space="preserve">from the sea surface </w:t>
      </w:r>
      <w:r w:rsidR="00541DF6">
        <w:t xml:space="preserve">within the first </w:t>
      </w:r>
      <w:r>
        <w:t xml:space="preserve">hours/days of </w:t>
      </w:r>
      <w:r w:rsidR="00541DF6">
        <w:t>the spill</w:t>
      </w:r>
      <w:r w:rsidR="00805E86">
        <w:t>, followed by dissolution</w:t>
      </w:r>
      <w:r w:rsidR="006E2A7C">
        <w:t>, which acts at a slower rate</w:t>
      </w:r>
      <w:r w:rsidR="00541DF6">
        <w:t xml:space="preserve">. </w:t>
      </w:r>
      <w:r>
        <w:t xml:space="preserve">There are other weathering processes that </w:t>
      </w:r>
      <w:r w:rsidR="00876691">
        <w:t>were</w:t>
      </w:r>
      <w:r>
        <w:t xml:space="preserve"> not included, but all act</w:t>
      </w:r>
      <w:r w:rsidR="00541DF6">
        <w:t xml:space="preserve"> </w:t>
      </w:r>
      <w:r>
        <w:t xml:space="preserve">at </w:t>
      </w:r>
      <w:r w:rsidR="00541DF6">
        <w:t xml:space="preserve">much slower and at longer time scales (such as </w:t>
      </w:r>
      <w:r w:rsidR="00366E61">
        <w:t>biodegradation</w:t>
      </w:r>
      <w:r w:rsidR="006E2A7C">
        <w:t xml:space="preserve"> and </w:t>
      </w:r>
      <w:r w:rsidR="00541DF6">
        <w:t>photo-oxidation)</w:t>
      </w:r>
      <w:r>
        <w:t>, and in any case would result in reducing the amount of oil in the water, so one could claim the results</w:t>
      </w:r>
      <w:r w:rsidR="00566809">
        <w:t xml:space="preserve"> here</w:t>
      </w:r>
      <w:r>
        <w:t xml:space="preserve"> presented are a </w:t>
      </w:r>
      <w:r w:rsidR="006B2C2C">
        <w:t>worst case</w:t>
      </w:r>
      <w:r>
        <w:t xml:space="preserve"> scenario.</w:t>
      </w:r>
      <w:r w:rsidR="00876691">
        <w:t xml:space="preserve"> </w:t>
      </w:r>
      <w:r>
        <w:t xml:space="preserve">On the other </w:t>
      </w:r>
      <w:r w:rsidR="006B2C2C">
        <w:t xml:space="preserve">hand, </w:t>
      </w:r>
      <w:r w:rsidR="006B2C2C" w:rsidRPr="00A06F55">
        <w:t>the</w:t>
      </w:r>
      <w:r w:rsidR="00541DF6">
        <w:t xml:space="preserve"> processes </w:t>
      </w:r>
      <w:r w:rsidR="006B2C2C">
        <w:t>which most</w:t>
      </w:r>
      <w:r w:rsidR="00541DF6">
        <w:t xml:space="preserve"> determine the horizontal spreading of the oil in the surface layer</w:t>
      </w:r>
      <w:r w:rsidR="00876691">
        <w:t>,</w:t>
      </w:r>
      <w:r w:rsidR="00541DF6">
        <w:t xml:space="preserve"> and hence its geographical location over time</w:t>
      </w:r>
      <w:r w:rsidR="00876691">
        <w:t>,</w:t>
      </w:r>
      <w:r>
        <w:t xml:space="preserve"> are </w:t>
      </w:r>
      <w:r w:rsidR="00671D60">
        <w:t xml:space="preserve">transport by the ocean flow, wind drag and wave drift, </w:t>
      </w:r>
      <w:r>
        <w:t xml:space="preserve">wave entrainment, oil droplet size, </w:t>
      </w:r>
      <w:r w:rsidR="00671D60">
        <w:t xml:space="preserve">and </w:t>
      </w:r>
      <w:r>
        <w:t>vertical dispersion</w:t>
      </w:r>
      <w:r w:rsidR="00671D60">
        <w:t>. The ocean currents have the largest effect on the oil trajectory (</w:t>
      </w:r>
      <w:proofErr w:type="spellStart"/>
      <w:r w:rsidR="00671D60">
        <w:t>K</w:t>
      </w:r>
      <w:r w:rsidR="006B2C2C">
        <w:t>otzakoulakis</w:t>
      </w:r>
      <w:proofErr w:type="spellEnd"/>
      <w:r w:rsidR="006B2C2C">
        <w:t xml:space="preserve"> and Simon</w:t>
      </w:r>
      <w:r w:rsidR="00671D60" w:rsidRPr="00D97BDD">
        <w:t xml:space="preserve"> 2021)</w:t>
      </w:r>
      <w:r w:rsidR="004551A8">
        <w:t xml:space="preserve">, while the rest </w:t>
      </w:r>
      <w:r w:rsidR="00541DF6">
        <w:t>are complex processes that are parameterized, and which are nearly impossible to evaluate</w:t>
      </w:r>
      <w:r>
        <w:t xml:space="preserve"> under all possible condit</w:t>
      </w:r>
      <w:r w:rsidR="00566809">
        <w:t>i</w:t>
      </w:r>
      <w:r>
        <w:t>ons present</w:t>
      </w:r>
      <w:r w:rsidR="00876691">
        <w:t xml:space="preserve"> in the field. </w:t>
      </w:r>
      <w:r w:rsidR="00541DF6">
        <w:t xml:space="preserve">Nevertheless, </w:t>
      </w:r>
      <w:proofErr w:type="spellStart"/>
      <w:r w:rsidR="00566809" w:rsidRPr="00AB7241">
        <w:t>Röhrs</w:t>
      </w:r>
      <w:proofErr w:type="spellEnd"/>
      <w:r w:rsidR="00541DF6">
        <w:t xml:space="preserve"> et al. </w:t>
      </w:r>
      <w:r w:rsidR="00566809">
        <w:t>(</w:t>
      </w:r>
      <w:r w:rsidR="00541DF6">
        <w:t>2018</w:t>
      </w:r>
      <w:r w:rsidR="00566809">
        <w:t>)</w:t>
      </w:r>
      <w:r w:rsidR="00541DF6">
        <w:t xml:space="preserve"> showed that the parameterizations used in </w:t>
      </w:r>
      <w:proofErr w:type="spellStart"/>
      <w:r w:rsidR="00541DF6">
        <w:t>OpenDrift</w:t>
      </w:r>
      <w:proofErr w:type="spellEnd"/>
      <w:r w:rsidR="00541DF6">
        <w:t>/</w:t>
      </w:r>
      <w:proofErr w:type="spellStart"/>
      <w:r w:rsidR="00541DF6">
        <w:t>OpenOil</w:t>
      </w:r>
      <w:proofErr w:type="spellEnd"/>
      <w:r w:rsidR="00541DF6">
        <w:t xml:space="preserve"> enabled the model to simulate the horizontal spreading and transport of observed oil slicks in the </w:t>
      </w:r>
      <w:r w:rsidR="00584E6D">
        <w:t>N</w:t>
      </w:r>
      <w:r w:rsidR="00541DF6">
        <w:t>orth Sea</w:t>
      </w:r>
      <w:r w:rsidR="00566809">
        <w:t xml:space="preserve">. </w:t>
      </w:r>
    </w:p>
    <w:p w14:paraId="4098DF27" w14:textId="131E1788" w:rsidR="00A06F55" w:rsidRDefault="00876691" w:rsidP="006B2C2C">
      <w:pPr>
        <w:spacing w:before="240" w:after="240"/>
        <w:ind w:firstLine="720"/>
      </w:pPr>
      <w:r>
        <w:t>The</w:t>
      </w:r>
      <w:r w:rsidR="00566809">
        <w:t xml:space="preserve"> winds used are a reanalysis product, hence they have reduced the u</w:t>
      </w:r>
      <w:r w:rsidR="00584E6D">
        <w:t>nc</w:t>
      </w:r>
      <w:r w:rsidR="00566809">
        <w:t>ertainties by combining models with all available observations (</w:t>
      </w:r>
      <w:r w:rsidR="004A0480" w:rsidRPr="004A0480">
        <w:t>DFS5.2;</w:t>
      </w:r>
      <w:r>
        <w:t xml:space="preserve"> </w:t>
      </w:r>
      <w:proofErr w:type="spellStart"/>
      <w:r>
        <w:t>Dussin</w:t>
      </w:r>
      <w:proofErr w:type="spellEnd"/>
      <w:r>
        <w:t xml:space="preserve"> et al.</w:t>
      </w:r>
      <w:r w:rsidR="006B2C2C">
        <w:t xml:space="preserve"> </w:t>
      </w:r>
      <w:r>
        <w:t>2016</w:t>
      </w:r>
      <w:r w:rsidR="00566809">
        <w:t>). The currents are obtained from free</w:t>
      </w:r>
      <w:r>
        <w:t>-</w:t>
      </w:r>
      <w:r w:rsidR="00566809">
        <w:t xml:space="preserve">runs of the ocean circulation model, hence they have not incorporated data and are subject to errors due to </w:t>
      </w:r>
      <w:proofErr w:type="spellStart"/>
      <w:r w:rsidR="00566809">
        <w:t>subgrid</w:t>
      </w:r>
      <w:proofErr w:type="spellEnd"/>
      <w:r w:rsidR="00566809">
        <w:t xml:space="preserve"> parameterizations, a</w:t>
      </w:r>
      <w:r w:rsidR="00584E6D">
        <w:t>s well as</w:t>
      </w:r>
      <w:r w:rsidR="00566809">
        <w:t xml:space="preserve"> errors in</w:t>
      </w:r>
      <w:r w:rsidR="00584E6D">
        <w:t>troduced at</w:t>
      </w:r>
      <w:r w:rsidR="00566809">
        <w:t xml:space="preserve"> the open boundaries. Nevertheless, the main aspects o</w:t>
      </w:r>
      <w:r w:rsidR="00172EFC">
        <w:t>f</w:t>
      </w:r>
      <w:r w:rsidR="00566809">
        <w:t xml:space="preserve"> the mean</w:t>
      </w:r>
      <w:r w:rsidR="00584E6D">
        <w:t xml:space="preserve"> </w:t>
      </w:r>
      <w:r w:rsidR="00566809">
        <w:t>surface flow and its variab</w:t>
      </w:r>
      <w:r w:rsidR="00172EFC">
        <w:t>i</w:t>
      </w:r>
      <w:r w:rsidR="00566809">
        <w:t>lity are fa</w:t>
      </w:r>
      <w:r w:rsidR="00172EFC">
        <w:t>irl</w:t>
      </w:r>
      <w:r w:rsidR="00566809">
        <w:t xml:space="preserve">y well reproduced, as evaluated using altimetry </w:t>
      </w:r>
      <w:r w:rsidR="00172EFC">
        <w:t>(</w:t>
      </w:r>
      <w:proofErr w:type="spellStart"/>
      <w:r w:rsidR="00566809">
        <w:t>Jouanno</w:t>
      </w:r>
      <w:proofErr w:type="spellEnd"/>
      <w:r w:rsidR="00172EFC">
        <w:t xml:space="preserve"> et al. 2016</w:t>
      </w:r>
      <w:r w:rsidR="00FF2A93">
        <w:t xml:space="preserve">; </w:t>
      </w:r>
      <w:r w:rsidR="006B2C2C">
        <w:t>Damien et al.</w:t>
      </w:r>
      <w:r w:rsidR="006627ED">
        <w:t xml:space="preserve"> 2021</w:t>
      </w:r>
      <w:r w:rsidR="00566809">
        <w:t>)</w:t>
      </w:r>
      <w:r w:rsidR="00172EFC">
        <w:t xml:space="preserve"> and surface </w:t>
      </w:r>
      <w:proofErr w:type="gramStart"/>
      <w:r w:rsidR="00172EFC">
        <w:t>drifters</w:t>
      </w:r>
      <w:proofErr w:type="gramEnd"/>
      <w:r w:rsidR="00172EFC">
        <w:t xml:space="preserve"> density distributions (Gough et al. 2019)</w:t>
      </w:r>
      <w:r w:rsidR="00AF701C">
        <w:t>,</w:t>
      </w:r>
      <w:r w:rsidR="00172EFC">
        <w:t xml:space="preserve"> allowing to study processes such as the formation of Loop Current frontal eddies</w:t>
      </w:r>
      <w:r w:rsidR="006627ED">
        <w:t xml:space="preserve">, the effect Loop Current eddies have in </w:t>
      </w:r>
      <w:r w:rsidR="00F916C0">
        <w:t xml:space="preserve">the </w:t>
      </w:r>
      <w:r w:rsidR="006627ED">
        <w:t>biological productivity</w:t>
      </w:r>
      <w:r w:rsidR="00F916C0">
        <w:t xml:space="preserve"> of the gulf</w:t>
      </w:r>
      <w:r w:rsidR="006627ED">
        <w:t>,</w:t>
      </w:r>
      <w:r w:rsidR="00172EFC">
        <w:t xml:space="preserve"> and </w:t>
      </w:r>
      <w:r w:rsidR="006627ED">
        <w:t xml:space="preserve">the existence of </w:t>
      </w:r>
      <w:r w:rsidR="00172EFC">
        <w:t xml:space="preserve">persistent transport barriers in the northwestern gulf, respectively. </w:t>
      </w:r>
      <w:r w:rsidR="00584E6D">
        <w:t xml:space="preserve">So the collection of </w:t>
      </w:r>
      <w:proofErr w:type="spellStart"/>
      <w:r w:rsidR="00584E6D">
        <w:t>hydrodynamical</w:t>
      </w:r>
      <w:proofErr w:type="spellEnd"/>
      <w:r w:rsidR="00584E6D">
        <w:t xml:space="preserve"> conditions used</w:t>
      </w:r>
      <w:r w:rsidR="00172EFC">
        <w:t xml:space="preserve"> </w:t>
      </w:r>
      <w:r w:rsidR="00584E6D">
        <w:t>to generate the statistical</w:t>
      </w:r>
      <w:r w:rsidR="00566809">
        <w:t xml:space="preserve"> </w:t>
      </w:r>
      <w:r w:rsidR="00584E6D">
        <w:t>oil spill scenarios</w:t>
      </w:r>
      <w:r w:rsidR="00566809">
        <w:t xml:space="preserve"> </w:t>
      </w:r>
      <w:r w:rsidR="00584E6D">
        <w:t>do represent the observed variability</w:t>
      </w:r>
      <w:r w:rsidR="00172EFC">
        <w:t xml:space="preserve"> of the ocean surface flow and winds in the region.</w:t>
      </w:r>
      <w:r w:rsidR="0004580C">
        <w:t xml:space="preserve"> In </w:t>
      </w:r>
      <w:r w:rsidR="006E2A7C">
        <w:t>short, modeling oil</w:t>
      </w:r>
      <w:r w:rsidR="0004580C">
        <w:t xml:space="preserve"> spills is extreme</w:t>
      </w:r>
      <w:r>
        <w:t>ly difficult since oil is one of the most complex organic compound</w:t>
      </w:r>
      <w:r w:rsidR="00167193">
        <w:t>s</w:t>
      </w:r>
      <w:r>
        <w:t xml:space="preserve"> in nature, subject to a large set</w:t>
      </w:r>
      <w:r w:rsidR="00167193">
        <w:t xml:space="preserve"> of processes which act at different time scales and many of which are yet poorly understood under controlled conditions. This certainly poses a great challenge in predicting the fate of a given spill were it to happen, hence using a statistical approach based on a large set of </w:t>
      </w:r>
      <w:proofErr w:type="spellStart"/>
      <w:r w:rsidR="00167193">
        <w:t>hydrodynamical</w:t>
      </w:r>
      <w:proofErr w:type="spellEnd"/>
      <w:r w:rsidR="00167193">
        <w:t xml:space="preserve"> conditions, in which the variability of the winds and currents are well represented</w:t>
      </w:r>
      <w:r w:rsidR="00540509">
        <w:t>,</w:t>
      </w:r>
      <w:r w:rsidR="00167193">
        <w:t xml:space="preserve"> allows to get </w:t>
      </w:r>
      <w:r w:rsidR="00540509">
        <w:t>a low order</w:t>
      </w:r>
      <w:r w:rsidR="00167193">
        <w:t xml:space="preserve"> approach that allows to plan ahead a</w:t>
      </w:r>
      <w:r w:rsidR="00540509">
        <w:t>n accident and make a first attempt to analyze its possible consequences.</w:t>
      </w:r>
    </w:p>
    <w:p w14:paraId="689BB098" w14:textId="08D0B10A" w:rsidR="001B5AA0" w:rsidRDefault="002C7E92" w:rsidP="006B2C2C">
      <w:pPr>
        <w:spacing w:before="240" w:after="240"/>
        <w:ind w:firstLine="720"/>
      </w:pPr>
      <w:r w:rsidRPr="002C7E92">
        <w:t>The plume (near-field model) showed that most of the oil accumulated in the top 20 m of the water column, with less than 5% of the oil spilling below that depth. Therefore, the analysis focuses on the surface layer of the water column.</w:t>
      </w:r>
      <w:r>
        <w:t xml:space="preserve"> </w:t>
      </w:r>
      <w:r w:rsidR="00942370" w:rsidRPr="00942370">
        <w:t xml:space="preserve">The spatial distribution of oil </w:t>
      </w:r>
      <w:r w:rsidR="00C3256F">
        <w:t>near</w:t>
      </w:r>
      <w:r w:rsidR="00C3256F" w:rsidRPr="00942370">
        <w:t xml:space="preserve"> </w:t>
      </w:r>
      <w:r w:rsidR="00942370" w:rsidRPr="00942370">
        <w:t xml:space="preserve">the surface (in the first 20 m of the water column) was followed for 60 days. From each individual spill, the oil mass was obtained for each cell of 0.25º x 0.25º for each day of the simulation, and the mass fraction was calculated </w:t>
      </w:r>
      <w:r w:rsidR="004A708D">
        <w:t xml:space="preserve">by </w:t>
      </w:r>
      <w:r w:rsidR="00942370" w:rsidRPr="00942370">
        <w:t xml:space="preserve">dividing the daily oil mass by the total mass released during the 15 days that the spill lasted. </w:t>
      </w:r>
    </w:p>
    <w:p w14:paraId="75E03B77" w14:textId="2D92A6F8" w:rsidR="00F75F7C" w:rsidRDefault="00F75F7C" w:rsidP="00F75F7C">
      <w:pPr>
        <w:ind w:firstLine="720"/>
      </w:pPr>
      <w:r w:rsidRPr="00942370">
        <w:lastRenderedPageBreak/>
        <w:t>The metric used was the maximum average mass fraction (</w:t>
      </w:r>
      <w:proofErr w:type="spellStart"/>
      <w:r w:rsidRPr="00942370">
        <w:rPr>
          <w:i/>
        </w:rPr>
        <w:t>P</w:t>
      </w:r>
      <w:r w:rsidRPr="00942370">
        <w:rPr>
          <w:i/>
          <w:vertAlign w:val="subscript"/>
        </w:rPr>
        <w:t>max</w:t>
      </w:r>
      <w:proofErr w:type="spellEnd"/>
      <w:r w:rsidRPr="00942370">
        <w:t>)</w:t>
      </w:r>
      <w:r>
        <w:t xml:space="preserve">. This is calculated as follows: first, the average of the daily mass fraction over all individual spills is calculated, and the maximum value over the 60 days of the spill duration is </w:t>
      </w:r>
      <w:proofErr w:type="spellStart"/>
      <w:r w:rsidRPr="00942370">
        <w:rPr>
          <w:i/>
        </w:rPr>
        <w:t>P</w:t>
      </w:r>
      <w:r w:rsidRPr="00942370">
        <w:rPr>
          <w:i/>
          <w:vertAlign w:val="subscript"/>
        </w:rPr>
        <w:t>max</w:t>
      </w:r>
      <w:proofErr w:type="spellEnd"/>
      <w:r>
        <w:t>.</w:t>
      </w:r>
      <w:r w:rsidRPr="00942370">
        <w:t xml:space="preserve"> The contour delimited by </w:t>
      </w:r>
      <w:proofErr w:type="spellStart"/>
      <w:r w:rsidRPr="00942370">
        <w:rPr>
          <w:i/>
        </w:rPr>
        <w:t>P</w:t>
      </w:r>
      <w:r w:rsidRPr="00942370">
        <w:rPr>
          <w:i/>
          <w:vertAlign w:val="subscript"/>
        </w:rPr>
        <w:t>max</w:t>
      </w:r>
      <w:proofErr w:type="spellEnd"/>
      <w:r w:rsidRPr="00942370">
        <w:t xml:space="preserve"> = 0.1% was defined as the area where the largest amount of mass is expected to be found for any individual oil spill. </w:t>
      </w:r>
      <w:r w:rsidRPr="000641C3">
        <w:t>Th</w:t>
      </w:r>
      <w:r>
        <w:t xml:space="preserve">is contour delimits an </w:t>
      </w:r>
      <w:r w:rsidRPr="000641C3">
        <w:t xml:space="preserve">area where the greatest amount of mass of any particular spill is expected to be found. </w:t>
      </w:r>
      <w:r>
        <w:t>It was shown that, for</w:t>
      </w:r>
      <w:r w:rsidRPr="000641C3">
        <w:t xml:space="preserve"> the scenarios of the three wells, it is true that more than 80% of the individual events have more than 70% of the</w:t>
      </w:r>
      <w:r>
        <w:t xml:space="preserve"> total oil spilled</w:t>
      </w:r>
      <w:r w:rsidRPr="000641C3">
        <w:t xml:space="preserve"> inside the contour</w:t>
      </w:r>
      <w:r>
        <w:t xml:space="preserve"> (</w:t>
      </w:r>
      <w:r>
        <w:fldChar w:fldCharType="begin"/>
      </w:r>
      <w:r>
        <w:instrText xml:space="preserve"> ADDIN ZOTERO_ITEM CSL_CITATION {"citationID":"zrspNUfx","properties":{"formattedCitation":"(P\\uc0\\u233{}rez-Brunius et al. 2020)","plainCitation":"(Pérez-Brunius et al. 2020)","noteIndex":0},"citationItems":[{"id":19,"uris":["http://zotero.org/users/4225585/items/LWN6K4SY"],"itemData":{"id":19,"type":"chapter","container-title":"Escenarios oceánicos y atmosféricos de un derrame de petróleo en aguas profundas del golfo de México","event-place":"Ensenada, Baja California","page":"15-23","publisher":"CICESE","publisher-place":"Ensenada, Baja California","title":"Regiones posiblemente afectadas bajo escenarios de derrames de petróleo en las aguas profundas del golfo de México","author":[{"family":"Pérez-Brunius","given":"P."},{"family":"Beron-Vera","given":"F.J."},{"family":"Kotzakoulakis","given":"K."},{"family":"Lara-Hernández","given":"J.A."},{"family":"Miron","given":"P."},{"family":"Olascoaga","given":"M.J."},{"family":"Zavala-Romero","given":"O."},{"family":"Rodríguez-Outerelo","given":"J."},{"family":"García-Carrillo","given":"P."},{"family":"Medrano","given":"F"},{"family":"Zavala-Hidalgo","given":"J."},{"family":"Sheinbaum","given":"J."}],"editor":[{"family":"Pérez-Brunius","given":"P."},{"family":"Turrent-Thompson","given":"C."},{"family":"García-Carrillo","given":"P."}],"issued":{"date-parts":[["2020"]]}}}],"schema":"https://github.com/citation-style-language/schema/raw/master/csl-citation.json"} </w:instrText>
      </w:r>
      <w:r>
        <w:fldChar w:fldCharType="separate"/>
      </w:r>
      <w:r w:rsidRPr="00942370">
        <w:t xml:space="preserve">Pérez-Brunius et al. </w:t>
      </w:r>
      <w:r>
        <w:t>(</w:t>
      </w:r>
      <w:r w:rsidRPr="00942370">
        <w:t>2020)</w:t>
      </w:r>
      <w:r>
        <w:fldChar w:fldCharType="end"/>
      </w:r>
      <w:r w:rsidRPr="000641C3">
        <w:t>.</w:t>
      </w:r>
      <w:r>
        <w:t xml:space="preserve"> </w:t>
      </w:r>
      <w:r w:rsidRPr="00942370">
        <w:t xml:space="preserve">The full description of the </w:t>
      </w:r>
      <w:r>
        <w:t xml:space="preserve">construction of the oil spill scenarios </w:t>
      </w:r>
      <w:r w:rsidRPr="00942370">
        <w:t xml:space="preserve">can be consulted in </w:t>
      </w:r>
      <w:r>
        <w:fldChar w:fldCharType="begin"/>
      </w:r>
      <w:r>
        <w:instrText xml:space="preserve"> ADDIN ZOTERO_ITEM CSL_CITATION {"citationID":"zrspNUfx","properties":{"formattedCitation":"(P\\uc0\\u233{}rez-Brunius et al. 2020)","plainCitation":"(Pérez-Brunius et al. 2020)","noteIndex":0},"citationItems":[{"id":19,"uris":["http://zotero.org/users/4225585/items/LWN6K4SY"],"itemData":{"id":19,"type":"chapter","container-title":"Escenarios oceánicos y atmosféricos de un derrame de petróleo en aguas profundas del golfo de México","event-place":"Ensenada, Baja California","page":"15-23","publisher":"CICESE","publisher-place":"Ensenada, Baja California","title":"Regiones posiblemente afectadas bajo escenarios de derrames de petróleo en las aguas profundas del golfo de México","author":[{"family":"Pérez-Brunius","given":"P."},{"family":"Beron-Vera","given":"F.J."},{"family":"Kotzakoulakis","given":"K."},{"family":"Lara-Hernández","given":"J.A."},{"family":"Miron","given":"P."},{"family":"Olascoaga","given":"M.J."},{"family":"Zavala-Romero","given":"O."},{"family":"Rodríguez-Outerelo","given":"J."},{"family":"García-Carrillo","given":"P."},{"family":"Medrano","given":"F"},{"family":"Zavala-Hidalgo","given":"J."},{"family":"Sheinbaum","given":"J."}],"editor":[{"family":"Pérez-Brunius","given":"P."},{"family":"Turrent-Thompson","given":"C."},{"family":"García-Carrillo","given":"P."}],"issued":{"date-parts":[["2020"]]}}}],"schema":"https://github.com/citation-style-language/schema/raw/master/csl-citation.json"} </w:instrText>
      </w:r>
      <w:r>
        <w:fldChar w:fldCharType="separate"/>
      </w:r>
      <w:r w:rsidRPr="00942370">
        <w:t xml:space="preserve">Pérez-Brunius et al. </w:t>
      </w:r>
      <w:r>
        <w:t>(</w:t>
      </w:r>
      <w:r w:rsidRPr="00942370">
        <w:t>2020)</w:t>
      </w:r>
      <w:r>
        <w:fldChar w:fldCharType="end"/>
      </w:r>
      <w:r>
        <w:t xml:space="preserve"> and a summary as supplementary material in </w:t>
      </w:r>
      <w:proofErr w:type="spellStart"/>
      <w:r>
        <w:t>Romo-Curiel</w:t>
      </w:r>
      <w:proofErr w:type="spellEnd"/>
      <w:r>
        <w:t xml:space="preserve"> et al. </w:t>
      </w:r>
      <w:r w:rsidRPr="00FE0A9B">
        <w:t>(2022).</w:t>
      </w:r>
    </w:p>
    <w:p w14:paraId="6E1C468B" w14:textId="77777777" w:rsidR="00F75F7C" w:rsidRPr="00FE0A9B" w:rsidRDefault="00F75F7C" w:rsidP="00F75F7C">
      <w:pPr>
        <w:ind w:firstLine="720"/>
      </w:pPr>
    </w:p>
    <w:p w14:paraId="36562929" w14:textId="77777777" w:rsidR="00F75F7C" w:rsidRPr="00942370" w:rsidRDefault="00F75F7C" w:rsidP="00F75F7C">
      <w:pPr>
        <w:ind w:firstLine="720"/>
      </w:pPr>
      <w:proofErr w:type="spellStart"/>
      <w:r w:rsidRPr="004E6246">
        <w:rPr>
          <w:i/>
          <w:iCs/>
        </w:rPr>
        <w:t>P</w:t>
      </w:r>
      <w:r w:rsidRPr="004E6246">
        <w:rPr>
          <w:i/>
          <w:iCs/>
          <w:vertAlign w:val="subscript"/>
        </w:rPr>
        <w:t>max</w:t>
      </w:r>
      <w:proofErr w:type="spellEnd"/>
      <w:r w:rsidRPr="004B6568">
        <w:t xml:space="preserve"> values ranged from </w:t>
      </w:r>
      <w:r>
        <w:t>0.00014</w:t>
      </w:r>
      <w:r w:rsidRPr="004B6568">
        <w:t xml:space="preserve"> to </w:t>
      </w:r>
      <w:r>
        <w:t>0.07620. T</w:t>
      </w:r>
      <w:r w:rsidRPr="008621D5">
        <w:t xml:space="preserve">he cells within the affected area were categorized using the 25th and 75th percentiles; thus, </w:t>
      </w:r>
      <w:r w:rsidRPr="008621D5">
        <w:rPr>
          <w:rFonts w:eastAsia="Times New Roman"/>
          <w:i/>
        </w:rPr>
        <w:t>P</w:t>
      </w:r>
      <w:r w:rsidRPr="008621D5">
        <w:rPr>
          <w:rFonts w:eastAsia="Times New Roman"/>
          <w:i/>
          <w:vertAlign w:val="subscript"/>
        </w:rPr>
        <w:t>l</w:t>
      </w:r>
      <w:r w:rsidRPr="008621D5">
        <w:rPr>
          <w:rFonts w:eastAsia="Times New Roman"/>
          <w:i/>
        </w:rPr>
        <w:t xml:space="preserve"> </w:t>
      </w:r>
      <w:r w:rsidRPr="008621D5">
        <w:t xml:space="preserve">(low amounts of oil) includes cells with </w:t>
      </w:r>
      <w:proofErr w:type="spellStart"/>
      <w:r w:rsidRPr="008621D5">
        <w:rPr>
          <w:rFonts w:eastAsia="Times New Roman"/>
          <w:i/>
        </w:rPr>
        <w:t>P</w:t>
      </w:r>
      <w:r w:rsidRPr="008621D5">
        <w:rPr>
          <w:rFonts w:eastAsia="Times New Roman"/>
          <w:i/>
          <w:vertAlign w:val="subscript"/>
        </w:rPr>
        <w:t>max</w:t>
      </w:r>
      <w:proofErr w:type="spellEnd"/>
      <w:r w:rsidRPr="008621D5">
        <w:t xml:space="preserve"> values &lt; </w:t>
      </w:r>
      <w:r>
        <w:t>first quantile</w:t>
      </w:r>
      <w:r w:rsidRPr="008621D5">
        <w:t xml:space="preserve">, </w:t>
      </w:r>
      <w:r w:rsidRPr="008621D5">
        <w:rPr>
          <w:rFonts w:eastAsia="Times New Roman"/>
          <w:i/>
        </w:rPr>
        <w:t>P</w:t>
      </w:r>
      <w:r w:rsidRPr="008621D5">
        <w:rPr>
          <w:rFonts w:eastAsia="Times New Roman"/>
          <w:i/>
          <w:vertAlign w:val="subscript"/>
        </w:rPr>
        <w:t>m</w:t>
      </w:r>
      <w:r w:rsidRPr="008621D5">
        <w:t xml:space="preserve"> (medium amounts of oil) cells with values in the </w:t>
      </w:r>
      <w:r>
        <w:t>i</w:t>
      </w:r>
      <w:r w:rsidRPr="004B6568">
        <w:t xml:space="preserve">nterquartile </w:t>
      </w:r>
      <w:r>
        <w:t>r</w:t>
      </w:r>
      <w:r w:rsidRPr="004B6568">
        <w:t>ange</w:t>
      </w:r>
      <w:r w:rsidRPr="008621D5">
        <w:t xml:space="preserve">, and </w:t>
      </w:r>
      <w:proofErr w:type="spellStart"/>
      <w:r w:rsidRPr="008621D5">
        <w:rPr>
          <w:rFonts w:eastAsia="Times New Roman"/>
          <w:i/>
        </w:rPr>
        <w:t>P</w:t>
      </w:r>
      <w:r w:rsidRPr="008621D5">
        <w:rPr>
          <w:vertAlign w:val="subscript"/>
        </w:rPr>
        <w:t>h</w:t>
      </w:r>
      <w:proofErr w:type="spellEnd"/>
      <w:r w:rsidRPr="008621D5">
        <w:t xml:space="preserve"> (high amounts of oil) for cells with values &gt; </w:t>
      </w:r>
      <w:r>
        <w:t>third quantile</w:t>
      </w:r>
      <w:r w:rsidRPr="008621D5">
        <w:t>.</w:t>
      </w:r>
    </w:p>
    <w:p w14:paraId="2275D726" w14:textId="77777777" w:rsidR="00F75F7C" w:rsidRPr="00FE0A9B" w:rsidRDefault="00F75F7C" w:rsidP="00F75F7C">
      <w:pPr>
        <w:jc w:val="center"/>
      </w:pPr>
      <w:r w:rsidRPr="004B6568">
        <w:rPr>
          <w:noProof/>
          <w:lang w:val="es-MX" w:eastAsia="es-MX"/>
        </w:rPr>
        <w:drawing>
          <wp:inline distT="0" distB="0" distL="0" distR="0" wp14:anchorId="1DCB8AB3" wp14:editId="2494A9DB">
            <wp:extent cx="3914775" cy="2216890"/>
            <wp:effectExtent l="0" t="0" r="0" b="0"/>
            <wp:docPr id="4"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agrama&#10;&#10;Descripción generada automáticamente"/>
                    <pic:cNvPicPr/>
                  </pic:nvPicPr>
                  <pic:blipFill>
                    <a:blip r:embed="rId13"/>
                    <a:stretch>
                      <a:fillRect/>
                    </a:stretch>
                  </pic:blipFill>
                  <pic:spPr>
                    <a:xfrm>
                      <a:off x="0" y="0"/>
                      <a:ext cx="3937127" cy="2229548"/>
                    </a:xfrm>
                    <a:prstGeom prst="rect">
                      <a:avLst/>
                    </a:prstGeom>
                  </pic:spPr>
                </pic:pic>
              </a:graphicData>
            </a:graphic>
          </wp:inline>
        </w:drawing>
      </w:r>
    </w:p>
    <w:p w14:paraId="1962F602" w14:textId="77777777" w:rsidR="00942370" w:rsidRPr="00CF5069" w:rsidRDefault="00942370" w:rsidP="00880647"/>
    <w:p w14:paraId="05C26434" w14:textId="6CD175CA" w:rsidR="00942370" w:rsidRPr="00CF5069" w:rsidRDefault="00942370" w:rsidP="001A5663">
      <w:pPr>
        <w:pStyle w:val="Ttulo1"/>
        <w:numPr>
          <w:ilvl w:val="0"/>
          <w:numId w:val="0"/>
        </w:numPr>
        <w:ind w:left="567" w:hanging="567"/>
      </w:pPr>
      <w:r w:rsidRPr="00CF5069">
        <w:t xml:space="preserve">References </w:t>
      </w:r>
    </w:p>
    <w:p w14:paraId="6CB1BC96" w14:textId="1E2A7FFC" w:rsidR="00F75F7C" w:rsidRDefault="00F75F7C" w:rsidP="000F0191">
      <w:pPr>
        <w:pStyle w:val="Bibliografa"/>
        <w:spacing w:after="240"/>
        <w:ind w:left="709"/>
        <w:rPr>
          <w:rFonts w:cs="Times New Roman"/>
        </w:rPr>
      </w:pPr>
      <w:r w:rsidRPr="00F75F7C">
        <w:rPr>
          <w:rFonts w:cs="Times New Roman"/>
        </w:rPr>
        <w:t xml:space="preserve">Damien, P., </w:t>
      </w:r>
      <w:proofErr w:type="spellStart"/>
      <w:r w:rsidRPr="00F75F7C">
        <w:rPr>
          <w:rFonts w:cs="Times New Roman"/>
        </w:rPr>
        <w:t>Sheinbaum</w:t>
      </w:r>
      <w:proofErr w:type="spellEnd"/>
      <w:r w:rsidRPr="00F75F7C">
        <w:rPr>
          <w:rFonts w:cs="Times New Roman"/>
        </w:rPr>
        <w:t xml:space="preserve">, J., </w:t>
      </w:r>
      <w:proofErr w:type="spellStart"/>
      <w:r w:rsidRPr="00F75F7C">
        <w:rPr>
          <w:rFonts w:cs="Times New Roman"/>
        </w:rPr>
        <w:t>Pasqueron</w:t>
      </w:r>
      <w:proofErr w:type="spellEnd"/>
      <w:r w:rsidRPr="00F75F7C">
        <w:rPr>
          <w:rFonts w:cs="Times New Roman"/>
        </w:rPr>
        <w:t xml:space="preserve"> de </w:t>
      </w:r>
      <w:proofErr w:type="spellStart"/>
      <w:r w:rsidRPr="00F75F7C">
        <w:rPr>
          <w:rFonts w:cs="Times New Roman"/>
        </w:rPr>
        <w:t>Fommervault</w:t>
      </w:r>
      <w:proofErr w:type="spellEnd"/>
      <w:r w:rsidRPr="00F75F7C">
        <w:rPr>
          <w:rFonts w:cs="Times New Roman"/>
        </w:rPr>
        <w:t xml:space="preserve">, O., </w:t>
      </w:r>
      <w:proofErr w:type="spellStart"/>
      <w:r w:rsidRPr="00F75F7C">
        <w:rPr>
          <w:rFonts w:cs="Times New Roman"/>
        </w:rPr>
        <w:t>Jouanno</w:t>
      </w:r>
      <w:proofErr w:type="spellEnd"/>
      <w:r w:rsidRPr="00F75F7C">
        <w:rPr>
          <w:rFonts w:cs="Times New Roman"/>
        </w:rPr>
        <w:t xml:space="preserve">, </w:t>
      </w:r>
      <w:r w:rsidR="00C10614">
        <w:rPr>
          <w:rFonts w:cs="Times New Roman"/>
        </w:rPr>
        <w:t xml:space="preserve">J., Linacre, L., and </w:t>
      </w:r>
      <w:proofErr w:type="spellStart"/>
      <w:r w:rsidR="00C10614">
        <w:rPr>
          <w:rFonts w:cs="Times New Roman"/>
        </w:rPr>
        <w:t>Duteil</w:t>
      </w:r>
      <w:proofErr w:type="spellEnd"/>
      <w:r w:rsidR="00C10614">
        <w:rPr>
          <w:rFonts w:cs="Times New Roman"/>
        </w:rPr>
        <w:t>, O. (2021).</w:t>
      </w:r>
      <w:r w:rsidRPr="00F75F7C">
        <w:rPr>
          <w:rFonts w:cs="Times New Roman"/>
        </w:rPr>
        <w:t xml:space="preserve"> Do Loop Current eddies stimulate produ</w:t>
      </w:r>
      <w:r w:rsidR="000F0191">
        <w:rPr>
          <w:rFonts w:cs="Times New Roman"/>
        </w:rPr>
        <w:t xml:space="preserve">ctivity in the Gulf of Mexico? </w:t>
      </w:r>
      <w:proofErr w:type="spellStart"/>
      <w:r w:rsidR="000F0191">
        <w:rPr>
          <w:rFonts w:cs="Times New Roman"/>
        </w:rPr>
        <w:t>Biogeosciences</w:t>
      </w:r>
      <w:proofErr w:type="spellEnd"/>
      <w:r w:rsidR="000F0191">
        <w:rPr>
          <w:rFonts w:cs="Times New Roman"/>
        </w:rPr>
        <w:t>. 18, 4281–4303. doi.org:</w:t>
      </w:r>
      <w:r w:rsidR="00C10614">
        <w:rPr>
          <w:rFonts w:cs="Times New Roman"/>
        </w:rPr>
        <w:t>10.5194/bg-18-4281-2021</w:t>
      </w:r>
    </w:p>
    <w:p w14:paraId="1A01BAD7" w14:textId="3D9DE046" w:rsidR="00F75F7C" w:rsidRPr="00FE0A9B" w:rsidRDefault="00F75F7C" w:rsidP="000F0191">
      <w:pPr>
        <w:pStyle w:val="Bibliografa"/>
        <w:spacing w:after="240"/>
        <w:ind w:left="709"/>
        <w:rPr>
          <w:rFonts w:cs="Times New Roman"/>
        </w:rPr>
      </w:pPr>
      <w:proofErr w:type="spellStart"/>
      <w:r>
        <w:rPr>
          <w:rFonts w:cs="Times New Roman"/>
        </w:rPr>
        <w:t>Dussin</w:t>
      </w:r>
      <w:proofErr w:type="spellEnd"/>
      <w:r>
        <w:rPr>
          <w:rFonts w:cs="Times New Roman"/>
        </w:rPr>
        <w:t xml:space="preserve">, R., </w:t>
      </w:r>
      <w:proofErr w:type="spellStart"/>
      <w:r>
        <w:rPr>
          <w:rFonts w:cs="Times New Roman"/>
        </w:rPr>
        <w:t>Barnier</w:t>
      </w:r>
      <w:proofErr w:type="spellEnd"/>
      <w:r>
        <w:rPr>
          <w:rFonts w:cs="Times New Roman"/>
        </w:rPr>
        <w:t xml:space="preserve">, B., </w:t>
      </w:r>
      <w:proofErr w:type="spellStart"/>
      <w:r>
        <w:rPr>
          <w:rFonts w:cs="Times New Roman"/>
        </w:rPr>
        <w:t>Brodeau</w:t>
      </w:r>
      <w:proofErr w:type="spellEnd"/>
      <w:r>
        <w:rPr>
          <w:rFonts w:cs="Times New Roman"/>
        </w:rPr>
        <w:t xml:space="preserve">, L., and </w:t>
      </w:r>
      <w:proofErr w:type="spellStart"/>
      <w:r>
        <w:rPr>
          <w:rFonts w:cs="Times New Roman"/>
        </w:rPr>
        <w:t>Molines</w:t>
      </w:r>
      <w:proofErr w:type="spellEnd"/>
      <w:r>
        <w:rPr>
          <w:rFonts w:cs="Times New Roman"/>
        </w:rPr>
        <w:t xml:space="preserve">, J.M. (2016). The making of the </w:t>
      </w:r>
      <w:proofErr w:type="spellStart"/>
      <w:r>
        <w:rPr>
          <w:rFonts w:cs="Times New Roman"/>
        </w:rPr>
        <w:t>Drakkar</w:t>
      </w:r>
      <w:proofErr w:type="spellEnd"/>
      <w:r>
        <w:rPr>
          <w:rFonts w:cs="Times New Roman"/>
        </w:rPr>
        <w:t xml:space="preserve"> forcing set DFS5. </w:t>
      </w:r>
      <w:r w:rsidRPr="00FE0A9B">
        <w:rPr>
          <w:rFonts w:cs="Times New Roman"/>
        </w:rPr>
        <w:t>DRAKKAR/</w:t>
      </w:r>
      <w:proofErr w:type="spellStart"/>
      <w:r w:rsidRPr="00FE0A9B">
        <w:rPr>
          <w:rFonts w:cs="Times New Roman"/>
        </w:rPr>
        <w:t>MyOcean</w:t>
      </w:r>
      <w:proofErr w:type="spellEnd"/>
      <w:r w:rsidRPr="00FE0A9B">
        <w:rPr>
          <w:rFonts w:cs="Times New Roman"/>
        </w:rPr>
        <w:t xml:space="preserve"> Rep. 01-04,16, </w:t>
      </w:r>
      <w:proofErr w:type="spellStart"/>
      <w:r w:rsidRPr="00FE0A9B">
        <w:rPr>
          <w:rFonts w:cs="Times New Roman"/>
        </w:rPr>
        <w:t>Laboratoire</w:t>
      </w:r>
      <w:proofErr w:type="spellEnd"/>
      <w:r w:rsidRPr="00FE0A9B">
        <w:rPr>
          <w:rFonts w:cs="Times New Roman"/>
        </w:rPr>
        <w:t xml:space="preserve"> de glaciology et </w:t>
      </w:r>
      <w:proofErr w:type="spellStart"/>
      <w:r w:rsidRPr="00FE0A9B">
        <w:rPr>
          <w:rFonts w:cs="Times New Roman"/>
        </w:rPr>
        <w:t>géophysique</w:t>
      </w:r>
      <w:proofErr w:type="spellEnd"/>
      <w:r w:rsidRPr="00FE0A9B">
        <w:rPr>
          <w:rFonts w:cs="Times New Roman"/>
        </w:rPr>
        <w:t xml:space="preserve"> de </w:t>
      </w:r>
      <w:proofErr w:type="spellStart"/>
      <w:r w:rsidRPr="00FE0A9B">
        <w:rPr>
          <w:rFonts w:cs="Times New Roman"/>
        </w:rPr>
        <w:t>l’environnement</w:t>
      </w:r>
      <w:proofErr w:type="spellEnd"/>
      <w:r w:rsidRPr="00FE0A9B">
        <w:rPr>
          <w:rFonts w:cs="Times New Roman"/>
        </w:rPr>
        <w:t xml:space="preserve"> (LG</w:t>
      </w:r>
      <w:r>
        <w:rPr>
          <w:rFonts w:cs="Times New Roman"/>
        </w:rPr>
        <w:t xml:space="preserve">GE), Grenoble, France. </w:t>
      </w:r>
    </w:p>
    <w:p w14:paraId="2EB6B41F" w14:textId="26D14213" w:rsidR="000F0191" w:rsidRPr="000F0191" w:rsidRDefault="000F0191" w:rsidP="000F0191">
      <w:pPr>
        <w:pStyle w:val="Bibliografa"/>
        <w:spacing w:after="240"/>
        <w:ind w:left="709"/>
        <w:rPr>
          <w:rFonts w:cs="Times New Roman"/>
        </w:rPr>
      </w:pPr>
      <w:r w:rsidRPr="000F0191">
        <w:rPr>
          <w:rFonts w:cs="Times New Roman"/>
        </w:rPr>
        <w:t xml:space="preserve">Gough, M.K., </w:t>
      </w:r>
      <w:proofErr w:type="spellStart"/>
      <w:r w:rsidRPr="000F0191">
        <w:rPr>
          <w:rFonts w:cs="Times New Roman"/>
        </w:rPr>
        <w:t>Beron</w:t>
      </w:r>
      <w:proofErr w:type="spellEnd"/>
      <w:r w:rsidRPr="000F0191">
        <w:rPr>
          <w:rFonts w:cs="Times New Roman"/>
        </w:rPr>
        <w:t xml:space="preserve">-Vera, F.J., </w:t>
      </w:r>
      <w:proofErr w:type="spellStart"/>
      <w:r w:rsidRPr="000F0191">
        <w:rPr>
          <w:rFonts w:cs="Times New Roman"/>
        </w:rPr>
        <w:t>Olascoaga</w:t>
      </w:r>
      <w:proofErr w:type="spellEnd"/>
      <w:r w:rsidRPr="000F0191">
        <w:rPr>
          <w:rFonts w:cs="Times New Roman"/>
        </w:rPr>
        <w:t>, M.J</w:t>
      </w:r>
      <w:r>
        <w:rPr>
          <w:rFonts w:cs="Times New Roman"/>
        </w:rPr>
        <w:t xml:space="preserve">., </w:t>
      </w:r>
      <w:proofErr w:type="spellStart"/>
      <w:r>
        <w:rPr>
          <w:rFonts w:cs="Times New Roman"/>
        </w:rPr>
        <w:t>Sheinbaum</w:t>
      </w:r>
      <w:proofErr w:type="spellEnd"/>
      <w:r>
        <w:rPr>
          <w:rFonts w:cs="Times New Roman"/>
        </w:rPr>
        <w:t xml:space="preserve">, J., </w:t>
      </w:r>
      <w:proofErr w:type="spellStart"/>
      <w:r>
        <w:rPr>
          <w:rFonts w:cs="Times New Roman"/>
        </w:rPr>
        <w:t>Jouanno</w:t>
      </w:r>
      <w:proofErr w:type="spellEnd"/>
      <w:r>
        <w:rPr>
          <w:rFonts w:cs="Times New Roman"/>
        </w:rPr>
        <w:t>, J., and</w:t>
      </w:r>
      <w:r w:rsidRPr="000F0191">
        <w:rPr>
          <w:rFonts w:cs="Times New Roman"/>
        </w:rPr>
        <w:t xml:space="preserve"> Duran, R. (2019). </w:t>
      </w:r>
      <w:r>
        <w:rPr>
          <w:rFonts w:cs="Times New Roman"/>
        </w:rPr>
        <w:t xml:space="preserve">Persistent </w:t>
      </w:r>
      <w:proofErr w:type="spellStart"/>
      <w:r>
        <w:rPr>
          <w:rFonts w:cs="Times New Roman"/>
        </w:rPr>
        <w:t>Lagrangian</w:t>
      </w:r>
      <w:proofErr w:type="spellEnd"/>
      <w:r>
        <w:rPr>
          <w:rFonts w:cs="Times New Roman"/>
        </w:rPr>
        <w:t xml:space="preserve"> transport p</w:t>
      </w:r>
      <w:r w:rsidRPr="000F0191">
        <w:rPr>
          <w:rFonts w:cs="Times New Roman"/>
        </w:rPr>
        <w:t>atterns in the Northwestern Gul</w:t>
      </w:r>
      <w:r w:rsidR="00056471">
        <w:rPr>
          <w:rFonts w:cs="Times New Roman"/>
        </w:rPr>
        <w:t>f of Mexico.</w:t>
      </w:r>
      <w:r>
        <w:rPr>
          <w:rFonts w:cs="Times New Roman"/>
        </w:rPr>
        <w:t xml:space="preserve"> J. Phys. Oceanogr. 49</w:t>
      </w:r>
      <w:r w:rsidRPr="000F0191">
        <w:rPr>
          <w:rFonts w:cs="Times New Roman"/>
        </w:rPr>
        <w:t>, 353-367.</w:t>
      </w:r>
    </w:p>
    <w:p w14:paraId="4F6976E9" w14:textId="6D7EA617" w:rsidR="00F75F7C" w:rsidRPr="00FE0A9B" w:rsidRDefault="00F75F7C" w:rsidP="000F0191">
      <w:pPr>
        <w:pStyle w:val="Bibliografa"/>
        <w:spacing w:after="240"/>
        <w:ind w:left="709"/>
      </w:pPr>
      <w:r>
        <w:rPr>
          <w:rFonts w:cs="Times New Roman"/>
        </w:rPr>
        <w:t xml:space="preserve">Johansen, Ø., </w:t>
      </w:r>
      <w:proofErr w:type="spellStart"/>
      <w:r>
        <w:rPr>
          <w:rFonts w:cs="Times New Roman"/>
        </w:rPr>
        <w:t>Brandvik</w:t>
      </w:r>
      <w:proofErr w:type="spellEnd"/>
      <w:r>
        <w:rPr>
          <w:rFonts w:cs="Times New Roman"/>
        </w:rPr>
        <w:t xml:space="preserve">, P.J., </w:t>
      </w:r>
      <w:r w:rsidRPr="00762260">
        <w:rPr>
          <w:rFonts w:cs="Times New Roman"/>
        </w:rPr>
        <w:t xml:space="preserve">Farooq, U. (2013). Droplet breakup in subsea oil releases–Part 2: Predictions of droplet size distributions with and without injection of chemical dispersants. </w:t>
      </w:r>
      <w:r w:rsidRPr="00FE0A9B">
        <w:t xml:space="preserve">Mar. </w:t>
      </w:r>
      <w:proofErr w:type="spellStart"/>
      <w:r w:rsidRPr="00FE0A9B">
        <w:t>Pollut</w:t>
      </w:r>
      <w:proofErr w:type="spellEnd"/>
      <w:r w:rsidRPr="00FE0A9B">
        <w:t>. Bull. 73, 327-335.</w:t>
      </w:r>
      <w:r w:rsidR="000F0191">
        <w:t xml:space="preserve"> </w:t>
      </w:r>
      <w:proofErr w:type="gramStart"/>
      <w:r w:rsidR="000F0191">
        <w:t>doi:</w:t>
      </w:r>
      <w:r w:rsidR="000F0191" w:rsidRPr="000F0191">
        <w:t>10.1016/j.marpolbul</w:t>
      </w:r>
      <w:proofErr w:type="gramEnd"/>
      <w:r w:rsidR="000F0191" w:rsidRPr="000F0191">
        <w:t>.2013.04.012</w:t>
      </w:r>
    </w:p>
    <w:p w14:paraId="3A812E0D" w14:textId="77777777" w:rsidR="00056471" w:rsidRDefault="00056471" w:rsidP="000F0191">
      <w:pPr>
        <w:pStyle w:val="Bibliografa"/>
        <w:spacing w:after="240"/>
        <w:ind w:left="709"/>
      </w:pPr>
    </w:p>
    <w:p w14:paraId="60ED44BA" w14:textId="41300F4E" w:rsidR="00056471" w:rsidRDefault="00056471" w:rsidP="000F0191">
      <w:pPr>
        <w:pStyle w:val="Bibliografa"/>
        <w:spacing w:after="240"/>
        <w:ind w:left="709"/>
      </w:pPr>
      <w:proofErr w:type="spellStart"/>
      <w:r w:rsidRPr="00056471">
        <w:lastRenderedPageBreak/>
        <w:t>Jouanno</w:t>
      </w:r>
      <w:proofErr w:type="spellEnd"/>
      <w:r w:rsidRPr="00056471">
        <w:t xml:space="preserve">, J., Ochoa, J., </w:t>
      </w:r>
      <w:proofErr w:type="spellStart"/>
      <w:r w:rsidRPr="00056471">
        <w:t>Pallàs-Sanz</w:t>
      </w:r>
      <w:proofErr w:type="spellEnd"/>
      <w:r w:rsidRPr="00056471">
        <w:t xml:space="preserve">, E., </w:t>
      </w:r>
      <w:proofErr w:type="spellStart"/>
      <w:r w:rsidRPr="00056471">
        <w:t>Sheinbaum</w:t>
      </w:r>
      <w:proofErr w:type="spellEnd"/>
      <w:r w:rsidRPr="00056471">
        <w:t xml:space="preserve">, J., Andrade-Canto, F., </w:t>
      </w:r>
      <w:r>
        <w:t xml:space="preserve">Candela, J., and </w:t>
      </w:r>
      <w:proofErr w:type="spellStart"/>
      <w:r>
        <w:t>Molines</w:t>
      </w:r>
      <w:proofErr w:type="spellEnd"/>
      <w:r>
        <w:t>, J. M. (2016).</w:t>
      </w:r>
      <w:r w:rsidRPr="00056471">
        <w:t xml:space="preserve"> Loop current frontal eddies: Formation along the Campeche Bank and im</w:t>
      </w:r>
      <w:r>
        <w:t>pact of coastally trapped waves.</w:t>
      </w:r>
      <w:r w:rsidRPr="00056471">
        <w:t xml:space="preserve"> J. Phys. Oc</w:t>
      </w:r>
      <w:r>
        <w:t>eanogr. 46, 3339–3363. doi.org:10.1175/JPO-D-16-0052.1</w:t>
      </w:r>
    </w:p>
    <w:p w14:paraId="1C03BA50" w14:textId="2FDD8969" w:rsidR="00F75F7C" w:rsidRDefault="00F75F7C" w:rsidP="000F0191">
      <w:pPr>
        <w:pStyle w:val="Bibliografa"/>
        <w:spacing w:after="240"/>
        <w:ind w:left="709"/>
      </w:pPr>
      <w:proofErr w:type="spellStart"/>
      <w:r>
        <w:t>Kotzakoulakis</w:t>
      </w:r>
      <w:proofErr w:type="spellEnd"/>
      <w:r>
        <w:t>, K., and Simon, C.G. (2021). “Advanced oil spill modeling and simulation techniques,” in Oil spill occurrence, simulation, and behavior (1</w:t>
      </w:r>
      <w:r w:rsidRPr="00FB7939">
        <w:rPr>
          <w:vertAlign w:val="superscript"/>
        </w:rPr>
        <w:t>st</w:t>
      </w:r>
      <w:r>
        <w:t xml:space="preserve"> ed.), ed. </w:t>
      </w:r>
      <w:proofErr w:type="spellStart"/>
      <w:r>
        <w:t>Riazi</w:t>
      </w:r>
      <w:proofErr w:type="spellEnd"/>
      <w:r>
        <w:t>, M.R, CRC Press. doi:</w:t>
      </w:r>
      <w:r w:rsidRPr="00FB7939">
        <w:t>10.1201/9780429432156</w:t>
      </w:r>
      <w:r>
        <w:t xml:space="preserve"> </w:t>
      </w:r>
    </w:p>
    <w:p w14:paraId="560F5798" w14:textId="716414D8" w:rsidR="00F75F7C" w:rsidRPr="00FE0A9B" w:rsidRDefault="00F75F7C" w:rsidP="000F0191">
      <w:pPr>
        <w:pStyle w:val="Bibliografa"/>
        <w:spacing w:after="240"/>
        <w:ind w:left="709"/>
      </w:pPr>
      <w:r w:rsidRPr="001922E0">
        <w:t xml:space="preserve">Pérez-Brunius, P., </w:t>
      </w:r>
      <w:proofErr w:type="spellStart"/>
      <w:r w:rsidRPr="001922E0">
        <w:t>Beron</w:t>
      </w:r>
      <w:proofErr w:type="spellEnd"/>
      <w:r w:rsidRPr="001922E0">
        <w:t xml:space="preserve">-Vera, F.J., </w:t>
      </w:r>
      <w:proofErr w:type="spellStart"/>
      <w:r w:rsidRPr="001922E0">
        <w:t>Kotzakoulakis</w:t>
      </w:r>
      <w:proofErr w:type="spellEnd"/>
      <w:r w:rsidRPr="001922E0">
        <w:t xml:space="preserve">, K., Lara-Hernández, J.A., </w:t>
      </w:r>
      <w:proofErr w:type="spellStart"/>
      <w:r w:rsidRPr="001922E0">
        <w:t>Miron</w:t>
      </w:r>
      <w:proofErr w:type="spellEnd"/>
      <w:r w:rsidRPr="001922E0">
        <w:t xml:space="preserve">, P., </w:t>
      </w:r>
      <w:proofErr w:type="spellStart"/>
      <w:r w:rsidRPr="001922E0">
        <w:t>Olascoaga</w:t>
      </w:r>
      <w:proofErr w:type="spellEnd"/>
      <w:r w:rsidRPr="001922E0">
        <w:t xml:space="preserve">, M.J. </w:t>
      </w:r>
      <w:r w:rsidR="00C10614" w:rsidRPr="00C10614">
        <w:t>Zavala-Romero, O., Rodríguez-</w:t>
      </w:r>
      <w:proofErr w:type="spellStart"/>
      <w:r w:rsidR="00C10614" w:rsidRPr="00C10614">
        <w:t>Outerelo</w:t>
      </w:r>
      <w:proofErr w:type="spellEnd"/>
      <w:r w:rsidR="00C10614" w:rsidRPr="00C10614">
        <w:t xml:space="preserve">, J., </w:t>
      </w:r>
      <w:proofErr w:type="spellStart"/>
      <w:r w:rsidR="00C10614" w:rsidRPr="00C10614">
        <w:t>García</w:t>
      </w:r>
      <w:proofErr w:type="spellEnd"/>
      <w:r w:rsidR="00C10614" w:rsidRPr="00C10614">
        <w:t xml:space="preserve">-Carrillo, P., Medrano, F., Zavala-Hidalgo, J., and </w:t>
      </w:r>
      <w:proofErr w:type="spellStart"/>
      <w:r w:rsidR="00C10614" w:rsidRPr="00C10614">
        <w:t>Sheinbaum</w:t>
      </w:r>
      <w:proofErr w:type="spellEnd"/>
      <w:r w:rsidR="00C10614" w:rsidRPr="00C10614">
        <w:t xml:space="preserve">, J. </w:t>
      </w:r>
      <w:r w:rsidRPr="00C10614">
        <w:rPr>
          <w:rFonts w:cs="Times New Roman"/>
        </w:rPr>
        <w:t xml:space="preserve">(2020). </w:t>
      </w:r>
      <w:r>
        <w:rPr>
          <w:rFonts w:cs="Times New Roman"/>
          <w:lang w:val="es-MX"/>
        </w:rPr>
        <w:t>“Regiones posiblemente afectadas bajo e</w:t>
      </w:r>
      <w:r w:rsidRPr="003E2075">
        <w:rPr>
          <w:rFonts w:cs="Times New Roman"/>
          <w:lang w:val="es-MX"/>
        </w:rPr>
        <w:t>s</w:t>
      </w:r>
      <w:r>
        <w:rPr>
          <w:rFonts w:cs="Times New Roman"/>
          <w:lang w:val="es-MX"/>
        </w:rPr>
        <w:t>cenarios de derrames de petróleo en las aguas profundas del Golfo de México,” i</w:t>
      </w:r>
      <w:r w:rsidRPr="003E2075">
        <w:rPr>
          <w:rFonts w:cs="Times New Roman"/>
          <w:lang w:val="es-MX"/>
        </w:rPr>
        <w:t xml:space="preserve">n </w:t>
      </w:r>
      <w:r w:rsidRPr="00947959">
        <w:rPr>
          <w:rFonts w:cs="Times New Roman"/>
          <w:iCs/>
          <w:lang w:val="es-MX"/>
        </w:rPr>
        <w:t xml:space="preserve">Escenarios Oceánicos y Atmosféricos de </w:t>
      </w:r>
      <w:r>
        <w:rPr>
          <w:rFonts w:cs="Times New Roman"/>
          <w:iCs/>
          <w:lang w:val="es-MX"/>
        </w:rPr>
        <w:t>u</w:t>
      </w:r>
      <w:r w:rsidRPr="00947959">
        <w:rPr>
          <w:rFonts w:cs="Times New Roman"/>
          <w:iCs/>
          <w:lang w:val="es-MX"/>
        </w:rPr>
        <w:t xml:space="preserve">n Derrame de Petróleo </w:t>
      </w:r>
      <w:r>
        <w:rPr>
          <w:rFonts w:cs="Times New Roman"/>
          <w:iCs/>
          <w:lang w:val="es-MX"/>
        </w:rPr>
        <w:t>e</w:t>
      </w:r>
      <w:r w:rsidRPr="00947959">
        <w:rPr>
          <w:rFonts w:cs="Times New Roman"/>
          <w:iCs/>
          <w:lang w:val="es-MX"/>
        </w:rPr>
        <w:t xml:space="preserve">n Aguas Profundas </w:t>
      </w:r>
      <w:r>
        <w:rPr>
          <w:rFonts w:cs="Times New Roman"/>
          <w:iCs/>
          <w:lang w:val="es-MX"/>
        </w:rPr>
        <w:t>d</w:t>
      </w:r>
      <w:r w:rsidRPr="00947959">
        <w:rPr>
          <w:rFonts w:cs="Times New Roman"/>
          <w:iCs/>
          <w:lang w:val="es-MX"/>
        </w:rPr>
        <w:t>el Golfo de México</w:t>
      </w:r>
      <w:r>
        <w:rPr>
          <w:rFonts w:cs="Times New Roman"/>
          <w:lang w:val="es-MX"/>
        </w:rPr>
        <w:t xml:space="preserve">, ed. </w:t>
      </w:r>
      <w:r w:rsidRPr="00947959">
        <w:rPr>
          <w:rFonts w:cs="Times New Roman"/>
          <w:lang w:val="es-MX"/>
        </w:rPr>
        <w:t xml:space="preserve">P. Pérez-Brunius, C. </w:t>
      </w:r>
      <w:proofErr w:type="spellStart"/>
      <w:r w:rsidRPr="00947959">
        <w:rPr>
          <w:rFonts w:cs="Times New Roman"/>
          <w:lang w:val="es-MX"/>
        </w:rPr>
        <w:t>Turrent</w:t>
      </w:r>
      <w:proofErr w:type="spellEnd"/>
      <w:r w:rsidRPr="00947959">
        <w:rPr>
          <w:rFonts w:cs="Times New Roman"/>
          <w:lang w:val="es-MX"/>
        </w:rPr>
        <w:t xml:space="preserve">-Thompson, and P. </w:t>
      </w:r>
      <w:r w:rsidRPr="00350086">
        <w:rPr>
          <w:rFonts w:cs="Times New Roman"/>
          <w:lang w:val="es-MX"/>
        </w:rPr>
        <w:t xml:space="preserve">García-Carrillo, (Ensenada, Baja California: CICESE), 15–23. </w:t>
      </w:r>
      <w:r w:rsidRPr="004D0A9A">
        <w:rPr>
          <w:rFonts w:cs="Times New Roman"/>
          <w:lang w:val="es-MX"/>
        </w:rPr>
        <w:t xml:space="preserve"> </w:t>
      </w:r>
      <w:r w:rsidRPr="00FE0A9B">
        <w:t xml:space="preserve">[Free available at </w:t>
      </w:r>
      <w:hyperlink r:id="rId14" w:history="1">
        <w:r w:rsidRPr="00FE0A9B">
          <w:rPr>
            <w:rStyle w:val="Hipervnculo"/>
            <w:color w:val="auto"/>
            <w:u w:val="none"/>
          </w:rPr>
          <w:t>https://escenarios.cigom.org</w:t>
        </w:r>
      </w:hyperlink>
      <w:r w:rsidRPr="00FE0A9B">
        <w:rPr>
          <w:rStyle w:val="Hipervnculo"/>
          <w:color w:val="auto"/>
          <w:u w:val="none"/>
        </w:rPr>
        <w:t>]</w:t>
      </w:r>
    </w:p>
    <w:p w14:paraId="25A03577" w14:textId="7A106E0B" w:rsidR="00F75F7C" w:rsidRDefault="00F75F7C" w:rsidP="000F0191">
      <w:pPr>
        <w:spacing w:after="240"/>
        <w:ind w:left="720" w:hanging="720"/>
        <w:jc w:val="both"/>
      </w:pPr>
      <w:proofErr w:type="spellStart"/>
      <w:r w:rsidRPr="00B83226">
        <w:t>Röhrs</w:t>
      </w:r>
      <w:proofErr w:type="spellEnd"/>
      <w:r w:rsidRPr="00B83226">
        <w:t>, J.,</w:t>
      </w:r>
      <w:proofErr w:type="spellStart"/>
      <w:r w:rsidRPr="00B83226">
        <w:t xml:space="preserve"> Dagestad</w:t>
      </w:r>
      <w:proofErr w:type="spellEnd"/>
      <w:r w:rsidRPr="00B83226">
        <w:t xml:space="preserve">, K.-F., </w:t>
      </w:r>
      <w:proofErr w:type="spellStart"/>
      <w:r w:rsidRPr="00B83226">
        <w:t>Asbjørnsen</w:t>
      </w:r>
      <w:proofErr w:type="spellEnd"/>
      <w:r w:rsidRPr="00B83226">
        <w:t xml:space="preserve">, H., </w:t>
      </w:r>
      <w:proofErr w:type="spellStart"/>
      <w:r w:rsidRPr="00B83226">
        <w:t>Nordam</w:t>
      </w:r>
      <w:proofErr w:type="spellEnd"/>
      <w:r w:rsidRPr="00B83226">
        <w:t xml:space="preserve">, T., </w:t>
      </w:r>
      <w:proofErr w:type="spellStart"/>
      <w:r w:rsidRPr="00B83226">
        <w:t>Skancke</w:t>
      </w:r>
      <w:proofErr w:type="spellEnd"/>
      <w:r w:rsidRPr="00B83226">
        <w:t xml:space="preserve">, J., Jones, C.E., and </w:t>
      </w:r>
      <w:proofErr w:type="spellStart"/>
      <w:r w:rsidRPr="00B83226">
        <w:t>Brekke</w:t>
      </w:r>
      <w:proofErr w:type="spellEnd"/>
      <w:r w:rsidRPr="00B83226">
        <w:t>, C.</w:t>
      </w:r>
      <w:r>
        <w:t xml:space="preserve"> (2018).</w:t>
      </w:r>
      <w:r w:rsidRPr="00B83226">
        <w:t xml:space="preserve"> The effect of vertical mixing on the horizontal drift of oil spills, </w:t>
      </w:r>
      <w:r w:rsidRPr="005435AD">
        <w:rPr>
          <w:i/>
        </w:rPr>
        <w:t>Ocean Sci.</w:t>
      </w:r>
      <w:r>
        <w:t xml:space="preserve">, 14, 1581-1601. </w:t>
      </w:r>
      <w:r w:rsidRPr="00B83226">
        <w:t>doi.org/10.5194/os</w:t>
      </w:r>
      <w:r w:rsidR="00056471">
        <w:t>-14-1581-2018</w:t>
      </w:r>
    </w:p>
    <w:p w14:paraId="0E2FE881" w14:textId="0F4A93BC" w:rsidR="00F75F7C" w:rsidRPr="002D7FE5" w:rsidRDefault="00F75F7C" w:rsidP="000F0191">
      <w:pPr>
        <w:pStyle w:val="Bibliografa"/>
        <w:spacing w:after="240"/>
        <w:ind w:left="709"/>
        <w:rPr>
          <w:rFonts w:cs="Times New Roman"/>
        </w:rPr>
      </w:pPr>
      <w:proofErr w:type="spellStart"/>
      <w:r w:rsidRPr="00056471">
        <w:rPr>
          <w:rFonts w:cs="Times New Roman"/>
        </w:rPr>
        <w:t>Romo-Curiel</w:t>
      </w:r>
      <w:proofErr w:type="spellEnd"/>
      <w:r w:rsidRPr="00056471">
        <w:rPr>
          <w:rFonts w:cs="Times New Roman"/>
        </w:rPr>
        <w:t xml:space="preserve">, A.E., Ramírez-Mendoza, Z., Fajardo-Yamamoto, A., Ramírez-León, M.R., </w:t>
      </w:r>
      <w:proofErr w:type="spellStart"/>
      <w:r w:rsidRPr="00056471">
        <w:rPr>
          <w:rFonts w:cs="Times New Roman"/>
        </w:rPr>
        <w:t>Gar</w:t>
      </w:r>
      <w:r w:rsidR="00056471" w:rsidRPr="00056471">
        <w:rPr>
          <w:rFonts w:cs="Times New Roman"/>
        </w:rPr>
        <w:t>cía</w:t>
      </w:r>
      <w:proofErr w:type="spellEnd"/>
      <w:r w:rsidR="00056471" w:rsidRPr="00056471">
        <w:rPr>
          <w:rFonts w:cs="Times New Roman"/>
        </w:rPr>
        <w:t xml:space="preserve">-Aguilar, M.C., </w:t>
      </w:r>
      <w:proofErr w:type="spellStart"/>
      <w:r w:rsidR="00056471" w:rsidRPr="00056471">
        <w:rPr>
          <w:rFonts w:cs="Times New Roman"/>
        </w:rPr>
        <w:t>Herzka</w:t>
      </w:r>
      <w:proofErr w:type="spellEnd"/>
      <w:r w:rsidR="00056471" w:rsidRPr="00056471">
        <w:rPr>
          <w:rFonts w:cs="Times New Roman"/>
        </w:rPr>
        <w:t xml:space="preserve">, S.Z., Pérez-Brunius, P., </w:t>
      </w:r>
      <w:proofErr w:type="spellStart"/>
      <w:r w:rsidR="00056471" w:rsidRPr="00056471">
        <w:rPr>
          <w:rFonts w:cs="Times New Roman"/>
        </w:rPr>
        <w:t>Saldaña</w:t>
      </w:r>
      <w:proofErr w:type="spellEnd"/>
      <w:r w:rsidR="00056471" w:rsidRPr="00056471">
        <w:rPr>
          <w:rFonts w:cs="Times New Roman"/>
        </w:rPr>
        <w:t xml:space="preserve">-Ruiz, L.E., </w:t>
      </w:r>
      <w:proofErr w:type="spellStart"/>
      <w:r w:rsidR="00056471" w:rsidRPr="00056471">
        <w:rPr>
          <w:rFonts w:cs="Times New Roman"/>
        </w:rPr>
        <w:t>Sheinbaum</w:t>
      </w:r>
      <w:proofErr w:type="spellEnd"/>
      <w:r w:rsidR="00056471" w:rsidRPr="00056471">
        <w:rPr>
          <w:rFonts w:cs="Times New Roman"/>
        </w:rPr>
        <w:t xml:space="preserve">, J., </w:t>
      </w:r>
      <w:proofErr w:type="spellStart"/>
      <w:r w:rsidR="00056471" w:rsidRPr="00056471">
        <w:rPr>
          <w:rFonts w:cs="Times New Roman"/>
        </w:rPr>
        <w:t>Kotzakoulakis</w:t>
      </w:r>
      <w:proofErr w:type="spellEnd"/>
      <w:r w:rsidR="00056471" w:rsidRPr="00056471">
        <w:rPr>
          <w:rFonts w:cs="Times New Roman"/>
        </w:rPr>
        <w:t>, K., Rodríguez-</w:t>
      </w:r>
      <w:proofErr w:type="spellStart"/>
      <w:r w:rsidR="00056471" w:rsidRPr="00056471">
        <w:rPr>
          <w:rFonts w:cs="Times New Roman"/>
        </w:rPr>
        <w:t>Outerelo</w:t>
      </w:r>
      <w:proofErr w:type="spellEnd"/>
      <w:r w:rsidR="00056471" w:rsidRPr="00056471">
        <w:rPr>
          <w:rFonts w:cs="Times New Roman"/>
        </w:rPr>
        <w:t xml:space="preserve">, J., P., Medrano, </w:t>
      </w:r>
      <w:r w:rsidR="00056471">
        <w:rPr>
          <w:rFonts w:cs="Times New Roman"/>
        </w:rPr>
        <w:t xml:space="preserve">and </w:t>
      </w:r>
      <w:r w:rsidR="00056471" w:rsidRPr="00056471">
        <w:rPr>
          <w:rFonts w:cs="Times New Roman"/>
        </w:rPr>
        <w:t>Sosa-Nishizaki, O.</w:t>
      </w:r>
      <w:r w:rsidR="00056471">
        <w:rPr>
          <w:rFonts w:cs="Times New Roman"/>
        </w:rPr>
        <w:t xml:space="preserve"> </w:t>
      </w:r>
      <w:r w:rsidRPr="00056471">
        <w:rPr>
          <w:rFonts w:cs="Times New Roman"/>
        </w:rPr>
        <w:t xml:space="preserve">(2022). </w:t>
      </w:r>
      <w:r w:rsidRPr="002D7FE5">
        <w:rPr>
          <w:rFonts w:cs="Times New Roman"/>
        </w:rPr>
        <w:t xml:space="preserve">Assessing the exposure risk of large pelagic fish to oil </w:t>
      </w:r>
      <w:r>
        <w:rPr>
          <w:rFonts w:cs="Times New Roman"/>
        </w:rPr>
        <w:t>spill</w:t>
      </w:r>
      <w:r w:rsidRPr="002D7FE5">
        <w:rPr>
          <w:rFonts w:cs="Times New Roman"/>
        </w:rPr>
        <w:t xml:space="preserve"> scenarios in the deep waters of the Gulf of Mexico. </w:t>
      </w:r>
      <w:r w:rsidRPr="002D7FE5">
        <w:rPr>
          <w:rFonts w:cs="Times New Roman"/>
          <w:iCs/>
        </w:rPr>
        <w:t xml:space="preserve">Mar. </w:t>
      </w:r>
      <w:proofErr w:type="spellStart"/>
      <w:r w:rsidRPr="002D7FE5">
        <w:rPr>
          <w:rFonts w:cs="Times New Roman"/>
          <w:iCs/>
        </w:rPr>
        <w:t>Pollut</w:t>
      </w:r>
      <w:proofErr w:type="spellEnd"/>
      <w:r w:rsidRPr="002D7FE5">
        <w:rPr>
          <w:rFonts w:cs="Times New Roman"/>
          <w:iCs/>
        </w:rPr>
        <w:t>. Bull.</w:t>
      </w:r>
      <w:r w:rsidRPr="002D7FE5">
        <w:rPr>
          <w:rFonts w:cs="Times New Roman"/>
        </w:rPr>
        <w:t xml:space="preserve"> 176, 113434. </w:t>
      </w:r>
      <w:proofErr w:type="gramStart"/>
      <w:r w:rsidRPr="002D7FE5">
        <w:rPr>
          <w:rFonts w:cs="Times New Roman"/>
        </w:rPr>
        <w:t>doi:10.1016/j.marpolbul</w:t>
      </w:r>
      <w:proofErr w:type="gramEnd"/>
      <w:r w:rsidRPr="002D7FE5">
        <w:rPr>
          <w:rFonts w:cs="Times New Roman"/>
        </w:rPr>
        <w:t>.2022.113434</w:t>
      </w:r>
    </w:p>
    <w:p w14:paraId="5EF76145" w14:textId="77777777" w:rsidR="00F75F7C" w:rsidRDefault="00F75F7C" w:rsidP="000F0191">
      <w:pPr>
        <w:spacing w:after="240"/>
        <w:ind w:left="720" w:hanging="720"/>
        <w:jc w:val="both"/>
      </w:pPr>
      <w:proofErr w:type="spellStart"/>
      <w:r w:rsidRPr="00B83226">
        <w:t>Socolofsky</w:t>
      </w:r>
      <w:proofErr w:type="spellEnd"/>
      <w:r w:rsidRPr="00B83226">
        <w:t xml:space="preserve">, S.A., </w:t>
      </w:r>
      <w:proofErr w:type="spellStart"/>
      <w:r w:rsidRPr="00B83226">
        <w:t>Dissanayake</w:t>
      </w:r>
      <w:proofErr w:type="spellEnd"/>
      <w:r w:rsidRPr="00B83226">
        <w:t xml:space="preserve">, A.L., Jun, I., </w:t>
      </w:r>
      <w:proofErr w:type="spellStart"/>
      <w:r w:rsidRPr="00B83226">
        <w:t>Gros</w:t>
      </w:r>
      <w:proofErr w:type="spellEnd"/>
      <w:r w:rsidRPr="00B83226">
        <w:t>,</w:t>
      </w:r>
      <w:r>
        <w:t xml:space="preserve"> J., </w:t>
      </w:r>
      <w:proofErr w:type="spellStart"/>
      <w:r>
        <w:t>Arey</w:t>
      </w:r>
      <w:proofErr w:type="spellEnd"/>
      <w:r>
        <w:t>, J.S. and Reddy, C.M.</w:t>
      </w:r>
      <w:r w:rsidRPr="00B83226">
        <w:t xml:space="preserve"> </w:t>
      </w:r>
      <w:r>
        <w:t>(2015)</w:t>
      </w:r>
      <w:r w:rsidRPr="00B83226">
        <w:t xml:space="preserve">. Texas A&amp;M oil-spill Calculator (TAMOC): modelling suite for subsea spills. In </w:t>
      </w:r>
      <w:r w:rsidRPr="005435AD">
        <w:rPr>
          <w:i/>
        </w:rPr>
        <w:t>Proceed</w:t>
      </w:r>
      <w:r>
        <w:rPr>
          <w:i/>
        </w:rPr>
        <w:t xml:space="preserve">ings of the Thirty-Eighth AMOP </w:t>
      </w:r>
      <w:r w:rsidRPr="005435AD">
        <w:rPr>
          <w:i/>
        </w:rPr>
        <w:t>Technical Seminar</w:t>
      </w:r>
      <w:r w:rsidRPr="00B83226">
        <w:t xml:space="preserve"> (pp. 153-168). </w:t>
      </w:r>
      <w:r w:rsidRPr="00E5150E">
        <w:t>Environment Canada Ottawa.</w:t>
      </w:r>
    </w:p>
    <w:p w14:paraId="726778F1" w14:textId="6EB41743" w:rsidR="00C15F5D" w:rsidRPr="00C7607D" w:rsidRDefault="00C15F5D" w:rsidP="00C10614">
      <w:pPr>
        <w:spacing w:after="200" w:line="276" w:lineRule="auto"/>
      </w:pPr>
    </w:p>
    <w:p w14:paraId="7F0534AA" w14:textId="77777777" w:rsidR="00942370" w:rsidRPr="00F31890" w:rsidRDefault="00942370" w:rsidP="00F31890">
      <w:pPr>
        <w:rPr>
          <w:rFonts w:ascii="Helvetica" w:eastAsia="Times New Roman" w:hAnsi="Helvetica"/>
          <w:color w:val="1C1D1E"/>
        </w:rPr>
      </w:pPr>
    </w:p>
    <w:sectPr w:rsidR="00942370" w:rsidRPr="00F31890" w:rsidSect="0093429D">
      <w:headerReference w:type="even" r:id="rId15"/>
      <w:headerReference w:type="default"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E793" w14:textId="77777777" w:rsidR="00152533" w:rsidRDefault="00152533" w:rsidP="00117666">
      <w:r>
        <w:separator/>
      </w:r>
    </w:p>
  </w:endnote>
  <w:endnote w:type="continuationSeparator" w:id="0">
    <w:p w14:paraId="07D01390" w14:textId="77777777" w:rsidR="00152533" w:rsidRDefault="00152533" w:rsidP="00117666">
      <w:r>
        <w:continuationSeparator/>
      </w:r>
    </w:p>
  </w:endnote>
  <w:endnote w:type="continuationNotice" w:id="1">
    <w:p w14:paraId="789D836D" w14:textId="77777777" w:rsidR="00152533" w:rsidRDefault="00152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265C86" w:rsidRPr="00577C4C" w:rsidRDefault="00C52A7B">
    <w:pPr>
      <w:rPr>
        <w:color w:val="C00000"/>
      </w:rPr>
    </w:pPr>
    <w:r>
      <w:rPr>
        <w:noProof/>
        <w:lang w:val="es-MX" w:eastAsia="es-MX"/>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273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273050"/>
                      </a:xfrm>
                      <a:prstGeom prst="rect">
                        <a:avLst/>
                      </a:prstGeom>
                      <a:noFill/>
                      <a:ln w="6350">
                        <a:noFill/>
                      </a:ln>
                      <a:effectLst/>
                    </wps:spPr>
                    <wps:txbx>
                      <w:txbxContent>
                        <w:p w14:paraId="50BC4D33" w14:textId="02690B6E" w:rsidR="00265C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40E6">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2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" filled="f" stroked="f" strokeweight=".5pt">
              <v:textbox style="mso-fit-shape-to-text:t">
                <w:txbxContent>
                  <w:p w14:paraId="50BC4D33" w14:textId="02690B6E" w:rsidR="00265C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40E6">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0C7B34B5" w:rsidR="00265C86" w:rsidRPr="00577C4C" w:rsidRDefault="00C52A7B">
    <w:pPr>
      <w:rPr>
        <w:b/>
        <w:sz w:val="20"/>
      </w:rPr>
    </w:pPr>
    <w:r>
      <w:rPr>
        <w:noProof/>
        <w:lang w:val="es-MX" w:eastAsia="es-MX"/>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2730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273050"/>
                      </a:xfrm>
                      <a:prstGeom prst="rect">
                        <a:avLst/>
                      </a:prstGeom>
                      <a:noFill/>
                      <a:ln w="6350">
                        <a:noFill/>
                      </a:ln>
                      <a:effectLst/>
                    </wps:spPr>
                    <wps:txbx>
                      <w:txbxContent>
                        <w:p w14:paraId="570F0D09" w14:textId="3CEE7C9D" w:rsidR="00265C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0614">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2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" filled="f" stroked="f" strokeweight=".5pt">
              <v:textbox style="mso-fit-shape-to-text:t">
                <w:txbxContent>
                  <w:p w14:paraId="570F0D09" w14:textId="3CEE7C9D" w:rsidR="00265C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10614">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AAC4A" w14:textId="77777777" w:rsidR="00152533" w:rsidRDefault="00152533" w:rsidP="00117666">
      <w:r>
        <w:separator/>
      </w:r>
    </w:p>
  </w:footnote>
  <w:footnote w:type="continuationSeparator" w:id="0">
    <w:p w14:paraId="50BBFAC7" w14:textId="77777777" w:rsidR="00152533" w:rsidRDefault="00152533" w:rsidP="00117666">
      <w:r>
        <w:continuationSeparator/>
      </w:r>
    </w:p>
  </w:footnote>
  <w:footnote w:type="continuationNotice" w:id="1">
    <w:p w14:paraId="0254983B" w14:textId="77777777" w:rsidR="00152533" w:rsidRDefault="001525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33BA8F9F" w:rsidR="00265C86" w:rsidRPr="009151AA" w:rsidRDefault="00C52A7B">
    <w:r w:rsidRPr="009151AA">
      <w:ptab w:relativeTo="margin" w:alignment="center" w:leader="none"/>
    </w:r>
    <w:r w:rsidRPr="009151AA">
      <w:ptab w:relativeTo="margin" w:alignment="right" w:leader="none"/>
    </w:r>
    <w:r w:rsidR="001549D3" w:rsidRPr="009151AA">
      <w:t>Supplementary Material</w:t>
    </w:r>
    <w:r w:rsidR="00C10614">
      <w:t xml:space="preserve"> S2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1659" w14:textId="4E708DFC" w:rsidR="006C1C6B" w:rsidRDefault="00C10614" w:rsidP="00C10614">
    <w:pPr>
      <w:jc w:val="right"/>
    </w:pPr>
    <w:r w:rsidRPr="009151AA">
      <w:t>Supplementary Material</w:t>
    </w:r>
    <w:r>
      <w:t xml:space="preserve"> S2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265C86" w:rsidRDefault="0093429D" w:rsidP="0093429D">
    <w:r w:rsidRPr="005A1D84">
      <w:rPr>
        <w:b/>
        <w:noProof/>
        <w:color w:val="A6A6A6" w:themeColor="background1" w:themeShade="A6"/>
        <w:lang w:val="es-MX" w:eastAsia="es-MX"/>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04133"/>
    <w:rsid w:val="00006186"/>
    <w:rsid w:val="0001436A"/>
    <w:rsid w:val="00034304"/>
    <w:rsid w:val="00035434"/>
    <w:rsid w:val="000445FF"/>
    <w:rsid w:val="0004580C"/>
    <w:rsid w:val="00052A14"/>
    <w:rsid w:val="00056471"/>
    <w:rsid w:val="000641C3"/>
    <w:rsid w:val="00074BDD"/>
    <w:rsid w:val="00075573"/>
    <w:rsid w:val="00077D53"/>
    <w:rsid w:val="000970AF"/>
    <w:rsid w:val="000D153A"/>
    <w:rsid w:val="000E42D4"/>
    <w:rsid w:val="000F0191"/>
    <w:rsid w:val="000F1FDA"/>
    <w:rsid w:val="000F6536"/>
    <w:rsid w:val="00105FD9"/>
    <w:rsid w:val="00116917"/>
    <w:rsid w:val="00117666"/>
    <w:rsid w:val="00117761"/>
    <w:rsid w:val="00152533"/>
    <w:rsid w:val="001549D3"/>
    <w:rsid w:val="00160065"/>
    <w:rsid w:val="00167193"/>
    <w:rsid w:val="00172EFC"/>
    <w:rsid w:val="00175DE2"/>
    <w:rsid w:val="00177D84"/>
    <w:rsid w:val="00196A4F"/>
    <w:rsid w:val="001A4FCA"/>
    <w:rsid w:val="001A5663"/>
    <w:rsid w:val="001A7568"/>
    <w:rsid w:val="001B5AA0"/>
    <w:rsid w:val="002365B1"/>
    <w:rsid w:val="00256183"/>
    <w:rsid w:val="002611F5"/>
    <w:rsid w:val="002619EC"/>
    <w:rsid w:val="00265C86"/>
    <w:rsid w:val="00267D18"/>
    <w:rsid w:val="00274347"/>
    <w:rsid w:val="002868E2"/>
    <w:rsid w:val="002869C3"/>
    <w:rsid w:val="00292072"/>
    <w:rsid w:val="002936E4"/>
    <w:rsid w:val="002A2FE3"/>
    <w:rsid w:val="002B4A57"/>
    <w:rsid w:val="002C74CA"/>
    <w:rsid w:val="002C7E92"/>
    <w:rsid w:val="002D7FE5"/>
    <w:rsid w:val="00310AA9"/>
    <w:rsid w:val="003123F4"/>
    <w:rsid w:val="003278C8"/>
    <w:rsid w:val="00336049"/>
    <w:rsid w:val="00345D7B"/>
    <w:rsid w:val="00350086"/>
    <w:rsid w:val="003544FB"/>
    <w:rsid w:val="00357817"/>
    <w:rsid w:val="00364DFF"/>
    <w:rsid w:val="00366E61"/>
    <w:rsid w:val="00382400"/>
    <w:rsid w:val="003D2F2D"/>
    <w:rsid w:val="00401590"/>
    <w:rsid w:val="00416B5A"/>
    <w:rsid w:val="00424E63"/>
    <w:rsid w:val="00431042"/>
    <w:rsid w:val="00437997"/>
    <w:rsid w:val="00447801"/>
    <w:rsid w:val="0045170C"/>
    <w:rsid w:val="00452E9C"/>
    <w:rsid w:val="004551A8"/>
    <w:rsid w:val="004735C8"/>
    <w:rsid w:val="004902B4"/>
    <w:rsid w:val="004943FB"/>
    <w:rsid w:val="004947A6"/>
    <w:rsid w:val="004961FF"/>
    <w:rsid w:val="004A0480"/>
    <w:rsid w:val="004A6805"/>
    <w:rsid w:val="004A708D"/>
    <w:rsid w:val="004C1F97"/>
    <w:rsid w:val="004C74FA"/>
    <w:rsid w:val="004D0A9A"/>
    <w:rsid w:val="004D6405"/>
    <w:rsid w:val="004D73C5"/>
    <w:rsid w:val="0050075F"/>
    <w:rsid w:val="00504D50"/>
    <w:rsid w:val="00517A89"/>
    <w:rsid w:val="005250F2"/>
    <w:rsid w:val="00540509"/>
    <w:rsid w:val="00541DF6"/>
    <w:rsid w:val="00564C92"/>
    <w:rsid w:val="00566809"/>
    <w:rsid w:val="00584E6D"/>
    <w:rsid w:val="005901FA"/>
    <w:rsid w:val="00593EEA"/>
    <w:rsid w:val="005A5EEE"/>
    <w:rsid w:val="005C1A71"/>
    <w:rsid w:val="006375C7"/>
    <w:rsid w:val="00654E8F"/>
    <w:rsid w:val="00660D05"/>
    <w:rsid w:val="006627ED"/>
    <w:rsid w:val="006663B4"/>
    <w:rsid w:val="00671D60"/>
    <w:rsid w:val="00674739"/>
    <w:rsid w:val="006820B1"/>
    <w:rsid w:val="006A40E6"/>
    <w:rsid w:val="006B2C2C"/>
    <w:rsid w:val="006B4622"/>
    <w:rsid w:val="006B7D14"/>
    <w:rsid w:val="006C1C6B"/>
    <w:rsid w:val="006E2A7C"/>
    <w:rsid w:val="006E5F73"/>
    <w:rsid w:val="00701727"/>
    <w:rsid w:val="0070566C"/>
    <w:rsid w:val="00714C50"/>
    <w:rsid w:val="00725A7D"/>
    <w:rsid w:val="00727F8A"/>
    <w:rsid w:val="00743954"/>
    <w:rsid w:val="007449F7"/>
    <w:rsid w:val="007501BE"/>
    <w:rsid w:val="00762260"/>
    <w:rsid w:val="007627BA"/>
    <w:rsid w:val="007773E9"/>
    <w:rsid w:val="00790BB3"/>
    <w:rsid w:val="007916AC"/>
    <w:rsid w:val="00796B15"/>
    <w:rsid w:val="007A21AE"/>
    <w:rsid w:val="007A5030"/>
    <w:rsid w:val="007A6A59"/>
    <w:rsid w:val="007B4107"/>
    <w:rsid w:val="007C206C"/>
    <w:rsid w:val="00805E86"/>
    <w:rsid w:val="00817DD6"/>
    <w:rsid w:val="00817F9D"/>
    <w:rsid w:val="0083759F"/>
    <w:rsid w:val="00876691"/>
    <w:rsid w:val="00880647"/>
    <w:rsid w:val="00885156"/>
    <w:rsid w:val="00895140"/>
    <w:rsid w:val="008A0318"/>
    <w:rsid w:val="008B224E"/>
    <w:rsid w:val="008C3647"/>
    <w:rsid w:val="008F73F7"/>
    <w:rsid w:val="009137DF"/>
    <w:rsid w:val="009151AA"/>
    <w:rsid w:val="009256CA"/>
    <w:rsid w:val="0093429D"/>
    <w:rsid w:val="00942370"/>
    <w:rsid w:val="00943573"/>
    <w:rsid w:val="00964134"/>
    <w:rsid w:val="00965C11"/>
    <w:rsid w:val="00970F7D"/>
    <w:rsid w:val="00994A3D"/>
    <w:rsid w:val="00995873"/>
    <w:rsid w:val="009C2B12"/>
    <w:rsid w:val="009F679E"/>
    <w:rsid w:val="00A0464C"/>
    <w:rsid w:val="00A06F55"/>
    <w:rsid w:val="00A174D9"/>
    <w:rsid w:val="00A20ED8"/>
    <w:rsid w:val="00A95C7B"/>
    <w:rsid w:val="00AA4D24"/>
    <w:rsid w:val="00AB6715"/>
    <w:rsid w:val="00AB7241"/>
    <w:rsid w:val="00AD7394"/>
    <w:rsid w:val="00AF701C"/>
    <w:rsid w:val="00B1671E"/>
    <w:rsid w:val="00B24B0A"/>
    <w:rsid w:val="00B25EB8"/>
    <w:rsid w:val="00B37F4D"/>
    <w:rsid w:val="00B501AD"/>
    <w:rsid w:val="00B54251"/>
    <w:rsid w:val="00B61F4B"/>
    <w:rsid w:val="00BB4E07"/>
    <w:rsid w:val="00BD0099"/>
    <w:rsid w:val="00C10614"/>
    <w:rsid w:val="00C15F5D"/>
    <w:rsid w:val="00C3256F"/>
    <w:rsid w:val="00C3272E"/>
    <w:rsid w:val="00C52A7B"/>
    <w:rsid w:val="00C56BAF"/>
    <w:rsid w:val="00C679AA"/>
    <w:rsid w:val="00C71912"/>
    <w:rsid w:val="00C75972"/>
    <w:rsid w:val="00C7607D"/>
    <w:rsid w:val="00CA1682"/>
    <w:rsid w:val="00CD066B"/>
    <w:rsid w:val="00CE4FEE"/>
    <w:rsid w:val="00CF5069"/>
    <w:rsid w:val="00D060CF"/>
    <w:rsid w:val="00D25417"/>
    <w:rsid w:val="00D3414A"/>
    <w:rsid w:val="00D61243"/>
    <w:rsid w:val="00DA65B9"/>
    <w:rsid w:val="00DB59C3"/>
    <w:rsid w:val="00DC259A"/>
    <w:rsid w:val="00DD3121"/>
    <w:rsid w:val="00DE23E8"/>
    <w:rsid w:val="00DF720F"/>
    <w:rsid w:val="00E03D1C"/>
    <w:rsid w:val="00E379B5"/>
    <w:rsid w:val="00E44B7A"/>
    <w:rsid w:val="00E52377"/>
    <w:rsid w:val="00E537AD"/>
    <w:rsid w:val="00E64E17"/>
    <w:rsid w:val="00E866C9"/>
    <w:rsid w:val="00E915AB"/>
    <w:rsid w:val="00E94EBE"/>
    <w:rsid w:val="00EA3D3C"/>
    <w:rsid w:val="00EC090A"/>
    <w:rsid w:val="00EC66F8"/>
    <w:rsid w:val="00ED20B5"/>
    <w:rsid w:val="00F01CA9"/>
    <w:rsid w:val="00F20444"/>
    <w:rsid w:val="00F31890"/>
    <w:rsid w:val="00F46900"/>
    <w:rsid w:val="00F61D89"/>
    <w:rsid w:val="00F75F7C"/>
    <w:rsid w:val="00F77C93"/>
    <w:rsid w:val="00F916C0"/>
    <w:rsid w:val="00FB6605"/>
    <w:rsid w:val="00FC040B"/>
    <w:rsid w:val="00FE51E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B15D1D13-E7D5-4FD1-B876-26D2A2BB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44"/>
    <w:pPr>
      <w:spacing w:after="0" w:line="240" w:lineRule="auto"/>
    </w:pPr>
    <w:rPr>
      <w:rFonts w:ascii="Times New Roman" w:hAnsi="Times New Roman" w:cs="Times New Roman"/>
      <w:sz w:val="24"/>
      <w:szCs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after="240"/>
    </w:pPr>
    <w:rPr>
      <w:b/>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before="12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spacing w:before="120" w:after="240"/>
    </w:pPr>
    <w:rPr>
      <w:b/>
      <w:bCs/>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pPr>
      <w:spacing w:before="120" w:after="240"/>
    </w:pPr>
    <w:rPr>
      <w:rFonts w:cstheme="minorBidi"/>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before="120"/>
    </w:pPr>
    <w:rPr>
      <w:rFonts w:cstheme="minorBidi"/>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before="120"/>
    </w:pPr>
    <w:rPr>
      <w:rFonts w:cstheme="minorBidi"/>
      <w:szCs w:val="22"/>
    </w:r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before="120"/>
    </w:pPr>
    <w:rPr>
      <w:rFonts w:cstheme="minorBidi"/>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spacing w:before="120" w:after="240"/>
    </w:pPr>
    <w:rPr>
      <w:rFonts w:cstheme="minorBidi"/>
      <w:b/>
      <w:szCs w:val="22"/>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spacing w:before="120" w:after="240"/>
      <w:contextualSpacing/>
    </w:pPr>
    <w:rPr>
      <w:rFonts w:eastAsia="Cambria"/>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rPr>
  </w:style>
  <w:style w:type="paragraph" w:styleId="Cita">
    <w:name w:val="Quote"/>
    <w:basedOn w:val="Normal"/>
    <w:next w:val="Normal"/>
    <w:link w:val="CitaCar"/>
    <w:uiPriority w:val="29"/>
    <w:qFormat/>
    <w:rsid w:val="00AB6715"/>
    <w:pPr>
      <w:spacing w:before="200" w:after="160"/>
      <w:ind w:left="864" w:right="864"/>
      <w:jc w:val="center"/>
    </w:pPr>
    <w:rPr>
      <w:rFonts w:cstheme="minorBidi"/>
      <w:i/>
      <w:iCs/>
      <w:color w:val="404040" w:themeColor="text1" w:themeTint="BF"/>
      <w:szCs w:val="22"/>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Bibliografa">
    <w:name w:val="Bibliography"/>
    <w:basedOn w:val="Normal"/>
    <w:next w:val="Normal"/>
    <w:uiPriority w:val="37"/>
    <w:unhideWhenUsed/>
    <w:rsid w:val="00942370"/>
    <w:pPr>
      <w:spacing w:before="120"/>
      <w:ind w:left="720" w:hanging="720"/>
    </w:pPr>
    <w:rPr>
      <w:rFonts w:cstheme="minorBidi"/>
      <w:szCs w:val="22"/>
    </w:rPr>
  </w:style>
  <w:style w:type="paragraph" w:styleId="Revisin">
    <w:name w:val="Revision"/>
    <w:hidden/>
    <w:uiPriority w:val="99"/>
    <w:semiHidden/>
    <w:rsid w:val="00C3256F"/>
    <w:pPr>
      <w:spacing w:after="0" w:line="240" w:lineRule="auto"/>
    </w:pPr>
    <w:rPr>
      <w:rFonts w:ascii="Times New Roman" w:hAnsi="Times New Roman"/>
      <w:sz w:val="24"/>
    </w:rPr>
  </w:style>
  <w:style w:type="character" w:customStyle="1" w:styleId="Mencinsinresolver1">
    <w:name w:val="Mención sin resolver1"/>
    <w:basedOn w:val="Fuentedeprrafopredeter"/>
    <w:uiPriority w:val="99"/>
    <w:semiHidden/>
    <w:unhideWhenUsed/>
    <w:rsid w:val="00350086"/>
    <w:rPr>
      <w:color w:val="605E5C"/>
      <w:shd w:val="clear" w:color="auto" w:fill="E1DFDD"/>
    </w:rPr>
  </w:style>
  <w:style w:type="character" w:customStyle="1" w:styleId="Hyperlink0">
    <w:name w:val="Hyperlink.0"/>
    <w:basedOn w:val="Fuentedeprrafopredeter"/>
    <w:qFormat/>
    <w:rsid w:val="00336049"/>
    <w:rPr>
      <w:outline w:val="0"/>
      <w:color w:val="0563C1"/>
      <w:u w:val="single" w:color="0563C1"/>
      <w:lang w:val="en"/>
    </w:rPr>
  </w:style>
  <w:style w:type="character" w:customStyle="1" w:styleId="author">
    <w:name w:val="author"/>
    <w:basedOn w:val="Fuentedeprrafopredeter"/>
    <w:rsid w:val="00D61243"/>
  </w:style>
  <w:style w:type="character" w:customStyle="1" w:styleId="apple-converted-space">
    <w:name w:val="apple-converted-space"/>
    <w:basedOn w:val="Fuentedeprrafopredeter"/>
    <w:rsid w:val="00D61243"/>
  </w:style>
  <w:style w:type="character" w:customStyle="1" w:styleId="pubyear">
    <w:name w:val="pubyear"/>
    <w:basedOn w:val="Fuentedeprrafopredeter"/>
    <w:rsid w:val="00D61243"/>
  </w:style>
  <w:style w:type="character" w:customStyle="1" w:styleId="othertitle">
    <w:name w:val="othertitle"/>
    <w:basedOn w:val="Fuentedeprrafopredeter"/>
    <w:rsid w:val="00D61243"/>
  </w:style>
  <w:style w:type="paragraph" w:customStyle="1" w:styleId="ref">
    <w:name w:val="ref"/>
    <w:basedOn w:val="Normal"/>
    <w:rsid w:val="00F20444"/>
    <w:pPr>
      <w:spacing w:before="100" w:beforeAutospacing="1" w:after="100" w:afterAutospacing="1"/>
    </w:pPr>
  </w:style>
  <w:style w:type="character" w:customStyle="1" w:styleId="mixed-citation">
    <w:name w:val="mixed-citation"/>
    <w:basedOn w:val="Fuentedeprrafopredeter"/>
    <w:rsid w:val="00F20444"/>
  </w:style>
  <w:style w:type="paragraph" w:customStyle="1" w:styleId="citationpreview">
    <w:name w:val="citationpreview"/>
    <w:basedOn w:val="Normal"/>
    <w:rsid w:val="003578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2519">
      <w:bodyDiv w:val="1"/>
      <w:marLeft w:val="0"/>
      <w:marRight w:val="0"/>
      <w:marTop w:val="0"/>
      <w:marBottom w:val="0"/>
      <w:divBdr>
        <w:top w:val="none" w:sz="0" w:space="0" w:color="auto"/>
        <w:left w:val="none" w:sz="0" w:space="0" w:color="auto"/>
        <w:bottom w:val="none" w:sz="0" w:space="0" w:color="auto"/>
        <w:right w:val="none" w:sz="0" w:space="0" w:color="auto"/>
      </w:divBdr>
      <w:divsChild>
        <w:div w:id="1623614000">
          <w:marLeft w:val="0"/>
          <w:marRight w:val="0"/>
          <w:marTop w:val="0"/>
          <w:marBottom w:val="0"/>
          <w:divBdr>
            <w:top w:val="none" w:sz="0" w:space="0" w:color="auto"/>
            <w:left w:val="none" w:sz="0" w:space="0" w:color="auto"/>
            <w:bottom w:val="none" w:sz="0" w:space="0" w:color="auto"/>
            <w:right w:val="none" w:sz="0" w:space="0" w:color="auto"/>
          </w:divBdr>
        </w:div>
        <w:div w:id="1947157793">
          <w:marLeft w:val="0"/>
          <w:marRight w:val="0"/>
          <w:marTop w:val="240"/>
          <w:marBottom w:val="0"/>
          <w:divBdr>
            <w:top w:val="single" w:sz="6" w:space="12"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32102931">
      <w:bodyDiv w:val="1"/>
      <w:marLeft w:val="0"/>
      <w:marRight w:val="0"/>
      <w:marTop w:val="0"/>
      <w:marBottom w:val="0"/>
      <w:divBdr>
        <w:top w:val="none" w:sz="0" w:space="0" w:color="auto"/>
        <w:left w:val="none" w:sz="0" w:space="0" w:color="auto"/>
        <w:bottom w:val="none" w:sz="0" w:space="0" w:color="auto"/>
        <w:right w:val="none" w:sz="0" w:space="0" w:color="auto"/>
      </w:divBdr>
      <w:divsChild>
        <w:div w:id="1705398811">
          <w:marLeft w:val="0"/>
          <w:marRight w:val="0"/>
          <w:marTop w:val="0"/>
          <w:marBottom w:val="0"/>
          <w:divBdr>
            <w:top w:val="none" w:sz="0" w:space="0" w:color="auto"/>
            <w:left w:val="none" w:sz="0" w:space="0" w:color="auto"/>
            <w:bottom w:val="none" w:sz="0" w:space="0" w:color="auto"/>
            <w:right w:val="none" w:sz="0" w:space="0" w:color="auto"/>
          </w:divBdr>
        </w:div>
        <w:div w:id="1885094937">
          <w:marLeft w:val="0"/>
          <w:marRight w:val="0"/>
          <w:marTop w:val="240"/>
          <w:marBottom w:val="0"/>
          <w:divBdr>
            <w:top w:val="single" w:sz="6" w:space="12" w:color="auto"/>
            <w:left w:val="none" w:sz="0" w:space="0" w:color="auto"/>
            <w:bottom w:val="none" w:sz="0" w:space="0" w:color="auto"/>
            <w:right w:val="none" w:sz="0" w:space="0" w:color="auto"/>
          </w:divBdr>
        </w:div>
      </w:divsChild>
    </w:div>
    <w:div w:id="539246728">
      <w:bodyDiv w:val="1"/>
      <w:marLeft w:val="0"/>
      <w:marRight w:val="0"/>
      <w:marTop w:val="0"/>
      <w:marBottom w:val="0"/>
      <w:divBdr>
        <w:top w:val="none" w:sz="0" w:space="0" w:color="auto"/>
        <w:left w:val="none" w:sz="0" w:space="0" w:color="auto"/>
        <w:bottom w:val="none" w:sz="0" w:space="0" w:color="auto"/>
        <w:right w:val="none" w:sz="0" w:space="0" w:color="auto"/>
      </w:divBdr>
      <w:divsChild>
        <w:div w:id="689528077">
          <w:marLeft w:val="0"/>
          <w:marRight w:val="0"/>
          <w:marTop w:val="0"/>
          <w:marBottom w:val="0"/>
          <w:divBdr>
            <w:top w:val="none" w:sz="0" w:space="0" w:color="auto"/>
            <w:left w:val="none" w:sz="0" w:space="0" w:color="auto"/>
            <w:bottom w:val="none" w:sz="0" w:space="0" w:color="auto"/>
            <w:right w:val="none" w:sz="0" w:space="0" w:color="auto"/>
          </w:divBdr>
        </w:div>
        <w:div w:id="1597711326">
          <w:marLeft w:val="0"/>
          <w:marRight w:val="0"/>
          <w:marTop w:val="0"/>
          <w:marBottom w:val="0"/>
          <w:divBdr>
            <w:top w:val="none" w:sz="0" w:space="0" w:color="auto"/>
            <w:left w:val="none" w:sz="0" w:space="0" w:color="auto"/>
            <w:bottom w:val="none" w:sz="0" w:space="0" w:color="auto"/>
            <w:right w:val="none" w:sz="0" w:space="0" w:color="auto"/>
          </w:divBdr>
        </w:div>
      </w:divsChild>
    </w:div>
    <w:div w:id="135156526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856069914">
      <w:bodyDiv w:val="1"/>
      <w:marLeft w:val="0"/>
      <w:marRight w:val="0"/>
      <w:marTop w:val="0"/>
      <w:marBottom w:val="0"/>
      <w:divBdr>
        <w:top w:val="none" w:sz="0" w:space="0" w:color="auto"/>
        <w:left w:val="none" w:sz="0" w:space="0" w:color="auto"/>
        <w:bottom w:val="none" w:sz="0" w:space="0" w:color="auto"/>
        <w:right w:val="none" w:sz="0" w:space="0" w:color="auto"/>
      </w:divBdr>
    </w:div>
    <w:div w:id="2069331581">
      <w:bodyDiv w:val="1"/>
      <w:marLeft w:val="0"/>
      <w:marRight w:val="0"/>
      <w:marTop w:val="0"/>
      <w:marBottom w:val="0"/>
      <w:divBdr>
        <w:top w:val="none" w:sz="0" w:space="0" w:color="auto"/>
        <w:left w:val="none" w:sz="0" w:space="0" w:color="auto"/>
        <w:bottom w:val="none" w:sz="0" w:space="0" w:color="auto"/>
        <w:right w:val="none" w:sz="0" w:space="0" w:color="auto"/>
      </w:divBdr>
      <w:divsChild>
        <w:div w:id="1808159670">
          <w:marLeft w:val="0"/>
          <w:marRight w:val="0"/>
          <w:marTop w:val="0"/>
          <w:marBottom w:val="0"/>
          <w:divBdr>
            <w:top w:val="none" w:sz="0" w:space="0" w:color="auto"/>
            <w:left w:val="none" w:sz="0" w:space="0" w:color="auto"/>
            <w:bottom w:val="none" w:sz="0" w:space="0" w:color="auto"/>
            <w:right w:val="none" w:sz="0" w:space="0" w:color="auto"/>
          </w:divBdr>
        </w:div>
        <w:div w:id="419644627">
          <w:marLeft w:val="0"/>
          <w:marRight w:val="0"/>
          <w:marTop w:val="0"/>
          <w:marBottom w:val="0"/>
          <w:divBdr>
            <w:top w:val="none" w:sz="0" w:space="0" w:color="auto"/>
            <w:left w:val="none" w:sz="0" w:space="0" w:color="auto"/>
            <w:bottom w:val="none" w:sz="0" w:space="0" w:color="auto"/>
            <w:right w:val="none" w:sz="0" w:space="0" w:color="auto"/>
          </w:divBdr>
        </w:div>
      </w:divsChild>
    </w:div>
    <w:div w:id="21230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ercator-ocean.eu/en/ocean-science/glor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mo-ocean.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ithub.com/socolofs/tamocOilspill"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github.com/socolofs/tamoc" TargetMode="External"/><Relationship Id="rId14" Type="http://schemas.openxmlformats.org/officeDocument/2006/relationships/hyperlink" Target="https://escenarios.cigom.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BB4D05-32B8-4BCF-9ED6-6342926AA608}">
  <ds:schemaRefs>
    <ds:schemaRef ds:uri="http://schemas.openxmlformats.org/officeDocument/2006/bibliography"/>
  </ds:schemaRefs>
</ds:datastoreItem>
</file>

<file path=customXml/itemProps2.xml><?xml version="1.0" encoding="utf-8"?>
<ds:datastoreItem xmlns:ds="http://schemas.openxmlformats.org/officeDocument/2006/customXml" ds:itemID="{56FAF9DC-DF5A-4DF1-BB4D-F6AE7C70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Pages>
  <Words>2431</Words>
  <Characters>12938</Characters>
  <Application>Microsoft Office Word</Application>
  <DocSecurity>0</DocSecurity>
  <Lines>202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Rafael Ramirez</cp:lastModifiedBy>
  <cp:revision>2</cp:revision>
  <cp:lastPrinted>2013-10-03T12:51:00Z</cp:lastPrinted>
  <dcterms:created xsi:type="dcterms:W3CDTF">2023-01-05T00:09:00Z</dcterms:created>
  <dcterms:modified xsi:type="dcterms:W3CDTF">2023-01-05T00:09:00Z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id="KSyWHknl"/&gt;&lt;style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y fmtid="{D5CDD505-2E9C-101B-9397-08002B2CF9AE}" pid="4" name="GrammarlyDocumentId">
    <vt:lpwstr>990b2a7fa1839a03896774077a1aa3b0747068eee1596f0ca1cf697681d79bb6</vt:lpwstr>
  </property>
</Properties>
</file>