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E9" w:rsidRPr="008F40F4" w:rsidRDefault="008F40F4" w:rsidP="008F40F4">
      <w:pPr>
        <w:spacing w:line="480" w:lineRule="auto"/>
        <w:jc w:val="both"/>
        <w:rPr>
          <w:rFonts w:asciiTheme="minorHAnsi" w:hAnsiTheme="minorHAnsi" w:cstheme="minorHAnsi"/>
        </w:rPr>
      </w:pPr>
      <w:r w:rsidRPr="008F40F4">
        <w:rPr>
          <w:rFonts w:asciiTheme="minorHAnsi" w:hAnsiTheme="minorHAnsi" w:cstheme="minorHAnsi"/>
          <w:b/>
          <w:bCs/>
        </w:rPr>
        <w:t xml:space="preserve">Table </w:t>
      </w:r>
      <w:r w:rsidR="00927B61">
        <w:rPr>
          <w:rFonts w:asciiTheme="minorHAnsi" w:hAnsiTheme="minorHAnsi" w:cstheme="minorHAnsi"/>
          <w:b/>
          <w:bCs/>
        </w:rPr>
        <w:t>S</w:t>
      </w:r>
      <w:bookmarkStart w:id="0" w:name="_GoBack"/>
      <w:bookmarkEnd w:id="0"/>
      <w:r w:rsidRPr="008F40F4">
        <w:rPr>
          <w:rFonts w:asciiTheme="minorHAnsi" w:hAnsiTheme="minorHAnsi" w:cstheme="minorHAnsi"/>
          <w:b/>
          <w:bCs/>
        </w:rPr>
        <w:t>1.</w:t>
      </w:r>
      <w:r>
        <w:rPr>
          <w:sz w:val="16"/>
          <w:szCs w:val="16"/>
        </w:rPr>
        <w:t xml:space="preserve"> </w:t>
      </w:r>
      <w:r w:rsidRPr="00653DC8">
        <w:rPr>
          <w:rFonts w:asciiTheme="minorHAnsi" w:hAnsiTheme="minorHAnsi" w:cstheme="minorHAnsi"/>
        </w:rPr>
        <w:t>Prevalence of physical activity domains, sedentary behaviors, and insufficient physical activity among women and men of various underlying conditions.</w:t>
      </w:r>
    </w:p>
    <w:tbl>
      <w:tblPr>
        <w:tblStyle w:val="TableGrid"/>
        <w:tblW w:w="14505" w:type="dxa"/>
        <w:tblInd w:w="-1085" w:type="dxa"/>
        <w:tblLook w:val="04A0" w:firstRow="1" w:lastRow="0" w:firstColumn="1" w:lastColumn="0" w:noHBand="0" w:noVBand="1"/>
      </w:tblPr>
      <w:tblGrid>
        <w:gridCol w:w="1165"/>
        <w:gridCol w:w="736"/>
        <w:gridCol w:w="904"/>
        <w:gridCol w:w="1170"/>
        <w:gridCol w:w="1180"/>
        <w:gridCol w:w="1141"/>
        <w:gridCol w:w="1009"/>
        <w:gridCol w:w="900"/>
        <w:gridCol w:w="1080"/>
        <w:gridCol w:w="990"/>
        <w:gridCol w:w="990"/>
        <w:gridCol w:w="900"/>
        <w:gridCol w:w="900"/>
        <w:gridCol w:w="720"/>
        <w:gridCol w:w="720"/>
      </w:tblGrid>
      <w:tr w:rsidR="008F40F4" w:rsidRPr="008F40F4" w:rsidTr="00A91784">
        <w:trPr>
          <w:trHeight w:val="288"/>
        </w:trPr>
        <w:tc>
          <w:tcPr>
            <w:tcW w:w="1165" w:type="dxa"/>
            <w:vMerge w:val="restart"/>
            <w:noWrap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Variable</w:t>
            </w:r>
          </w:p>
        </w:tc>
        <w:tc>
          <w:tcPr>
            <w:tcW w:w="1640" w:type="dxa"/>
            <w:gridSpan w:val="2"/>
            <w:vMerge w:val="restart"/>
            <w:noWrap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Category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350" w:type="dxa"/>
            <w:gridSpan w:val="2"/>
            <w:noWrap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Insufficient physical activity</w:t>
            </w:r>
          </w:p>
        </w:tc>
        <w:tc>
          <w:tcPr>
            <w:tcW w:w="2150" w:type="dxa"/>
            <w:gridSpan w:val="2"/>
            <w:noWrap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No activity at work</w:t>
            </w:r>
          </w:p>
        </w:tc>
        <w:tc>
          <w:tcPr>
            <w:tcW w:w="1980" w:type="dxa"/>
            <w:gridSpan w:val="2"/>
            <w:noWrap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No activity at transport</w:t>
            </w:r>
          </w:p>
        </w:tc>
        <w:tc>
          <w:tcPr>
            <w:tcW w:w="1980" w:type="dxa"/>
            <w:gridSpan w:val="2"/>
            <w:noWrap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No recreational activity</w:t>
            </w:r>
          </w:p>
        </w:tc>
        <w:tc>
          <w:tcPr>
            <w:tcW w:w="1800" w:type="dxa"/>
            <w:gridSpan w:val="2"/>
            <w:noWrap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Sedentary behaviors</w:t>
            </w:r>
          </w:p>
        </w:tc>
        <w:tc>
          <w:tcPr>
            <w:tcW w:w="1440" w:type="dxa"/>
            <w:gridSpan w:val="2"/>
            <w:noWrap/>
          </w:tcPr>
          <w:p w:rsidR="008F40F4" w:rsidRPr="008F40F4" w:rsidRDefault="00BD68FD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</w:t>
            </w:r>
            <w:r w:rsidR="008F40F4" w:rsidRPr="008F40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ontribution of vigorous </w:t>
            </w:r>
            <w:r w:rsidR="008F40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physical activity</w:t>
            </w:r>
            <w:r w:rsidR="008F40F4" w:rsidRPr="008F40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in total MET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95% CI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95% CI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95% CI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95% CI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95% CI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95% CI</w:t>
            </w:r>
          </w:p>
        </w:tc>
      </w:tr>
      <w:tr w:rsidR="00A91784" w:rsidRPr="008F40F4" w:rsidTr="00A91784">
        <w:trPr>
          <w:trHeight w:val="288"/>
        </w:trPr>
        <w:tc>
          <w:tcPr>
            <w:tcW w:w="1165" w:type="dxa"/>
            <w:vMerge w:val="restart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Hypertension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6" w:type="dxa"/>
            <w:vMerge w:val="restart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Yes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17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3065 (61.93%)</w:t>
            </w:r>
          </w:p>
        </w:tc>
        <w:tc>
          <w:tcPr>
            <w:tcW w:w="11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(60.43 , 63.42)%</w:t>
            </w:r>
          </w:p>
        </w:tc>
        <w:tc>
          <w:tcPr>
            <w:tcW w:w="1141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3840 (75.42%)</w:t>
            </w:r>
          </w:p>
        </w:tc>
        <w:tc>
          <w:tcPr>
            <w:tcW w:w="1009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(74.1 , 76.7)%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2904 (57.48%)</w:t>
            </w:r>
          </w:p>
        </w:tc>
        <w:tc>
          <w:tcPr>
            <w:tcW w:w="10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(55.97 , 58.99)%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4760 (92.79%)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(91.95 , 93.55)%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2600 (51.57%)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(50.04 , 53.1)%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31 (0.6%)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(0.41 , 0.89)%</w:t>
            </w:r>
          </w:p>
        </w:tc>
      </w:tr>
      <w:tr w:rsidR="00A9178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17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1527 (45.27%)</w:t>
            </w:r>
          </w:p>
        </w:tc>
        <w:tc>
          <w:tcPr>
            <w:tcW w:w="11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(43.41 , 47.15)%</w:t>
            </w:r>
          </w:p>
        </w:tc>
        <w:tc>
          <w:tcPr>
            <w:tcW w:w="1141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2475 (64.5%)</w:t>
            </w:r>
          </w:p>
        </w:tc>
        <w:tc>
          <w:tcPr>
            <w:tcW w:w="1009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(62.81 , 66.15)%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1723 (43.81%)</w:t>
            </w:r>
          </w:p>
        </w:tc>
        <w:tc>
          <w:tcPr>
            <w:tcW w:w="10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(42.07 , 45.56)%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3151 (81.05%)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(79.63 , 82.4)%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2081 (53.21%)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(51.45 , 54.97)%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176 (4.55%)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(3.87 , 5.35)%</w:t>
            </w:r>
          </w:p>
        </w:tc>
      </w:tr>
      <w:tr w:rsidR="00A9178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7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4592 (55.17%)</w:t>
            </w:r>
          </w:p>
        </w:tc>
        <w:tc>
          <w:tcPr>
            <w:tcW w:w="11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(53.99 , 56.35)%</w:t>
            </w:r>
          </w:p>
        </w:tc>
        <w:tc>
          <w:tcPr>
            <w:tcW w:w="1141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6315 (70.71%)</w:t>
            </w:r>
          </w:p>
        </w:tc>
        <w:tc>
          <w:tcPr>
            <w:tcW w:w="1009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(69.66 , 71.73)%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4627 (51.58%)</w:t>
            </w:r>
          </w:p>
        </w:tc>
        <w:tc>
          <w:tcPr>
            <w:tcW w:w="10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(50.43 , 52.74)%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7911 (87.73%)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(86.95 , 88.47)%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4681 (52.28%)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(51.12 , 53.43)%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207 (2.31%)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(1.98 , 2.68)%</w:t>
            </w:r>
          </w:p>
        </w:tc>
      </w:tr>
      <w:tr w:rsidR="00A9178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value</w:t>
            </w:r>
          </w:p>
        </w:tc>
        <w:tc>
          <w:tcPr>
            <w:tcW w:w="2350" w:type="dxa"/>
            <w:gridSpan w:val="2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0.168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 w:val="restart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No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5442 (55.8%)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(54.71 , 56.89)%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7485 (73.96%)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(73 , 74.89)%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5118 (50.69%)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(49.61 , 51.78)%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8768 (85.89%)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(85.11 , 86.64)%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5072 (49.95%)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(48.87 , 51.03)%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163 (1.71%)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(1.43 , 2.04)%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2728 (40.29%)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(39.02 , 41.58)%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4628 (55.67%)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(54.5 , 56.83)%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3875 (46.07%)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(44.89 , 47.25)%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6075 (72.34%)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(71.28 , 73.38)%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4087 (47.76%)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(46.58 , 48.94)%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740 (8.19%)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(7.57 , 8.85)%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8170 (49.36%)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(48.52 , 50.2)%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12113 (65.66%)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(64.9 , 66.4)%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8993 (48.6%)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(47.8 , 49.39)%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14843 (79.74%)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(79.09 , 80.37)%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9159 (48.96%)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(48.16 , 49.75)%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903 (4.65%)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(4.33 , 5)%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value</w:t>
            </w:r>
          </w:p>
        </w:tc>
        <w:tc>
          <w:tcPr>
            <w:tcW w:w="23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0.007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-value (between groups and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both sexes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A91784" w:rsidRPr="008F40F4" w:rsidTr="00A91784">
        <w:trPr>
          <w:trHeight w:val="288"/>
        </w:trPr>
        <w:tc>
          <w:tcPr>
            <w:tcW w:w="1165" w:type="dxa"/>
            <w:vMerge w:val="restart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Diabetes mellitus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6" w:type="dxa"/>
            <w:vMerge w:val="restart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No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17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4660 (56.71%)</w:t>
            </w:r>
          </w:p>
        </w:tc>
        <w:tc>
          <w:tcPr>
            <w:tcW w:w="11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(55.21 , 58.2)%</w:t>
            </w:r>
          </w:p>
        </w:tc>
        <w:tc>
          <w:tcPr>
            <w:tcW w:w="1141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6192 (72.49%)</w:t>
            </w:r>
          </w:p>
        </w:tc>
        <w:tc>
          <w:tcPr>
            <w:tcW w:w="1009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(71.18 , 73.77)%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4481 (53.09%)</w:t>
            </w:r>
          </w:p>
        </w:tc>
        <w:tc>
          <w:tcPr>
            <w:tcW w:w="10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(51.6 , 54.57)%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7819 (88.34%)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(87.33 , 89.29)%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4150 (47.84%)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(46.34 , 49.33)%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116 (1.39%)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(1.04 , 1.86)%</w:t>
            </w:r>
          </w:p>
        </w:tc>
      </w:tr>
      <w:tr w:rsidR="00A9178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17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2129 (39.79%)</w:t>
            </w:r>
          </w:p>
        </w:tc>
        <w:tc>
          <w:tcPr>
            <w:tcW w:w="11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(37.95 , 41.66)%</w:t>
            </w:r>
          </w:p>
        </w:tc>
        <w:tc>
          <w:tcPr>
            <w:tcW w:w="1141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3547 (55.02%)</w:t>
            </w:r>
          </w:p>
        </w:tc>
        <w:tc>
          <w:tcPr>
            <w:tcW w:w="1009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(53.35 , 56.67)%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2989 (45.75%)</w:t>
            </w:r>
          </w:p>
        </w:tc>
        <w:tc>
          <w:tcPr>
            <w:tcW w:w="10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(44.08 , 47.44)%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5144 (75.12%)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(73.59 , 76.59)%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3327 (48.78%)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(47.1 , 50.47)%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525 (7.3%)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(6.51 , 8.18)%</w:t>
            </w:r>
          </w:p>
        </w:tc>
      </w:tr>
      <w:tr w:rsidR="00A9178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7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6789 (49.75%)</w:t>
            </w:r>
          </w:p>
        </w:tc>
        <w:tc>
          <w:tcPr>
            <w:tcW w:w="11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(48.56 , 50.94)%</w:t>
            </w:r>
          </w:p>
        </w:tc>
        <w:tc>
          <w:tcPr>
            <w:tcW w:w="1141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9739 (64.67%)</w:t>
            </w:r>
          </w:p>
        </w:tc>
        <w:tc>
          <w:tcPr>
            <w:tcW w:w="1009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(63.62 , 65.7)%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7470 (49.81%)</w:t>
            </w:r>
          </w:p>
        </w:tc>
        <w:tc>
          <w:tcPr>
            <w:tcW w:w="10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(48.69 , 50.92)%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12963 (82.42%)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(81.53 , 83.29)%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7477 (48.26%)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(47.14 , 49.38)%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641 (4.04%)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(3.62 , 4.5)%</w:t>
            </w:r>
          </w:p>
        </w:tc>
      </w:tr>
      <w:tr w:rsidR="00CC3AA3" w:rsidRPr="008F40F4" w:rsidTr="00F81C2C">
        <w:trPr>
          <w:trHeight w:val="288"/>
        </w:trPr>
        <w:tc>
          <w:tcPr>
            <w:tcW w:w="1165" w:type="dxa"/>
            <w:vMerge/>
            <w:noWrap/>
            <w:hideMark/>
          </w:tcPr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value</w:t>
            </w:r>
          </w:p>
        </w:tc>
        <w:tc>
          <w:tcPr>
            <w:tcW w:w="2350" w:type="dxa"/>
            <w:gridSpan w:val="2"/>
            <w:noWrap/>
            <w:hideMark/>
          </w:tcPr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0.411</w:t>
            </w:r>
          </w:p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 w:val="restart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Yes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869 (62.38%)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(58.95 , 65.7)%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1105 (77.36%)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(74.48 , 80)%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806 (54.77%)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(51.29 , 58.2)%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1358 (93.73%)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(91.86 , 95.19)%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766 (51.92%)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(48.44 , 55.38)%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 (0.93%)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(0.41 , 2.13)%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459 (53.78%)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(49.03 , 58.46)%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666 (69.88%)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(65.73 , 73.73)%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441 (41.7%)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(37.44 , 46.1)%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850 (84.92%)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(81.37 , 87.89)%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544 (55.87%)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(51.34 , 60.29)%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26 (2.65%)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(1.56 , 4.46)%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1328 (58.92%)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(56.12 , 61.67)%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1771 (74.2%)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(71.8 , 76.46)%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1247 (49.25%)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(46.52 , 51.99)%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2208 (90.01%)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(88.19 , 91.58)%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1310 (53.58%)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(50.81 , 56.33)%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 (1.66%)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(1.06 , 2.58)%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value</w:t>
            </w:r>
          </w:p>
        </w:tc>
        <w:tc>
          <w:tcPr>
            <w:tcW w:w="23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0.004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0.002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0.174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0.029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-value (between groups and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both sexes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0.717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A91784" w:rsidRPr="008F40F4" w:rsidTr="00A91784">
        <w:trPr>
          <w:trHeight w:val="288"/>
        </w:trPr>
        <w:tc>
          <w:tcPr>
            <w:tcW w:w="1165" w:type="dxa"/>
            <w:vMerge w:val="restart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lastRenderedPageBreak/>
              <w:t>Cardiovascular diseases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6" w:type="dxa"/>
            <w:vMerge w:val="restart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No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17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7986 (57.38%)</w:t>
            </w:r>
          </w:p>
        </w:tc>
        <w:tc>
          <w:tcPr>
            <w:tcW w:w="11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(56.47 , 58.28)%</w:t>
            </w:r>
          </w:p>
        </w:tc>
        <w:tc>
          <w:tcPr>
            <w:tcW w:w="1141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10711 (74.35%)</w:t>
            </w:r>
          </w:p>
        </w:tc>
        <w:tc>
          <w:tcPr>
            <w:tcW w:w="1009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(73.56 , 75.13)%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7510 (52.34%)</w:t>
            </w:r>
          </w:p>
        </w:tc>
        <w:tc>
          <w:tcPr>
            <w:tcW w:w="10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(51.44 , 53.25)%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12759 (87.83%)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(87.22 , 88.42)%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7217 (50.07%)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(49.17 , 50.98)%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188 (1.34%)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(1.15 , 1.57)%</w:t>
            </w:r>
          </w:p>
        </w:tc>
      </w:tr>
      <w:tr w:rsidR="00A9178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17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3819 (41.11%)</w:t>
            </w:r>
          </w:p>
        </w:tc>
        <w:tc>
          <w:tcPr>
            <w:tcW w:w="11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(40.01 , 42.21)%</w:t>
            </w:r>
          </w:p>
        </w:tc>
        <w:tc>
          <w:tcPr>
            <w:tcW w:w="1141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6407 (56.97%)</w:t>
            </w:r>
          </w:p>
        </w:tc>
        <w:tc>
          <w:tcPr>
            <w:tcW w:w="1009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(55.97 , 57.98)%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5156 (45.42%)</w:t>
            </w:r>
          </w:p>
        </w:tc>
        <w:tc>
          <w:tcPr>
            <w:tcW w:w="10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(44.4 , 46.43)%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8381 (73.87%)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(72.96 , 74.75)%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5599 (48.55%)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(47.53 , 49.57)%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901 (7.53%)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(7.02 , 8.09)%</w:t>
            </w:r>
          </w:p>
        </w:tc>
      </w:tr>
      <w:tr w:rsidR="00A9178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7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11805 (50.82%)</w:t>
            </w:r>
          </w:p>
        </w:tc>
        <w:tc>
          <w:tcPr>
            <w:tcW w:w="11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(50.12 , 51.53)%</w:t>
            </w:r>
          </w:p>
        </w:tc>
        <w:tc>
          <w:tcPr>
            <w:tcW w:w="1141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17118 (66.72%)</w:t>
            </w:r>
          </w:p>
        </w:tc>
        <w:tc>
          <w:tcPr>
            <w:tcW w:w="1009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(66.09 , 67.35)%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12666 (49.3%)</w:t>
            </w:r>
          </w:p>
        </w:tc>
        <w:tc>
          <w:tcPr>
            <w:tcW w:w="108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(48.63 , 49.98)%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21140 (81.7%)</w:t>
            </w:r>
          </w:p>
        </w:tc>
        <w:tc>
          <w:tcPr>
            <w:tcW w:w="99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(81.17 , 82.22)%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12816 (49.4%)</w:t>
            </w:r>
          </w:p>
        </w:tc>
        <w:tc>
          <w:tcPr>
            <w:tcW w:w="90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(48.73 , 50.08)%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1089 (4.06%)</w:t>
            </w:r>
          </w:p>
        </w:tc>
        <w:tc>
          <w:tcPr>
            <w:tcW w:w="720" w:type="dxa"/>
            <w:noWrap/>
            <w:hideMark/>
          </w:tcPr>
          <w:p w:rsidR="00A91784" w:rsidRPr="008F40F4" w:rsidRDefault="00A9178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(3.8 , 4.33)%</w:t>
            </w:r>
          </w:p>
        </w:tc>
      </w:tr>
      <w:tr w:rsidR="00CC3AA3" w:rsidRPr="008F40F4" w:rsidTr="00F2510C">
        <w:trPr>
          <w:trHeight w:val="288"/>
        </w:trPr>
        <w:tc>
          <w:tcPr>
            <w:tcW w:w="1165" w:type="dxa"/>
            <w:vMerge/>
            <w:noWrap/>
            <w:hideMark/>
          </w:tcPr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value</w:t>
            </w:r>
          </w:p>
        </w:tc>
        <w:tc>
          <w:tcPr>
            <w:tcW w:w="2350" w:type="dxa"/>
            <w:gridSpan w:val="2"/>
            <w:noWrap/>
            <w:hideMark/>
          </w:tcPr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0.029</w:t>
            </w:r>
          </w:p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CC3AA3" w:rsidRPr="008F40F4" w:rsidRDefault="00CC3AA3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 w:val="restart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Yes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536 (66.55%)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(62.87 , 70.03)%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633 (76.21%)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(72.89 , 79.23)%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524 (63.21%)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(59.5 , 66.77)%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792 (94.57%)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(92.57 , 96.05)%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468 (57.07%)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(53.31 , 60.76)%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 (0.83%)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(0.35 , 1.95)%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452 (50.26%)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(46.67 , 53.85)%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724 (74.45%)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(71.4 , 77.28)%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462 (44.96%)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(41.56 , 48.41)%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873 (87.54%)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(85.09 , 89.64)%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587 (58.76%)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(55.32 , 62.12)%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 (1.76%)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(1.07 , 2.88)%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988 (57.82%)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(55.22 , 60.38)%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1357 (75.24%)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(73.03 , 77.33)%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986 (53.18%)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(50.63 , 55.72)%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1665 (90.71%)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(89.13 , 92.08)%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1055 (58%)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(55.47 , 60.49)%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26 (1.34%)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(0.87 , 2.06)%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value</w:t>
            </w:r>
          </w:p>
        </w:tc>
        <w:tc>
          <w:tcPr>
            <w:tcW w:w="23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0.429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0.513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0.13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-value (between groups and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both sexes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0.004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 w:val="restart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BMI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6" w:type="dxa"/>
            <w:vMerge w:val="restart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&lt;18.5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290 (59.3%)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(54.43 , 63.99)%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371 (75.87%)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(71.66 , 79.64)%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268 (54.3%)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(49.43 , 59.1)%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427 (85.57%)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(81.74 , 88.71)%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282 (56.99%)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(52.21 , 61.64)%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 (2.1%)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(1.04 , 4.22)%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145 (35.67%)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(30.55 , 41.13)%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250 (52.76%)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(47.67 , 57.79)%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208 (42.9%)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(37.99 , 47.95)%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355 (74.31%)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(69.53 , 78.58)%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243 (49.65%)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(44.61 , 54.69)%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28 (6.06%)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(4.02 , 9.02)%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435 (49.16%)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(45.52 , 52.81)%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621 (64.92%)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(61.56 , 68.13)%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476 (48.87%)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(45.38 , 52.38)%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782 (80.24%)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(77.24 , 82.93)%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525 (53.52%)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(50.06 , 56.95)%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36 (3.98%)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(2.79 , 5.64)%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value</w:t>
            </w:r>
          </w:p>
        </w:tc>
        <w:tc>
          <w:tcPr>
            <w:tcW w:w="23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0.04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0.007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 w:val="restart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18.5-24.9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2425 (57.56%)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(55.91 , 59.19)%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3268 (74.52%)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(73.08 , 75.92)%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2252 (51.39%)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(49.74 , 53.03)%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3867 (86.57%)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(85.38 , 87.68)%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2307 (52.11%)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(50.47 , 53.74)%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64 (1.68%)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(1.25 , 2.25)%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1563 (40.09%)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(38.42 , 41.8)%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2668 (55.03%)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(53.5 , 56.56)%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2143 (43.24%)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(41.71 , 44.78)%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3569 (72.84%)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(71.45 , 74.19)%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2389 (48.04%)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(46.49 , 49.59)%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441 (8.33%)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(7.52 , 9.21)%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3988 (49.12%)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(47.93 , 50.32)%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5936 (64.26%)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(63.19 , 65.31)%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4395 (47.09%)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(45.97 , 48.22)%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7436 (79.34%)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(78.41 , 80.24)%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4696 (49.97%)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(48.84 , 51.09)%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505 (5.18%)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(4.7 , 5.71)%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value</w:t>
            </w:r>
          </w:p>
        </w:tc>
        <w:tc>
          <w:tcPr>
            <w:tcW w:w="23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 w:val="restart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25-29.9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3038 (56.49%)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(55.01 , 57.95)%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4162 (74.66%)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(73.38 , 75.89)%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2842 (51.04%)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(49.58 , 52.5)%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4954 (88.19%)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(87.21 , 89.1)%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2713 (48.78%)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(47.32 , 50.24)%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73 (1.29%)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(1 , 1.66)%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1682 (41.83%)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(40.17 , 43.51)%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2852 (60.04%)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(58.5 , 61.55)%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2176 (45.68%)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(44.12 , 47.25)%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3621 (75.46%)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(74.09 , 76.78)%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2375 (48.43%)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(46.86 , 50)%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338 (6.8%)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(6.06 , 7.63)%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4720 (50.1%)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(48.98 , 51.21)%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7014 (67.86%)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(66.87 , 68.84)%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5018 (48.55%)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(47.48 , 49.62)%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8575 (82.27%)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(81.44 , 83.07)%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5088 (48.61%)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(47.55 , 49.68)%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411 (3.85%)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(3.46 , 4.28)%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value</w:t>
            </w:r>
          </w:p>
        </w:tc>
        <w:tc>
          <w:tcPr>
            <w:tcW w:w="23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0.749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 w:val="restart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30-34.9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1820 (56.93%)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(55.01 , 58.83)%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2400 (72.85%)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(71.13 , 74.5)%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1752 (53.82%)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(51.92 , 55.71)%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2941 (89.46%)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(88.21 , 90.58)%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1566 (48%)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(46.1 , 49.9)%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31 (0.97%)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(0.66 , 1.43)%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678 (46.65%)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(43.85 , 49.47)%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1069 (63.27%)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(60.69 , 65.77)%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841 (49.33%)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(46.69 , 51.98)%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1340 (78.8%)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(76.55 , 80.89)%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919 (54.13%)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(51.48 , 56.75)%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90 (5.04%)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(4.01 , 6.32)%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2498 (53.66%)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(52.07 , 55.24)%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3469 (69.57%)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(68.14 , 70.97)%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2593 (52.29%)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(50.74 , 53.82)%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4281 (85.81%)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(84.69 , 86.86)%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2485 (50.09%)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(48.55 , 51.63)%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121 (2.36%)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(1.94 , 2.88)%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value</w:t>
            </w:r>
          </w:p>
        </w:tc>
        <w:tc>
          <w:tcPr>
            <w:tcW w:w="23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0.007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 w:val="restart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35-39.9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684 (64.5%)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(61.21 , 67.67)%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838 (77.15%)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(74.25 , 79.82)%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651 (60.08%)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(56.73 , 63.33)%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979 (89.35%)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(87.06 , 91.28)%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581 (53.27%)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(49.91 , 56.59)%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 (1.19%)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(0.66 , 2.16)%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152 (48.39%)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(42.21 , 54.61)%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217 (65.19%)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(59.35 , 70.6)%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186 (52.61%)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(46.62 , 58.53)%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281 (82.97%)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(77.94 , 87.04)%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195 (59.14%)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(53.18 , 64.85)%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14 (4.43%)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(2.51 , 7.72)%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836 (60.94%)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(58.01 , 63.79)%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1055 (74.34%)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(71.75 , 76.77)%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837 (58.38%)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(55.45 , 61.24)%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1260 (87.89%)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(85.82 , 89.69)%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776 (54.59%)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(51.66 , 57.49)%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27 (1.94%)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(1.28 , 2.92)%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value</w:t>
            </w:r>
          </w:p>
        </w:tc>
        <w:tc>
          <w:tcPr>
            <w:tcW w:w="23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0.033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0.006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0.097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 w:val="restart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40+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225 (67.04%)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(61.31 , 72.31)%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264 (74.38%)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(68.95 , 79.14)%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237 (68.77%)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(63.08 , 73.95)%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331 (94.78%)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(91.58 , 96.81)%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207 (61.18%)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(55.38 , 66.68)%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 (1.03%)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(0.32 , 3.25)%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29 (50.73%)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(35.78 , 65.54)%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43 (67.58%)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(53.8 , 78.86)%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 (58.04%)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(43.9 , 70.98)%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51 (75.36%)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(61.55 , 85.39)%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 (48.26%)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(34.78 , 62.01)%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 (6.42%)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(2.22 , 17.16)%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254 (64.39%)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(58.99 , 69.45)%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307 (72.63%)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(67.67 , 77.09)%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277 (66.67%)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(61.46 , 71.5)%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382 (90.99%)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(87.5 , 93.58)%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247 (59.64%)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(54.31 , 64.76)%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 (1.94%)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(0.92 , 4.05)%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value</w:t>
            </w:r>
          </w:p>
        </w:tc>
        <w:tc>
          <w:tcPr>
            <w:tcW w:w="23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0.019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0.105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0.073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0.204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0.006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-value (between groups and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both sexes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 w:val="restart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Dyslipidemia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6" w:type="dxa"/>
            <w:vMerge w:val="restart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No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1347 (57.39%)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(54.68 , 60.06)%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1798 (73.94%)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(71.58 , 76.16)%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1278 (50.19%)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(47.5 , 52.88)%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2264 (88.7%)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(86.85 , 90.33)%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1203 (47.81%)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(45.13 , 50.51)%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36 (1.82%)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(0.96 , 3.43)%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800 (38.13%)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(35.32 , 41.01)%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1312 (52.39%)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(49.84 , 54.93)%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1090 (41.82%)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(39.3 , 44.4)%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2071 (75.93%)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(73.51 , 78.18)%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1246 (46.55%)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(43.97 , 49.15)%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205 (7.5%)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(6.24 , 9)%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2147 (48.15%)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(46.16 , 50.15)%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3110 (62.72%)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(60.98 , 64.44)%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2368 (45.84%)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(43.99 , 47.69)%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4335 (82.05%)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(80.5 , 83.5)%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2449 (47.16%)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(45.3 , 49.02)%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241 (4.78%)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(3.95 , 5.78)%</w:t>
            </w:r>
          </w:p>
        </w:tc>
      </w:tr>
      <w:tr w:rsidR="00600A78" w:rsidRPr="008F40F4" w:rsidTr="00600A78">
        <w:trPr>
          <w:trHeight w:val="288"/>
        </w:trPr>
        <w:tc>
          <w:tcPr>
            <w:tcW w:w="1165" w:type="dxa"/>
            <w:vMerge/>
            <w:noWrap/>
            <w:hideMark/>
          </w:tcPr>
          <w:p w:rsidR="00600A78" w:rsidRPr="008F40F4" w:rsidRDefault="00600A78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600A78" w:rsidRPr="008F40F4" w:rsidRDefault="00600A78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value</w:t>
            </w:r>
          </w:p>
        </w:tc>
        <w:tc>
          <w:tcPr>
            <w:tcW w:w="2350" w:type="dxa"/>
            <w:gridSpan w:val="2"/>
            <w:noWrap/>
            <w:hideMark/>
          </w:tcPr>
          <w:p w:rsidR="00600A78" w:rsidRPr="008F40F4" w:rsidRDefault="00600A78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600A78" w:rsidRPr="008F40F4" w:rsidRDefault="00600A78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600A78" w:rsidRPr="008F40F4" w:rsidRDefault="00600A78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600A78" w:rsidRPr="008F40F4" w:rsidRDefault="00600A78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600A78" w:rsidRPr="008F40F4" w:rsidRDefault="00600A78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600A78" w:rsidRPr="008F40F4" w:rsidRDefault="00600A78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600A78" w:rsidRPr="008F40F4" w:rsidRDefault="00600A78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600A78" w:rsidRPr="008F40F4" w:rsidRDefault="00600A78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600A78" w:rsidRPr="008F40F4" w:rsidRDefault="00600A78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0.508</w:t>
            </w:r>
          </w:p>
          <w:p w:rsidR="00600A78" w:rsidRPr="008F40F4" w:rsidRDefault="00600A78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600A78" w:rsidRPr="008F40F4" w:rsidRDefault="00600A78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600A78" w:rsidRPr="008F40F4" w:rsidRDefault="00600A78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 w:val="restart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Yes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4177 (57.59%)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(56 , 59.17)%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5496 (72.93%)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(71.54 , 74.28)%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4005 (54.4%)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(52.83 , 55.97)%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6907 (89.26%)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(88.2 , 90.23)%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3710 (48.59%)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(46.99 , 50.19)%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89 (1.16%)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(0.9 , 1.5)%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1789 (43.68%)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(41.51 , 45.88)%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2899 (59.47%)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(57.53 , 61.38)%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2337 (46.91%)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(44.93 , 48.9)%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3917 (76.73%)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(74.98 , 78.39)%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2622 (51.38%)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(49.39 , 53.36)%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347 (6.26%)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(5.43 , 7.21)%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4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7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5966 (52.26%)</w:t>
            </w:r>
          </w:p>
        </w:tc>
        <w:tc>
          <w:tcPr>
            <w:tcW w:w="11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(50.95 , 53.57)%</w:t>
            </w:r>
          </w:p>
        </w:tc>
        <w:tc>
          <w:tcPr>
            <w:tcW w:w="1141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8395 (67.37%)</w:t>
            </w:r>
          </w:p>
        </w:tc>
        <w:tc>
          <w:tcPr>
            <w:tcW w:w="1009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(66.22 , 68.5)%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6342 (51.31%)</w:t>
            </w:r>
          </w:p>
        </w:tc>
        <w:tc>
          <w:tcPr>
            <w:tcW w:w="108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(50.06 , 52.55)%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10824 (84.08%)</w:t>
            </w:r>
          </w:p>
        </w:tc>
        <w:tc>
          <w:tcPr>
            <w:tcW w:w="99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(83.12 , 84.99)%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6332 (49.74%)</w:t>
            </w:r>
          </w:p>
        </w:tc>
        <w:tc>
          <w:tcPr>
            <w:tcW w:w="90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(48.49 , 50.99)%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436 (3.27%)</w:t>
            </w:r>
          </w:p>
        </w:tc>
        <w:tc>
          <w:tcPr>
            <w:tcW w:w="720" w:type="dxa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(2.88 , 3.7)%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value</w:t>
            </w:r>
          </w:p>
        </w:tc>
        <w:tc>
          <w:tcPr>
            <w:tcW w:w="23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0.032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8F40F4" w:rsidRPr="008F40F4" w:rsidTr="00A91784">
        <w:trPr>
          <w:trHeight w:val="288"/>
        </w:trPr>
        <w:tc>
          <w:tcPr>
            <w:tcW w:w="1165" w:type="dxa"/>
            <w:vMerge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-value (between groups and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both sexes</w:t>
            </w: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5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0.022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0.024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noWrap/>
            <w:hideMark/>
          </w:tcPr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0.001</w:t>
            </w:r>
          </w:p>
          <w:p w:rsidR="008F40F4" w:rsidRPr="008F40F4" w:rsidRDefault="008F40F4" w:rsidP="00A91784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F40F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</w:tbl>
    <w:p w:rsidR="008F40F4" w:rsidRDefault="008F40F4">
      <w:pPr>
        <w:rPr>
          <w:sz w:val="16"/>
          <w:szCs w:val="16"/>
        </w:rPr>
      </w:pPr>
    </w:p>
    <w:p w:rsidR="008F40F4" w:rsidRPr="00846A24" w:rsidRDefault="00C22980">
      <w:pPr>
        <w:rPr>
          <w:rFonts w:asciiTheme="minorHAnsi" w:hAnsiTheme="minorHAnsi" w:cstheme="minorHAnsi"/>
        </w:rPr>
      </w:pPr>
      <w:r w:rsidRPr="00846A24">
        <w:rPr>
          <w:rFonts w:asciiTheme="minorHAnsi" w:hAnsiTheme="minorHAnsi" w:cstheme="minorHAnsi"/>
        </w:rPr>
        <w:t>Abbreviations: MET: Metabolic equivalent of task; CI: confidence interval.</w:t>
      </w:r>
    </w:p>
    <w:sectPr w:rsidR="008F40F4" w:rsidRPr="00846A24" w:rsidSect="008F40F4">
      <w:pgSz w:w="15120" w:h="10440" w:orient="landscape" w:code="7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F4"/>
    <w:rsid w:val="00600A78"/>
    <w:rsid w:val="00846A24"/>
    <w:rsid w:val="00890FE9"/>
    <w:rsid w:val="008F40F4"/>
    <w:rsid w:val="00927B61"/>
    <w:rsid w:val="00A91784"/>
    <w:rsid w:val="00B4245D"/>
    <w:rsid w:val="00BD68FD"/>
    <w:rsid w:val="00C22980"/>
    <w:rsid w:val="00CC3AA3"/>
    <w:rsid w:val="00D5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F19D"/>
  <w15:chartTrackingRefBased/>
  <w15:docId w15:val="{86681C2A-9F84-429B-A6FC-DAFDC67D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B82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B82"/>
    <w:pPr>
      <w:ind w:left="720"/>
      <w:contextualSpacing/>
    </w:pPr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F40F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40F4"/>
    <w:rPr>
      <w:color w:val="954F72"/>
      <w:u w:val="single"/>
    </w:rPr>
  </w:style>
  <w:style w:type="paragraph" w:customStyle="1" w:styleId="msonormal0">
    <w:name w:val="msonormal"/>
    <w:basedOn w:val="Normal"/>
    <w:rsid w:val="008F40F4"/>
    <w:pPr>
      <w:spacing w:before="100" w:beforeAutospacing="1" w:after="100" w:afterAutospacing="1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8F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35B0A-B1AA-4656-BDBA-74AB1378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Nejadghaderi</dc:creator>
  <cp:keywords/>
  <dc:description/>
  <cp:lastModifiedBy>Aria Nejadghaderi</cp:lastModifiedBy>
  <cp:revision>7</cp:revision>
  <dcterms:created xsi:type="dcterms:W3CDTF">2022-01-13T06:57:00Z</dcterms:created>
  <dcterms:modified xsi:type="dcterms:W3CDTF">2022-07-27T04:35:00Z</dcterms:modified>
</cp:coreProperties>
</file>