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2766B" w14:textId="77777777" w:rsidR="008D25F1" w:rsidRDefault="008D25F1">
      <w:pPr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</w:p>
    <w:p w14:paraId="38B5D504" w14:textId="77777777" w:rsidR="008D25F1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2"/>
          <w:shd w:val="clear" w:color="auto" w:fill="FFFFFF"/>
        </w:rPr>
      </w:pPr>
      <w:r>
        <w:rPr>
          <w:rFonts w:ascii="Times New Roman" w:hAnsi="Times New Roman" w:cs="Times New Roman" w:hint="eastAsia"/>
          <w:b/>
          <w:bCs/>
          <w:sz w:val="22"/>
          <w:shd w:val="clear" w:color="auto" w:fill="FFFFFF"/>
        </w:rPr>
        <w:t>Supplementary Materials</w:t>
      </w:r>
    </w:p>
    <w:p w14:paraId="32B9D4BE" w14:textId="77777777" w:rsidR="008D25F1" w:rsidRDefault="00000000">
      <w:pPr>
        <w:spacing w:line="360" w:lineRule="auto"/>
        <w:rPr>
          <w:rFonts w:ascii="Times New Roman" w:hAnsi="Times New Roman" w:cs="Times New Roman"/>
          <w:b/>
          <w:bCs/>
          <w:sz w:val="22"/>
          <w:shd w:val="clear" w:color="auto" w:fill="FFFFFF"/>
        </w:rPr>
      </w:pPr>
      <w:r>
        <w:rPr>
          <w:rFonts w:ascii="Times New Roman" w:hAnsi="Times New Roman" w:cs="Times New Roman" w:hint="eastAsia"/>
          <w:b/>
          <w:bCs/>
          <w:sz w:val="22"/>
          <w:shd w:val="clear" w:color="auto" w:fill="FFFFFF"/>
        </w:rPr>
        <w:t xml:space="preserve">Details of the </w:t>
      </w:r>
      <w:bookmarkStart w:id="0" w:name="OLE_LINK94"/>
      <w:r>
        <w:rPr>
          <w:rFonts w:ascii="Times New Roman" w:hAnsi="Times New Roman" w:cs="Times New Roman" w:hint="eastAsia"/>
          <w:b/>
          <w:bCs/>
          <w:sz w:val="22"/>
          <w:shd w:val="clear" w:color="auto" w:fill="FFFFFF"/>
        </w:rPr>
        <w:t>neuropsychological assessment</w:t>
      </w:r>
      <w:bookmarkEnd w:id="0"/>
      <w:r>
        <w:rPr>
          <w:rFonts w:ascii="Times New Roman" w:hAnsi="Times New Roman" w:cs="Times New Roman" w:hint="eastAsia"/>
          <w:b/>
          <w:bCs/>
          <w:sz w:val="22"/>
          <w:shd w:val="clear" w:color="auto" w:fill="FFFFFF"/>
        </w:rPr>
        <w:t xml:space="preserve"> scales</w:t>
      </w:r>
    </w:p>
    <w:p w14:paraId="1E235225" w14:textId="73609587" w:rsidR="008D25F1" w:rsidRDefault="0000000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2"/>
          <w:shd w:val="clear" w:color="auto" w:fill="FFFFFF"/>
        </w:rPr>
      </w:pPr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>SSRS includes 14 items with a total score of 40 and</w:t>
      </w:r>
      <w:bookmarkStart w:id="1" w:name="OLE_LINK96"/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 xml:space="preserve"> is one of the </w:t>
      </w:r>
      <w:r>
        <w:rPr>
          <w:rFonts w:ascii="Times New Roman" w:eastAsia="SimSun" w:hAnsi="Times New Roman" w:cs="Times New Roman" w:hint="eastAsia"/>
          <w:kern w:val="0"/>
          <w:sz w:val="22"/>
          <w:shd w:val="clear" w:color="auto" w:fill="FFFFFF"/>
        </w:rPr>
        <w:t>best</w:t>
      </w:r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 w:hint="eastAsia"/>
          <w:kern w:val="0"/>
          <w:sz w:val="22"/>
          <w:shd w:val="clear" w:color="auto" w:fill="FFFFFF"/>
        </w:rPr>
        <w:t>effective</w:t>
      </w:r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 xml:space="preserve"> instruments for </w:t>
      </w:r>
      <w:r>
        <w:rPr>
          <w:rFonts w:ascii="Times New Roman" w:eastAsia="SimSun" w:hAnsi="Times New Roman" w:cs="Times New Roman" w:hint="eastAsia"/>
          <w:kern w:val="0"/>
          <w:sz w:val="22"/>
          <w:shd w:val="clear" w:color="auto" w:fill="FFFFFF"/>
        </w:rPr>
        <w:t>assess</w:t>
      </w:r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>ing social support</w:t>
      </w:r>
      <w:bookmarkEnd w:id="1"/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 xml:space="preserve">. </w:t>
      </w:r>
      <w:r>
        <w:rPr>
          <w:rFonts w:ascii="Times New Roman" w:eastAsia="MinionPro-Disp" w:hAnsi="Times New Roman" w:cs="Times New Roman" w:hint="eastAsia"/>
          <w:kern w:val="0"/>
          <w:sz w:val="22"/>
          <w:shd w:val="clear" w:color="auto" w:fill="FFFFFF"/>
        </w:rPr>
        <w:t xml:space="preserve">The level of social support increases with </w:t>
      </w:r>
      <w:r>
        <w:rPr>
          <w:rFonts w:ascii="Times New Roman" w:eastAsia="SimSun" w:hAnsi="Times New Roman" w:cs="Times New Roman" w:hint="eastAsia"/>
          <w:kern w:val="0"/>
          <w:sz w:val="22"/>
          <w:shd w:val="clear" w:color="auto" w:fill="FFFFFF"/>
        </w:rPr>
        <w:t xml:space="preserve">a </w:t>
      </w:r>
      <w:r>
        <w:rPr>
          <w:rFonts w:ascii="Times New Roman" w:eastAsia="MinionPro-Disp" w:hAnsi="Times New Roman" w:cs="Times New Roman" w:hint="eastAsia"/>
          <w:kern w:val="0"/>
          <w:sz w:val="22"/>
          <w:shd w:val="clear" w:color="auto" w:fill="FFFFFF"/>
        </w:rPr>
        <w:t>score.</w:t>
      </w:r>
      <w:r>
        <w:rPr>
          <w:rFonts w:ascii="Times New Roman" w:eastAsia="SimSun" w:hAnsi="Times New Roman" w:cs="Times New Roman" w:hint="eastAsia"/>
          <w:kern w:val="0"/>
          <w:sz w:val="22"/>
          <w:shd w:val="clear" w:color="auto" w:fill="FFFFFF"/>
        </w:rPr>
        <w:t xml:space="preserve"> </w:t>
      </w:r>
      <w:r>
        <w:rPr>
          <w:rFonts w:ascii="Times New Roman" w:eastAsia="MinionPro-Disp" w:hAnsi="Times New Roman" w:cs="Times New Roman" w:hint="eastAsia"/>
          <w:kern w:val="0"/>
          <w:sz w:val="22"/>
          <w:shd w:val="clear" w:color="auto" w:fill="FFFFFF"/>
        </w:rPr>
        <w:t>Low, medium and high levels of social support scored ratings ranging from</w:t>
      </w:r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 xml:space="preserve"> 0-20, 20-30, and 30-40, respectively. Impulsivity is assessed with a 30</w:t>
      </w:r>
      <w:r w:rsidR="00F548EA"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>-</w:t>
      </w:r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>item self-report measure known as the Barratt Impulsiveness Scale (BIS-11). HAMA and HAMD to assess symptoms of anxiety and depression. The scores for no anxiety, suspected anxiety, definite anxiety, obvious anxiety, and severe anxiety were 0-7, 7</w:t>
      </w:r>
      <w:r>
        <w:rPr>
          <w:rFonts w:ascii="Times New Roman" w:hAnsi="Times New Roman" w:cs="Times New Roman"/>
          <w:kern w:val="0"/>
          <w:sz w:val="22"/>
          <w:shd w:val="clear" w:color="auto" w:fill="FFFFFF"/>
        </w:rPr>
        <w:t>-</w:t>
      </w:r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>14, 14</w:t>
      </w:r>
      <w:r>
        <w:rPr>
          <w:rFonts w:ascii="Times New Roman" w:hAnsi="Times New Roman" w:cs="Times New Roman"/>
          <w:kern w:val="0"/>
          <w:sz w:val="22"/>
          <w:shd w:val="clear" w:color="auto" w:fill="FFFFFF"/>
        </w:rPr>
        <w:t>-</w:t>
      </w:r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 xml:space="preserve">21,21-29, and 29-64, respectively. </w:t>
      </w:r>
      <w:bookmarkStart w:id="2" w:name="OLE_LINK82"/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 xml:space="preserve">The scores for low-level depression, medium-level depression, and high-level depression were 8-20, 20-35, and &gt;35, respectively. As a comprehensive measure including several cognitive tasks, the MoCA total score (range: 0-30) reflects global cognitive performance. Participants with &lt;12y of education receive a bonus point for corrections. We used </w:t>
      </w:r>
      <w:bookmarkStart w:id="3" w:name="_Hlk42071546"/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>a score of &lt;26 to define cognitive impairment</w:t>
      </w:r>
      <w:bookmarkEnd w:id="3"/>
      <w:r>
        <w:rPr>
          <w:rFonts w:ascii="Times New Roman" w:eastAsia="MinionPro-Disp" w:hAnsi="Times New Roman" w:cs="Times New Roman"/>
          <w:kern w:val="0"/>
          <w:sz w:val="22"/>
          <w:shd w:val="clear" w:color="auto" w:fill="FFFFFF"/>
        </w:rPr>
        <w:t>.</w:t>
      </w:r>
      <w:bookmarkEnd w:id="2"/>
    </w:p>
    <w:p w14:paraId="4C13161B" w14:textId="77777777" w:rsidR="008D25F1" w:rsidRDefault="008D25F1">
      <w:pPr>
        <w:spacing w:line="360" w:lineRule="auto"/>
        <w:rPr>
          <w:rFonts w:ascii="Times New Roman" w:hAnsi="Times New Roman" w:cs="Times New Roman"/>
          <w:b/>
          <w:bCs/>
          <w:sz w:val="22"/>
          <w:shd w:val="clear" w:color="auto" w:fill="FFFFFF"/>
        </w:rPr>
      </w:pPr>
    </w:p>
    <w:p w14:paraId="1343DA49" w14:textId="77777777" w:rsidR="008D25F1" w:rsidRDefault="00000000">
      <w:pPr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  <w:r>
        <w:rPr>
          <w:rFonts w:ascii="Times New Roman" w:hAnsi="Times New Roman" w:cs="Times New Roman" w:hint="eastAsia"/>
          <w:b/>
          <w:bCs/>
          <w:sz w:val="22"/>
          <w:shd w:val="clear" w:color="auto" w:fill="FFFFFF"/>
        </w:rPr>
        <w:t>Supplementary Figure1</w:t>
      </w:r>
    </w:p>
    <w:p w14:paraId="2D19D925" w14:textId="719BFC48" w:rsidR="008D25F1" w:rsidRDefault="00000000">
      <w:pPr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  <w:r>
        <w:rPr>
          <w:rFonts w:ascii="Times New Roman" w:hAnsi="Times New Roman" w:cs="Times New Roman"/>
          <w:noProof/>
          <w:sz w:val="22"/>
          <w:shd w:val="clear" w:color="auto" w:fill="FFFFFF"/>
        </w:rPr>
        <w:lastRenderedPageBreak/>
        <w:drawing>
          <wp:inline distT="0" distB="0" distL="114300" distR="114300" wp14:anchorId="1548F262" wp14:editId="2A875027">
            <wp:extent cx="5267325" cy="5078095"/>
            <wp:effectExtent l="0" t="0" r="0" b="0"/>
            <wp:docPr id="1" name="图片 1" descr="Sup.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.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D26">
        <w:rPr>
          <w:rFonts w:ascii="Times New Roman" w:hAnsi="Times New Roman" w:cs="Times New Roman"/>
          <w:sz w:val="22"/>
          <w:shd w:val="clear" w:color="auto" w:fill="FFFFFF"/>
        </w:rPr>
        <w:t>Caption</w:t>
      </w:r>
      <w:r>
        <w:rPr>
          <w:rFonts w:ascii="Times New Roman" w:hAnsi="Times New Roman" w:cs="Times New Roman"/>
          <w:sz w:val="22"/>
          <w:shd w:val="clear" w:color="auto" w:fill="FFFFFF"/>
        </w:rPr>
        <w:t xml:space="preserve">. 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>V</w:t>
      </w:r>
      <w:r>
        <w:rPr>
          <w:rFonts w:ascii="Times New Roman" w:hAnsi="Times New Roman" w:cs="Times New Roman"/>
          <w:sz w:val="22"/>
          <w:shd w:val="clear" w:color="auto" w:fill="FFFFFF"/>
        </w:rPr>
        <w:t xml:space="preserve">iolin Plots show 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>W</w:t>
      </w:r>
      <w:r>
        <w:rPr>
          <w:rFonts w:ascii="Times New Roman" w:hAnsi="Times New Roman" w:cs="Times New Roman"/>
          <w:sz w:val="22"/>
          <w:shd w:val="clear" w:color="auto" w:fill="FFFFFF"/>
        </w:rPr>
        <w:t>M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hd w:val="clear" w:color="auto" w:fill="FFFFFF"/>
        </w:rPr>
        <w:t>global network characteristics with statistically significant differences between the BQD and HC groups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>, a</w:t>
      </w:r>
      <w:r>
        <w:rPr>
          <w:rFonts w:ascii="Times New Roman" w:hAnsi="Times New Roman" w:cs="Times New Roman"/>
          <w:sz w:val="22"/>
          <w:shd w:val="clear" w:color="auto" w:fill="FFFFFF"/>
        </w:rPr>
        <w:t>fter add</w:t>
      </w:r>
      <w:r w:rsidR="00F548EA">
        <w:rPr>
          <w:rFonts w:ascii="Times New Roman" w:hAnsi="Times New Roman" w:cs="Times New Roman"/>
          <w:sz w:val="22"/>
          <w:shd w:val="clear" w:color="auto" w:fill="FFFFFF"/>
        </w:rPr>
        <w:t>ing</w:t>
      </w:r>
      <w:r>
        <w:rPr>
          <w:rFonts w:ascii="Times New Roman" w:hAnsi="Times New Roman" w:cs="Times New Roman"/>
          <w:sz w:val="22"/>
          <w:shd w:val="clear" w:color="auto" w:fill="FFFFFF"/>
        </w:rPr>
        <w:t xml:space="preserve"> the Nicotine Dependence Test Scale as an additional covariate. BQD chewers had significantly less Network Efficiency-global (a), and great </w:t>
      </w:r>
      <w:proofErr w:type="spellStart"/>
      <w:r>
        <w:rPr>
          <w:rFonts w:ascii="Times New Roman" w:hAnsi="Times New Roman" w:cs="Times New Roman"/>
          <w:sz w:val="22"/>
          <w:shd w:val="clear" w:color="auto" w:fill="FFFFFF"/>
        </w:rPr>
        <w:t>Lp</w:t>
      </w:r>
      <w:proofErr w:type="spellEnd"/>
      <w:r>
        <w:rPr>
          <w:rFonts w:ascii="Times New Roman" w:hAnsi="Times New Roman" w:cs="Times New Roman"/>
          <w:sz w:val="22"/>
          <w:shd w:val="clear" w:color="auto" w:fill="FFFFFF"/>
        </w:rPr>
        <w:t xml:space="preserve"> (b) at the global level. (c) 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 xml:space="preserve">The BQD group had lower </w:t>
      </w:r>
      <w:proofErr w:type="spellStart"/>
      <w:r>
        <w:rPr>
          <w:rFonts w:ascii="Times New Roman" w:hAnsi="Times New Roman"/>
        </w:rPr>
        <w:t>DegreeCentrality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 xml:space="preserve">than the HC group </w:t>
      </w:r>
      <w:r>
        <w:rPr>
          <w:rFonts w:ascii="Times New Roman" w:hAnsi="Times New Roman" w:cs="Times New Roman"/>
          <w:sz w:val="22"/>
          <w:shd w:val="clear" w:color="auto" w:fill="FFFFFF"/>
        </w:rPr>
        <w:t>in Node 29 (INS.L)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 xml:space="preserve">. (d) </w:t>
      </w:r>
      <w:r>
        <w:rPr>
          <w:rFonts w:ascii="Times New Roman" w:hAnsi="Times New Roman" w:cs="Times New Roman"/>
          <w:sz w:val="22"/>
          <w:shd w:val="clear" w:color="auto" w:fill="FFFFFF"/>
        </w:rPr>
        <w:t xml:space="preserve">The BQD group had lower Nodal Efficiency than the HC group 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>in</w:t>
      </w:r>
      <w:r>
        <w:rPr>
          <w:rFonts w:ascii="Times New Roman" w:hAnsi="Times New Roman" w:cs="Times New Roman"/>
          <w:sz w:val="22"/>
          <w:shd w:val="clear" w:color="auto" w:fill="FFFFFF"/>
        </w:rPr>
        <w:t xml:space="preserve"> Node 3 (</w:t>
      </w:r>
      <w:proofErr w:type="spellStart"/>
      <w:r>
        <w:rPr>
          <w:rFonts w:ascii="Times New Roman" w:hAnsi="Times New Roman" w:cs="Times New Roman"/>
          <w:sz w:val="22"/>
          <w:shd w:val="clear" w:color="auto" w:fill="FFFFFF"/>
        </w:rPr>
        <w:t>SFGdor.L</w:t>
      </w:r>
      <w:proofErr w:type="spellEnd"/>
      <w:r>
        <w:rPr>
          <w:rFonts w:ascii="Times New Roman" w:hAnsi="Times New Roman" w:cs="Times New Roman"/>
          <w:sz w:val="22"/>
          <w:shd w:val="clear" w:color="auto" w:fill="FFFFFF"/>
        </w:rPr>
        <w:t>), Node 29 (INS.L), 30 (INS.R), 37 (HIP.L), 38(HIP.R), 59 (SPG.L), 60 (SPG.R), 61 (IPL.L) and 67 (PCUN.L) with covariates (</w:t>
      </w:r>
      <w:r>
        <w:rPr>
          <w:rFonts w:ascii="Times New Roman" w:hAnsi="Times New Roman" w:cs="Times New Roman"/>
          <w:i/>
          <w:iCs/>
          <w:sz w:val="22"/>
          <w:shd w:val="clear" w:color="auto" w:fill="FFFFFF"/>
        </w:rPr>
        <w:t>p</w:t>
      </w:r>
      <w:r>
        <w:rPr>
          <w:rFonts w:ascii="Times New Roman" w:hAnsi="Times New Roman" w:cs="Times New Roman"/>
          <w:sz w:val="22"/>
          <w:shd w:val="clear" w:color="auto" w:fill="FFFFFF"/>
        </w:rPr>
        <w:t>≤0.05, FDR-corrected). (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>e</w:t>
      </w:r>
      <w:r>
        <w:rPr>
          <w:rFonts w:ascii="Times New Roman" w:hAnsi="Times New Roman" w:cs="Times New Roman"/>
          <w:sz w:val="22"/>
          <w:shd w:val="clear" w:color="auto" w:fill="FFFFFF"/>
        </w:rPr>
        <w:t>)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 xml:space="preserve"> and (f) showed the location of significant difference nod</w:t>
      </w:r>
      <w:r w:rsidR="00F548EA">
        <w:rPr>
          <w:rFonts w:ascii="Times New Roman" w:hAnsi="Times New Roman" w:cs="Times New Roman"/>
          <w:sz w:val="22"/>
          <w:shd w:val="clear" w:color="auto" w:fill="FFFFFF"/>
        </w:rPr>
        <w:t>e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 xml:space="preserve">s of </w:t>
      </w:r>
      <w:proofErr w:type="spellStart"/>
      <w:r>
        <w:rPr>
          <w:rFonts w:ascii="Times New Roman" w:hAnsi="Times New Roman"/>
        </w:rPr>
        <w:t>DegreeCentrality</w:t>
      </w:r>
      <w:proofErr w:type="spellEnd"/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 xml:space="preserve">and </w:t>
      </w:r>
      <w:r>
        <w:rPr>
          <w:rFonts w:ascii="Times New Roman" w:hAnsi="Times New Roman" w:cs="Times New Roman"/>
          <w:sz w:val="22"/>
          <w:shd w:val="clear" w:color="auto" w:fill="FFFFFF"/>
        </w:rPr>
        <w:t>Nodal Efficiency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 xml:space="preserve"> in </w:t>
      </w:r>
      <w:r w:rsidR="00F548EA">
        <w:rPr>
          <w:rFonts w:ascii="Times New Roman" w:hAnsi="Times New Roman" w:cs="Times New Roman"/>
          <w:sz w:val="22"/>
          <w:shd w:val="clear" w:color="auto" w:fill="FFFFFF"/>
        </w:rPr>
        <w:t xml:space="preserve">the 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>W</w:t>
      </w:r>
      <w:r>
        <w:rPr>
          <w:rFonts w:ascii="Times New Roman" w:hAnsi="Times New Roman" w:cs="Times New Roman"/>
          <w:sz w:val="22"/>
          <w:shd w:val="clear" w:color="auto" w:fill="FFFFFF"/>
        </w:rPr>
        <w:t>M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 xml:space="preserve"> </w:t>
      </w:r>
      <w:r>
        <w:rPr>
          <w:rFonts w:ascii="Times New Roman" w:eastAsia="SimSun" w:hAnsi="Times New Roman" w:cs="Times New Roman"/>
          <w:kern w:val="0"/>
          <w:sz w:val="22"/>
          <w:shd w:val="clear" w:color="auto" w:fill="FFFFFF"/>
        </w:rPr>
        <w:t>anatomical</w:t>
      </w:r>
      <w:r>
        <w:rPr>
          <w:rFonts w:ascii="Times New Roman" w:hAnsi="Times New Roman" w:cs="Times New Roman"/>
          <w:sz w:val="22"/>
          <w:shd w:val="clear" w:color="auto" w:fill="FFFFFF"/>
        </w:rPr>
        <w:t xml:space="preserve"> network. </w:t>
      </w:r>
    </w:p>
    <w:p w14:paraId="53AC23E0" w14:textId="77777777" w:rsidR="008D25F1" w:rsidRDefault="00000000">
      <w:pPr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  <w:r>
        <w:rPr>
          <w:rFonts w:ascii="Times New Roman" w:hAnsi="Times New Roman" w:cs="Times New Roman" w:hint="eastAsia"/>
          <w:sz w:val="22"/>
          <w:shd w:val="clear" w:color="auto" w:fill="FFFFFF"/>
        </w:rPr>
        <w:t>W</w:t>
      </w:r>
      <w:r>
        <w:rPr>
          <w:rFonts w:ascii="Times New Roman" w:hAnsi="Times New Roman" w:cs="Times New Roman"/>
          <w:sz w:val="22"/>
          <w:shd w:val="clear" w:color="auto" w:fill="FFFFFF"/>
        </w:rPr>
        <w:t>M</w:t>
      </w:r>
      <w:r>
        <w:rPr>
          <w:rFonts w:ascii="Times New Roman" w:hAnsi="Times New Roman" w:cs="Times New Roman" w:hint="eastAsia"/>
          <w:sz w:val="22"/>
          <w:shd w:val="clear" w:color="auto" w:fill="FFFFFF"/>
        </w:rPr>
        <w:t xml:space="preserve">, white matter; </w:t>
      </w:r>
      <w:r>
        <w:rPr>
          <w:rFonts w:ascii="Times New Roman" w:hAnsi="Times New Roman" w:cs="Times New Roman"/>
          <w:sz w:val="22"/>
          <w:shd w:val="clear" w:color="auto" w:fill="FFFFFF"/>
        </w:rPr>
        <w:t>BQD, betel quid dependence; HC, healthy control.</w:t>
      </w:r>
    </w:p>
    <w:p w14:paraId="0DE93480" w14:textId="77777777" w:rsidR="008D25F1" w:rsidRDefault="00000000">
      <w:pPr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  <w:r>
        <w:rPr>
          <w:rFonts w:ascii="Times New Roman" w:hAnsi="Times New Roman" w:cs="Times New Roman"/>
          <w:sz w:val="22"/>
          <w:shd w:val="clear" w:color="auto" w:fill="FFFFFF"/>
        </w:rPr>
        <w:t>Group differences: *</w:t>
      </w:r>
      <w:r>
        <w:rPr>
          <w:rFonts w:ascii="Times New Roman" w:hAnsi="Times New Roman" w:cs="Times New Roman"/>
          <w:i/>
          <w:iCs/>
          <w:sz w:val="22"/>
          <w:shd w:val="clear" w:color="auto" w:fill="FFFFFF"/>
        </w:rPr>
        <w:t>p</w:t>
      </w:r>
      <w:r>
        <w:rPr>
          <w:rFonts w:ascii="DengXian" w:hAnsi="DengXian" w:cs="Times New Roman"/>
          <w:sz w:val="22"/>
          <w:shd w:val="clear" w:color="auto" w:fill="FFFFFF"/>
        </w:rPr>
        <w:t>＜</w:t>
      </w:r>
      <w:r>
        <w:rPr>
          <w:rFonts w:ascii="Times New Roman" w:hAnsi="Times New Roman" w:cs="Times New Roman"/>
          <w:sz w:val="22"/>
          <w:shd w:val="clear" w:color="auto" w:fill="FFFFFF"/>
        </w:rPr>
        <w:t>0.05; **</w:t>
      </w:r>
      <w:r>
        <w:rPr>
          <w:rFonts w:ascii="Times New Roman" w:hAnsi="Times New Roman" w:cs="Times New Roman"/>
          <w:i/>
          <w:iCs/>
          <w:sz w:val="22"/>
          <w:shd w:val="clear" w:color="auto" w:fill="FFFFFF"/>
        </w:rPr>
        <w:t>p</w:t>
      </w:r>
      <w:r>
        <w:rPr>
          <w:rFonts w:ascii="DengXian" w:hAnsi="DengXian" w:cs="Times New Roman"/>
          <w:sz w:val="22"/>
          <w:shd w:val="clear" w:color="auto" w:fill="FFFFFF"/>
        </w:rPr>
        <w:t>＜</w:t>
      </w:r>
      <w:r>
        <w:rPr>
          <w:rFonts w:ascii="Times New Roman" w:hAnsi="Times New Roman" w:cs="Times New Roman"/>
          <w:sz w:val="22"/>
          <w:shd w:val="clear" w:color="auto" w:fill="FFFFFF"/>
        </w:rPr>
        <w:t>0.01, ***</w:t>
      </w:r>
      <w:r>
        <w:rPr>
          <w:rFonts w:ascii="Times New Roman" w:hAnsi="Times New Roman" w:cs="Times New Roman"/>
          <w:i/>
          <w:iCs/>
          <w:sz w:val="22"/>
          <w:shd w:val="clear" w:color="auto" w:fill="FFFFFF"/>
        </w:rPr>
        <w:t>p</w:t>
      </w:r>
      <w:r>
        <w:rPr>
          <w:rFonts w:ascii="DengXian" w:hAnsi="DengXian" w:cs="Times New Roman"/>
          <w:sz w:val="22"/>
          <w:shd w:val="clear" w:color="auto" w:fill="FFFFFF"/>
        </w:rPr>
        <w:t>＜</w:t>
      </w:r>
      <w:r>
        <w:rPr>
          <w:rFonts w:ascii="Times New Roman" w:hAnsi="Times New Roman" w:cs="Times New Roman"/>
          <w:sz w:val="22"/>
          <w:shd w:val="clear" w:color="auto" w:fill="FFFFFF"/>
        </w:rPr>
        <w:t>0.001.</w:t>
      </w:r>
    </w:p>
    <w:p w14:paraId="468FCA19" w14:textId="77777777" w:rsidR="008D25F1" w:rsidRDefault="008D25F1"/>
    <w:sectPr w:rsidR="008D25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Disp">
    <w:altName w:val="Yu Gothic"/>
    <w:charset w:val="80"/>
    <w:family w:val="roman"/>
    <w:pitch w:val="default"/>
    <w:sig w:usb0="00000000" w:usb1="00000000" w:usb2="00000010" w:usb3="00000000" w:csb0="00020000" w:csb1="00000000"/>
  </w:font>
  <w:font w:name="DengXian">
    <w:altName w:val="Microsoft YaHei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hideSpellingErrors/>
  <w:hideGrammaticalErrors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QwtTQ3NDU3szQ2sDRR0lEKTi0uzszPAykwrAUAcxwHAiwAAAA="/>
    <w:docVar w:name="commondata" w:val="eyJoZGlkIjoiNzEzMWM4OTZlNTkyNjEyNjBiN2Y3NDU0YzVlYTMwZjcifQ=="/>
  </w:docVars>
  <w:rsids>
    <w:rsidRoot w:val="008D25F1"/>
    <w:rsid w:val="008D25F1"/>
    <w:rsid w:val="009E5D26"/>
    <w:rsid w:val="00AA5D40"/>
    <w:rsid w:val="00F548EA"/>
    <w:rsid w:val="01CB0DC4"/>
    <w:rsid w:val="5AF0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BE354D"/>
  <w15:docId w15:val="{563B8D48-FB70-40B5-A1CD-001888319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1692</Characters>
  <Application>Microsoft Office Word</Application>
  <DocSecurity>0</DocSecurity>
  <Lines>14</Lines>
  <Paragraphs>3</Paragraphs>
  <ScaleCrop>false</ScaleCrop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hwy</dc:creator>
  <cp:lastModifiedBy>Juliana Mazarello</cp:lastModifiedBy>
  <cp:revision>3</cp:revision>
  <dcterms:created xsi:type="dcterms:W3CDTF">2022-11-02T10:05:00Z</dcterms:created>
  <dcterms:modified xsi:type="dcterms:W3CDTF">2022-11-21T09:20:00Z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50E23A14E16344C8A27C1EC54F28E0DC</vt:lpwstr>
  </property>
  <property fmtid="{D5CDD505-2E9C-101B-9397-08002B2CF9AE}" pid="4" name="GrammarlyDocumentId">
    <vt:lpwstr>88cf74c365c467e62191544cc3a7d991244d3c15899d815cb82dba1ce1554b91</vt:lpwstr>
  </property>
</Properties>
</file>