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  <w:t>Supplementary Material</w:t>
      </w:r>
    </w:p>
    <w:p>
      <w:pPr>
        <w:jc w:val="center"/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</w:pPr>
    </w:p>
    <w:p>
      <w:pPr>
        <w:rPr>
          <w:rFonts w:hint="default" w:ascii="Times New Roman Regular" w:hAnsi="Times New Roman Regular" w:eastAsia="Times New Roman" w:cs="Times New Roman Regular"/>
          <w:sz w:val="24"/>
        </w:rPr>
      </w:pPr>
      <w:r>
        <w:rPr>
          <w:rFonts w:hint="default" w:ascii="Times New Roman Regular" w:hAnsi="Times New Roman Regular" w:cs="Times New Roman Regular"/>
          <w:highlight w:val="yellow"/>
        </w:rPr>
        <w:t xml:space="preserve">STable </w:t>
      </w:r>
      <w:r>
        <w:rPr>
          <w:rFonts w:hint="default" w:ascii="Times New Roman Regular" w:hAnsi="Times New Roman Regular" w:cs="Times New Roman Regular"/>
          <w:highlight w:val="yellow"/>
        </w:rPr>
        <w:t>1</w:t>
      </w:r>
      <w:r>
        <w:rPr>
          <w:rFonts w:hint="default" w:ascii="Times New Roman Regular" w:hAnsi="Times New Roman Regular" w:cs="Times New Roman Regular"/>
          <w:highlight w:val="none"/>
        </w:rPr>
        <w:t xml:space="preserve"> Multi</w:t>
      </w:r>
      <w:r>
        <w:rPr>
          <w:rFonts w:hint="default" w:ascii="Times New Roman Regular" w:hAnsi="Times New Roman Regular" w:cs="Times New Roman Regular"/>
          <w:highlight w:val="none"/>
        </w:rPr>
        <w:t>ple</w:t>
      </w:r>
      <w:r>
        <w:rPr>
          <w:rFonts w:hint="default" w:ascii="Times New Roman Regular" w:hAnsi="Times New Roman Regular" w:cs="Times New Roman Regular"/>
        </w:rPr>
        <w:t xml:space="preserve"> l</w:t>
      </w:r>
      <w:r>
        <w:rPr>
          <w:rFonts w:hint="default" w:ascii="Times New Roman Regular" w:hAnsi="Times New Roman Regular" w:cs="Times New Roman Regular"/>
        </w:rPr>
        <w:t>inear</w:t>
      </w:r>
      <w:r>
        <w:rPr>
          <w:rFonts w:hint="default" w:ascii="Times New Roman Regular" w:hAnsi="Times New Roman Regular" w:cs="Times New Roman Regular"/>
        </w:rPr>
        <w:t xml:space="preserve"> regression model testing the association between </w:t>
      </w:r>
      <w:r>
        <w:rPr>
          <w:rFonts w:hint="default" w:ascii="Times New Roman Regular" w:hAnsi="Times New Roman Regular" w:cs="Times New Roman Regular"/>
        </w:rPr>
        <w:t>employment type</w:t>
      </w:r>
      <w:r>
        <w:rPr>
          <w:rFonts w:hint="default" w:ascii="Times New Roman Regular" w:hAnsi="Times New Roman Regular" w:cs="Times New Roman Regular"/>
        </w:rPr>
        <w:t xml:space="preserve"> and </w:t>
      </w:r>
      <w:r>
        <w:rPr>
          <w:rFonts w:hint="default" w:ascii="Times New Roman Regular" w:hAnsi="Times New Roman Regular" w:cs="Times New Roman Regular"/>
        </w:rPr>
        <w:t>social support among nurses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691"/>
        <w:gridCol w:w="1926"/>
        <w:gridCol w:w="18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820" w:type="pct"/>
            <w:tcBorders>
              <w:bottom w:val="single" w:color="auto" w:sz="4" w:space="0"/>
            </w:tcBorders>
          </w:tcPr>
          <w:p>
            <w:pP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  <w:t>Variable</w:t>
            </w:r>
          </w:p>
        </w:tc>
        <w:tc>
          <w:tcPr>
            <w:tcW w:w="99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  <w:t>B</w:t>
            </w:r>
          </w:p>
        </w:tc>
        <w:tc>
          <w:tcPr>
            <w:tcW w:w="113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  <w:t>SE</w:t>
            </w:r>
          </w:p>
        </w:tc>
        <w:tc>
          <w:tcPr>
            <w:tcW w:w="1056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Italic" w:hAnsi="Times New Roman Italic" w:eastAsia="Times New Roman" w:cs="Times New Roman Italic"/>
                <w:i/>
                <w:iCs/>
                <w:sz w:val="21"/>
                <w:szCs w:val="21"/>
                <w:vertAlign w:val="baseline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820" w:type="pct"/>
            <w:tcBorders>
              <w:top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  <w:t>Employment type</w:t>
            </w:r>
          </w:p>
        </w:tc>
        <w:tc>
          <w:tcPr>
            <w:tcW w:w="992" w:type="pct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  <w:t>1.932</w:t>
            </w:r>
          </w:p>
        </w:tc>
        <w:tc>
          <w:tcPr>
            <w:tcW w:w="1130" w:type="pct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  <w:t>0.551</w:t>
            </w:r>
          </w:p>
        </w:tc>
        <w:tc>
          <w:tcPr>
            <w:tcW w:w="1056" w:type="pct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</w:rPr>
              <w:t>&lt;0.001</w:t>
            </w:r>
          </w:p>
        </w:tc>
      </w:tr>
    </w:tbl>
    <w:p>
      <w:pP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</w:pPr>
      <w:r>
        <w:rPr>
          <w:rFonts w:hint="default" w:ascii="Times New Roman Regular" w:hAnsi="Times New Roman Regular" w:cs="Times New Roman Regular"/>
          <w:sz w:val="18"/>
          <w:szCs w:val="18"/>
        </w:rPr>
        <w:t>N</w:t>
      </w:r>
      <w:r>
        <w:rPr>
          <w:rFonts w:hint="default" w:ascii="Times New Roman Regular" w:hAnsi="Times New Roman Regular" w:cs="Times New Roman Regular"/>
          <w:sz w:val="18"/>
          <w:szCs w:val="18"/>
          <w:lang w:val="en-US" w:eastAsia="zh-Hans"/>
        </w:rPr>
        <w:t>ote</w:t>
      </w:r>
      <w:r>
        <w:rPr>
          <w:rFonts w:hint="default" w:ascii="Times New Roman Regular" w:hAnsi="Times New Roman Regular" w:cs="Times New Roman Regular"/>
          <w:sz w:val="18"/>
          <w:szCs w:val="18"/>
          <w:lang w:eastAsia="zh-Hans"/>
        </w:rPr>
        <w:t>:</w:t>
      </w:r>
      <w:r>
        <w:rPr>
          <w:rFonts w:hint="default" w:ascii="Times New Roman Regular" w:hAnsi="Times New Roman Regular" w:eastAsia="Times New Roman" w:cs="Times New Roman Regular"/>
          <w:color w:val="auto"/>
          <w:position w:val="0"/>
          <w:sz w:val="21"/>
          <w:szCs w:val="21"/>
        </w:rPr>
        <w:t>B,</w:t>
      </w:r>
      <w: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  <w:t xml:space="preserve"> Coefficient; SE, Standard error</w:t>
      </w:r>
      <w: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  <w:t xml:space="preserve">. </w:t>
      </w:r>
      <w: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  <w:t>Model : adjusted for age, education background, department, professional title.</w:t>
      </w:r>
    </w:p>
    <w:p>
      <w:pP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</w:pPr>
    </w:p>
    <w:p>
      <w:pPr>
        <w:rPr>
          <w:rFonts w:hint="default" w:ascii="Times New Roman Regular" w:hAnsi="Times New Roman Regular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cs="Times New Roman Regular"/>
          <w:highlight w:val="yellow"/>
        </w:rPr>
        <w:t>STable 2</w:t>
      </w:r>
      <w:r>
        <w:rPr>
          <w:rFonts w:hint="default" w:ascii="Times New Roman Regular" w:hAnsi="Times New Roman Regular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  <w:highlight w:val="none"/>
        </w:rPr>
        <w:t>Multivariate</w:t>
      </w:r>
      <w:r>
        <w:rPr>
          <w:rFonts w:hint="default" w:ascii="Times New Roman Regular" w:hAnsi="Times New Roman Regular" w:cs="Times New Roman Regular"/>
        </w:rPr>
        <w:t xml:space="preserve"> logistic regression model testing the association between social support and depressive symptoms among </w:t>
      </w:r>
      <w:r>
        <w:rPr>
          <w:rFonts w:hint="default" w:ascii="Times New Roman Regular" w:hAnsi="Times New Roman Regular" w:cs="Times New Roman Regular"/>
        </w:rPr>
        <w:t>nurses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851"/>
        <w:gridCol w:w="1311"/>
        <w:gridCol w:w="1336"/>
        <w:gridCol w:w="1276"/>
        <w:gridCol w:w="1396"/>
        <w:gridCol w:w="135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851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Hans"/>
              </w:rPr>
              <w:t>Employment</w:t>
            </w: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Hans"/>
              </w:rPr>
              <w:t>type</w:t>
            </w: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Hans"/>
              </w:rPr>
              <w:t xml:space="preserve"> 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</w:rPr>
              <w:t>B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</w:rPr>
              <w:t>SE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</w:rPr>
              <w:t>P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</w:rPr>
              <w:t>OR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</w:rPr>
              <w:t>95%CI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851" w:type="dxa"/>
            <w:tcBorders>
              <w:bottom w:val="nil"/>
            </w:tcBorders>
          </w:tcPr>
          <w:p>
            <w:pP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  <w:t>Formal (ref.)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851" w:type="dxa"/>
            <w:tcBorders>
              <w:top w:val="nil"/>
              <w:tl2br w:val="nil"/>
              <w:tr2bl w:val="nil"/>
            </w:tcBorders>
          </w:tcPr>
          <w:p>
            <w:pP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Hans" w:bidi="th-TH"/>
              </w:rPr>
              <w:t>Contact</w:t>
            </w:r>
          </w:p>
        </w:tc>
        <w:tc>
          <w:tcPr>
            <w:tcW w:w="1311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  <w:t>0.033</w:t>
            </w:r>
          </w:p>
        </w:tc>
        <w:tc>
          <w:tcPr>
            <w:tcW w:w="1336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  <w:t>0.156</w:t>
            </w:r>
          </w:p>
        </w:tc>
        <w:tc>
          <w:tcPr>
            <w:tcW w:w="1276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  <w:t>0.832</w:t>
            </w:r>
          </w:p>
        </w:tc>
        <w:tc>
          <w:tcPr>
            <w:tcW w:w="1396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  <w:t>1.034</w:t>
            </w:r>
          </w:p>
        </w:tc>
        <w:tc>
          <w:tcPr>
            <w:tcW w:w="1352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1"/>
                <w:szCs w:val="21"/>
                <w:vertAlign w:val="baseline"/>
                <w:lang w:eastAsia="zh-CN"/>
              </w:rPr>
              <w:t>0.761</w:t>
            </w:r>
            <w:r>
              <w:rPr>
                <w:rFonts w:hint="default" w:ascii="Times New Roman Regular" w:hAnsi="Times New Roman Regular" w:cs="Times New Roman Regular"/>
              </w:rPr>
              <w:t>~</w:t>
            </w:r>
            <w:r>
              <w:rPr>
                <w:rFonts w:hint="default" w:ascii="Times New Roman Regular" w:hAnsi="Times New Roman Regular" w:cs="Times New Roman Regular"/>
              </w:rPr>
              <w:t>1.404</w:t>
            </w:r>
          </w:p>
        </w:tc>
      </w:tr>
    </w:tbl>
    <w:p>
      <w:pP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</w:pPr>
      <w:r>
        <w:rPr>
          <w:rFonts w:hint="default" w:ascii="Times New Roman Regular" w:hAnsi="Times New Roman Regular" w:cs="Times New Roman Regular"/>
          <w:sz w:val="18"/>
          <w:szCs w:val="18"/>
        </w:rPr>
        <w:t>N</w:t>
      </w:r>
      <w:r>
        <w:rPr>
          <w:rFonts w:hint="default" w:ascii="Times New Roman Regular" w:hAnsi="Times New Roman Regular" w:cs="Times New Roman Regular"/>
          <w:sz w:val="18"/>
          <w:szCs w:val="18"/>
          <w:lang w:val="en-US" w:eastAsia="zh-Hans"/>
        </w:rPr>
        <w:t>ote</w:t>
      </w:r>
      <w:r>
        <w:rPr>
          <w:rFonts w:hint="default" w:ascii="Times New Roman Regular" w:hAnsi="Times New Roman Regular" w:cs="Times New Roman Regular"/>
          <w:sz w:val="18"/>
          <w:szCs w:val="18"/>
          <w:lang w:eastAsia="zh-Hans"/>
        </w:rPr>
        <w:t>:</w:t>
      </w:r>
      <w:r>
        <w:rPr>
          <w:rFonts w:hint="default" w:ascii="Times New Roman Regular" w:hAnsi="Times New Roman Regular" w:eastAsia="Times New Roman" w:cs="Times New Roman Regular"/>
          <w:color w:val="auto"/>
          <w:position w:val="0"/>
          <w:sz w:val="21"/>
          <w:szCs w:val="21"/>
        </w:rPr>
        <w:t>B,</w:t>
      </w:r>
      <w: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  <w:t xml:space="preserve"> Coefficient; SE, Standard error; </w:t>
      </w:r>
      <w:r>
        <w:rPr>
          <w:rFonts w:hint="default" w:ascii="Times New Roman Regular" w:hAnsi="Times New Roman Regular" w:cs="Times New Roman Regular"/>
          <w:sz w:val="18"/>
          <w:szCs w:val="18"/>
        </w:rPr>
        <w:t>OR, odds ratio; CI, confidence interval.</w:t>
      </w:r>
      <w:r>
        <w:rPr>
          <w:rFonts w:hint="default" w:ascii="Times New Roman Regular" w:hAnsi="Times New Roman Regular" w:cs="Times New Roman Regular"/>
          <w:sz w:val="18"/>
          <w:szCs w:val="18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  <w:t>Model : adjusted for age, education background, department, professional title.</w:t>
      </w:r>
    </w:p>
    <w:p>
      <w:pPr>
        <w:jc w:val="both"/>
        <w:rPr>
          <w:rFonts w:hint="default" w:ascii="Times New Roman Regular" w:hAnsi="Times New Roman Regular" w:cs="Times New Roman Regular"/>
          <w:sz w:val="18"/>
          <w:szCs w:val="18"/>
        </w:rPr>
      </w:pPr>
    </w:p>
    <w:p>
      <w:pPr>
        <w:jc w:val="both"/>
        <w:rPr>
          <w:rFonts w:hint="default" w:ascii="Times New Roman Regular" w:hAnsi="Times New Roman Regular" w:cs="Times New Roman Regular"/>
          <w:sz w:val="18"/>
          <w:szCs w:val="18"/>
          <w:lang w:val="en-US" w:eastAsia="zh-CN"/>
        </w:rPr>
      </w:pPr>
    </w:p>
    <w:p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 xml:space="preserve">STable </w:t>
      </w:r>
      <w:r>
        <w:rPr>
          <w:rFonts w:hint="default" w:ascii="Times New Roman Regular" w:hAnsi="Times New Roman Regular" w:cs="Times New Roman Regular"/>
        </w:rPr>
        <w:t>3</w:t>
      </w:r>
      <w:r>
        <w:rPr>
          <w:rFonts w:hint="default" w:ascii="Times New Roman Regular" w:hAnsi="Times New Roman Regular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  <w:highlight w:val="none"/>
        </w:rPr>
        <w:t>Multivariate</w:t>
      </w:r>
      <w:r>
        <w:rPr>
          <w:rFonts w:hint="default" w:ascii="Times New Roman Regular" w:hAnsi="Times New Roman Regular" w:cs="Times New Roman Regular"/>
        </w:rPr>
        <w:t xml:space="preserve"> logistic regression model testing the association between social support and depressive symptoms among formal employee and contract employee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233"/>
        <w:gridCol w:w="876"/>
        <w:gridCol w:w="1021"/>
        <w:gridCol w:w="809"/>
        <w:gridCol w:w="975"/>
        <w:gridCol w:w="12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</w:tcPr>
          <w:p>
            <w:pPr>
              <w:rPr>
                <w:rFonts w:hint="default" w:ascii="Times New Roman Regular" w:hAnsi="Times New Roman Regular" w:cs="Times New Roman Regular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lang w:eastAsia="zh-Hans"/>
              </w:rPr>
              <w:t>Type</w:t>
            </w:r>
          </w:p>
        </w:tc>
        <w:tc>
          <w:tcPr>
            <w:tcW w:w="1310" w:type="pct"/>
          </w:tcPr>
          <w:p>
            <w:pPr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Variables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</w:p>
        </w:tc>
        <w:tc>
          <w:tcPr>
            <w:tcW w:w="514" w:type="pct"/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B</w:t>
            </w:r>
          </w:p>
        </w:tc>
        <w:tc>
          <w:tcPr>
            <w:tcW w:w="599" w:type="pct"/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SE</w:t>
            </w:r>
          </w:p>
        </w:tc>
        <w:tc>
          <w:tcPr>
            <w:tcW w:w="474" w:type="pct"/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</w:rPr>
              <w:t>P</w:t>
            </w:r>
          </w:p>
        </w:tc>
        <w:tc>
          <w:tcPr>
            <w:tcW w:w="572" w:type="pct"/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OR</w:t>
            </w:r>
          </w:p>
        </w:tc>
        <w:tc>
          <w:tcPr>
            <w:tcW w:w="759" w:type="pct"/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95%CI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Formal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</w:p>
        </w:tc>
        <w:tc>
          <w:tcPr>
            <w:tcW w:w="131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Subjective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support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-0.094</w:t>
            </w:r>
          </w:p>
        </w:tc>
        <w:tc>
          <w:tcPr>
            <w:tcW w:w="59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0.031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</w:rPr>
              <w:t>0.003</w:t>
            </w:r>
          </w:p>
        </w:tc>
        <w:tc>
          <w:tcPr>
            <w:tcW w:w="572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0.910</w:t>
            </w:r>
          </w:p>
        </w:tc>
        <w:tc>
          <w:tcPr>
            <w:tcW w:w="75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0.856~0.968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Objective support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-0.058</w:t>
            </w:r>
          </w:p>
        </w:tc>
        <w:tc>
          <w:tcPr>
            <w:tcW w:w="59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0.066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0.379</w:t>
            </w:r>
          </w:p>
        </w:tc>
        <w:tc>
          <w:tcPr>
            <w:tcW w:w="572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0.943</w:t>
            </w:r>
          </w:p>
        </w:tc>
        <w:tc>
          <w:tcPr>
            <w:tcW w:w="75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0.828~1.074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lang w:val="en-US" w:eastAsia="zh-Hans"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eastAsia="zh-Hans"/>
              </w:rPr>
              <w:t>Support u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tilization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-0.361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0.073</w:t>
            </w:r>
          </w:p>
        </w:tc>
        <w:tc>
          <w:tcPr>
            <w:tcW w:w="474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</w:rPr>
              <w:t>&lt;0.001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0.697</w:t>
            </w:r>
          </w:p>
        </w:tc>
        <w:tc>
          <w:tcPr>
            <w:tcW w:w="759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0.605~0.804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lang w:val="en-US" w:eastAsia="zh-Hans"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lang w:eastAsia="zh-Hans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599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474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b/>
                <w:bCs/>
              </w:rPr>
            </w:pPr>
          </w:p>
        </w:tc>
        <w:tc>
          <w:tcPr>
            <w:tcW w:w="572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759" w:type="pct"/>
            <w:tcBorders>
              <w:top w:val="nil"/>
              <w:bottom w:val="nil"/>
            </w:tcBorders>
          </w:tcPr>
          <w:p>
            <w:pPr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Hans" w:bidi="th-TH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Hans" w:bidi="th-TH"/>
              </w:rPr>
              <w:t>Contact</w:t>
            </w:r>
          </w:p>
        </w:tc>
        <w:tc>
          <w:tcPr>
            <w:tcW w:w="1310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Hans" w:bidi="th-TH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Subjective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support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-0.112</w:t>
            </w:r>
          </w:p>
        </w:tc>
        <w:tc>
          <w:tcPr>
            <w:tcW w:w="59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0.015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b/>
                <w:bCs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</w:rPr>
              <w:t>&lt;0.001</w:t>
            </w:r>
          </w:p>
        </w:tc>
        <w:tc>
          <w:tcPr>
            <w:tcW w:w="572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0.894</w:t>
            </w:r>
          </w:p>
        </w:tc>
        <w:tc>
          <w:tcPr>
            <w:tcW w:w="75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0.868~0.921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Hans" w:bidi="th-TH"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Hans" w:bidi="th-TH"/>
              </w:rPr>
            </w:pPr>
            <w:r>
              <w:rPr>
                <w:rFonts w:hint="default" w:ascii="Times New Roman Regular" w:hAnsi="Times New Roman Regular" w:cs="Times New Roman Regular"/>
              </w:rPr>
              <w:t>Objective support</w:t>
            </w:r>
          </w:p>
        </w:tc>
        <w:tc>
          <w:tcPr>
            <w:tcW w:w="51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-0.120</w:t>
            </w:r>
          </w:p>
        </w:tc>
        <w:tc>
          <w:tcPr>
            <w:tcW w:w="59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0.030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b/>
                <w:bCs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</w:rPr>
              <w:t>&lt;0.001</w:t>
            </w:r>
          </w:p>
        </w:tc>
        <w:tc>
          <w:tcPr>
            <w:tcW w:w="572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0.887</w:t>
            </w:r>
          </w:p>
        </w:tc>
        <w:tc>
          <w:tcPr>
            <w:tcW w:w="759" w:type="pc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0.836~0.941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770" w:type="pct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Hans" w:bidi="th-TH"/>
              </w:rPr>
            </w:pPr>
          </w:p>
        </w:tc>
        <w:tc>
          <w:tcPr>
            <w:tcW w:w="1310" w:type="pct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val="en-US" w:eastAsia="zh-Hans" w:bidi="th-TH"/>
              </w:rPr>
            </w:pPr>
            <w:r>
              <w:rPr>
                <w:rFonts w:hint="default" w:ascii="Times New Roman Regular" w:hAnsi="Times New Roman Regular" w:cs="Times New Roman Regular"/>
                <w:lang w:eastAsia="zh-Hans"/>
              </w:rPr>
              <w:t>Support u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tilization</w:t>
            </w:r>
          </w:p>
        </w:tc>
        <w:tc>
          <w:tcPr>
            <w:tcW w:w="514" w:type="pct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-0.166</w:t>
            </w:r>
          </w:p>
        </w:tc>
        <w:tc>
          <w:tcPr>
            <w:tcW w:w="599" w:type="pct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0.033</w:t>
            </w:r>
          </w:p>
        </w:tc>
        <w:tc>
          <w:tcPr>
            <w:tcW w:w="474" w:type="pct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b/>
                <w:bCs/>
                <w:kern w:val="2"/>
                <w:sz w:val="21"/>
                <w:szCs w:val="24"/>
                <w:lang w:val="en-US"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</w:rPr>
              <w:t>&lt;0.001</w:t>
            </w:r>
          </w:p>
        </w:tc>
        <w:tc>
          <w:tcPr>
            <w:tcW w:w="572" w:type="pct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0.847</w:t>
            </w:r>
          </w:p>
        </w:tc>
        <w:tc>
          <w:tcPr>
            <w:tcW w:w="759" w:type="pct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4"/>
                <w:lang w:eastAsia="zh-CN" w:bidi="th-TH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  <w:szCs w:val="24"/>
                <w:lang w:eastAsia="zh-CN" w:bidi="th-TH"/>
              </w:rPr>
              <w:t>0.793~0.905</w:t>
            </w:r>
          </w:p>
        </w:tc>
      </w:tr>
    </w:tbl>
    <w:p>
      <w:pP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</w:pPr>
      <w:r>
        <w:rPr>
          <w:rFonts w:hint="default" w:ascii="Times New Roman Regular" w:hAnsi="Times New Roman Regular" w:cs="Times New Roman Regular"/>
          <w:sz w:val="18"/>
          <w:szCs w:val="18"/>
        </w:rPr>
        <w:t>N</w:t>
      </w:r>
      <w:r>
        <w:rPr>
          <w:rFonts w:hint="default" w:ascii="Times New Roman Regular" w:hAnsi="Times New Roman Regular" w:cs="Times New Roman Regular"/>
          <w:sz w:val="18"/>
          <w:szCs w:val="18"/>
          <w:lang w:val="en-US" w:eastAsia="zh-Hans"/>
        </w:rPr>
        <w:t>ote</w:t>
      </w:r>
      <w:r>
        <w:rPr>
          <w:rFonts w:hint="default" w:ascii="Times New Roman Regular" w:hAnsi="Times New Roman Regular" w:cs="Times New Roman Regular"/>
          <w:sz w:val="18"/>
          <w:szCs w:val="18"/>
          <w:lang w:eastAsia="zh-Hans"/>
        </w:rPr>
        <w:t>:</w:t>
      </w:r>
      <w:r>
        <w:rPr>
          <w:rFonts w:hint="default" w:ascii="Times New Roman Regular" w:hAnsi="Times New Roman Regular" w:eastAsia="Times New Roman" w:cs="Times New Roman Regular"/>
          <w:color w:val="auto"/>
          <w:position w:val="0"/>
          <w:sz w:val="21"/>
          <w:szCs w:val="21"/>
        </w:rPr>
        <w:t>B,</w:t>
      </w:r>
      <w: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  <w:t xml:space="preserve"> Coefficient; SE, Standard error; </w:t>
      </w:r>
      <w:r>
        <w:rPr>
          <w:rFonts w:hint="default" w:ascii="Times New Roman Regular" w:hAnsi="Times New Roman Regular" w:cs="Times New Roman Regular"/>
          <w:sz w:val="18"/>
          <w:szCs w:val="18"/>
        </w:rPr>
        <w:t xml:space="preserve">OR, odds ratio; CI, confidence interval. </w:t>
      </w:r>
      <w:r>
        <w:rPr>
          <w:rFonts w:hint="default" w:ascii="Times New Roman Regular" w:hAnsi="Times New Roman Regular" w:eastAsia="Times New Roman" w:cs="Times New Roman Regular"/>
          <w:color w:val="000000"/>
          <w:position w:val="0"/>
          <w:sz w:val="18"/>
          <w:szCs w:val="18"/>
        </w:rPr>
        <w:t>Model : adjusted for age, gender, marital status, education background, department, professional title, and work hours per week.</w:t>
      </w:r>
    </w:p>
    <w:p>
      <w:pPr>
        <w:rPr>
          <w:rFonts w:hint="default" w:ascii="Times New Roman Regular" w:hAnsi="Times New Roman Regular" w:eastAsia="Times New Roman" w:cs="Times New Roman Regular"/>
          <w:sz w:val="24"/>
        </w:rPr>
      </w:pPr>
    </w:p>
    <w:p>
      <w:pPr>
        <w:rPr>
          <w:rFonts w:hint="default" w:ascii="Times New Roman Regular" w:hAnsi="Times New Roman Regular" w:eastAsia="Times New Roman" w:cs="Times New Roman Regular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B66D6"/>
    <w:rsid w:val="3F3F8FCE"/>
    <w:rsid w:val="3FEBA25B"/>
    <w:rsid w:val="5E171DC4"/>
    <w:rsid w:val="67F8CC85"/>
    <w:rsid w:val="692ED79F"/>
    <w:rsid w:val="7B7A0015"/>
    <w:rsid w:val="7F9F8E12"/>
    <w:rsid w:val="7FEC343C"/>
    <w:rsid w:val="95EF7ED0"/>
    <w:rsid w:val="B1FB5906"/>
    <w:rsid w:val="BDD7D719"/>
    <w:rsid w:val="D6A5BF85"/>
    <w:rsid w:val="D7FFA591"/>
    <w:rsid w:val="DF72B157"/>
    <w:rsid w:val="DF78CB9C"/>
    <w:rsid w:val="DF7ED65A"/>
    <w:rsid w:val="E6EAA628"/>
    <w:rsid w:val="EE7B66D6"/>
    <w:rsid w:val="EFB963BF"/>
    <w:rsid w:val="EFEE95E1"/>
    <w:rsid w:val="F0FF1CD7"/>
    <w:rsid w:val="FB27A7F4"/>
    <w:rsid w:val="FEAF723F"/>
    <w:rsid w:val="FFC56924"/>
    <w:rsid w:val="FFFF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2022-07-30T06:10:00Z</dcterms:created>
  <dc:creator>跨越七海的风</dc:creator>
  <cp:lastModifiedBy>跨越七海的风</cp:lastModifiedBy>
  <dcterms:modified xsi:type="dcterms:W3CDTF">2022-12-20T15:07:59Z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2FD6A5F8D752D5344328E26292EBA504</vt:lpwstr>
  </property>
</Properties>
</file>