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40" w:type="dxa"/>
        <w:tblLook w:val="04A0" w:firstRow="1" w:lastRow="0" w:firstColumn="1" w:lastColumn="0" w:noHBand="0" w:noVBand="1"/>
      </w:tblPr>
      <w:tblGrid>
        <w:gridCol w:w="6200"/>
        <w:gridCol w:w="840"/>
      </w:tblGrid>
      <w:tr w:rsidR="001732B7" w:rsidRPr="00000614" w14:paraId="35CCD85C" w14:textId="77777777" w:rsidTr="0098743F">
        <w:trPr>
          <w:trHeight w:val="285"/>
        </w:trPr>
        <w:tc>
          <w:tcPr>
            <w:tcW w:w="620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97E82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0" w:name="_Hlk117622289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Table S1. The specific value of SD in each cognitive test 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30B7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1DB6E92B" w14:textId="77777777" w:rsidTr="0098743F">
        <w:trPr>
          <w:trHeight w:val="300"/>
        </w:trPr>
        <w:tc>
          <w:tcPr>
            <w:tcW w:w="62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95175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Cognitive test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AE31B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SD</w:t>
            </w:r>
          </w:p>
        </w:tc>
      </w:tr>
      <w:tr w:rsidR="001732B7" w:rsidRPr="00000614" w14:paraId="332FCEE6" w14:textId="77777777" w:rsidTr="0098743F">
        <w:trPr>
          <w:trHeight w:val="300"/>
        </w:trPr>
        <w:tc>
          <w:tcPr>
            <w:tcW w:w="62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1BD15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</w:t>
            </w:r>
          </w:p>
        </w:tc>
        <w:tc>
          <w:tcPr>
            <w:tcW w:w="8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BC63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3.45</w:t>
            </w:r>
          </w:p>
        </w:tc>
      </w:tr>
      <w:tr w:rsidR="001732B7" w:rsidRPr="00000614" w14:paraId="69CA97DA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4C2119E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 delayed recall test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CEBB6A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1.60</w:t>
            </w:r>
          </w:p>
        </w:tc>
      </w:tr>
      <w:tr w:rsidR="001732B7" w:rsidRPr="00000614" w14:paraId="34BA8E5A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1C30841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 discrimination index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C47ACB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2.61</w:t>
            </w:r>
          </w:p>
        </w:tc>
      </w:tr>
      <w:tr w:rsidR="001732B7" w:rsidRPr="00000614" w14:paraId="13ED2F56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73F3D54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BVMT-R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C4AFD8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4.01</w:t>
            </w:r>
          </w:p>
        </w:tc>
      </w:tr>
      <w:tr w:rsidR="001732B7" w:rsidRPr="00000614" w14:paraId="2871F0BC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0D3DC37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BVMT-R delayed recall test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5819D0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1.65</w:t>
            </w:r>
          </w:p>
        </w:tc>
      </w:tr>
      <w:tr w:rsidR="001732B7" w:rsidRPr="00000614" w14:paraId="448F1C2A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362D11F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BVLT-R discrimination index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A164CD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1.43</w:t>
            </w:r>
          </w:p>
        </w:tc>
      </w:tr>
      <w:tr w:rsidR="001732B7" w:rsidRPr="00000614" w14:paraId="2B5F5F61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4138507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Number connection test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874FEC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178.77</w:t>
            </w:r>
          </w:p>
        </w:tc>
      </w:tr>
      <w:tr w:rsidR="001732B7" w:rsidRPr="00000614" w14:paraId="4ED94DE6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04DAD77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Benton judgment of line orientation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A88D82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2.72</w:t>
            </w:r>
          </w:p>
        </w:tc>
      </w:tr>
      <w:tr w:rsidR="001732B7" w:rsidRPr="00000614" w14:paraId="6CACAEC3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018E427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Digit span test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998241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3.47</w:t>
            </w:r>
          </w:p>
        </w:tc>
      </w:tr>
      <w:tr w:rsidR="001732B7" w:rsidRPr="00000614" w14:paraId="701F7591" w14:textId="77777777" w:rsidTr="0098743F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  <w:hideMark/>
          </w:tcPr>
          <w:p w14:paraId="37B96D8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Digit Symbol Substitution Test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FAC4D5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9.46</w:t>
            </w:r>
          </w:p>
        </w:tc>
      </w:tr>
      <w:tr w:rsidR="001732B7" w:rsidRPr="00000614" w14:paraId="44B4534D" w14:textId="77777777" w:rsidTr="0098743F">
        <w:trPr>
          <w:trHeight w:val="315"/>
        </w:trPr>
        <w:tc>
          <w:tcPr>
            <w:tcW w:w="62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E24A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Verbal fluency test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0E09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10.97</w:t>
            </w:r>
          </w:p>
        </w:tc>
      </w:tr>
      <w:tr w:rsidR="001732B7" w:rsidRPr="00000614" w14:paraId="080D6F1D" w14:textId="77777777" w:rsidTr="0098743F">
        <w:trPr>
          <w:trHeight w:val="315"/>
        </w:trPr>
        <w:tc>
          <w:tcPr>
            <w:tcW w:w="62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4EC910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S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D: Standard deviation.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284B48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bookmarkEnd w:id="0"/>
    </w:tbl>
    <w:p w14:paraId="066C727F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</w:p>
    <w:p w14:paraId="09712624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</w:p>
    <w:p w14:paraId="54D0E8CD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</w:p>
    <w:p w14:paraId="6D7FE360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</w:p>
    <w:p w14:paraId="5E42D116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</w:p>
    <w:p w14:paraId="445C1288" w14:textId="77777777" w:rsidR="001732B7" w:rsidRPr="00000614" w:rsidRDefault="001732B7" w:rsidP="001732B7">
      <w:pPr>
        <w:spacing w:before="0" w:after="0"/>
        <w:rPr>
          <w:szCs w:val="24"/>
          <w:shd w:val="clear" w:color="auto" w:fill="FFFFFF"/>
        </w:rPr>
      </w:pPr>
      <w:bookmarkStart w:id="1" w:name="_Hlk118490094"/>
    </w:p>
    <w:tbl>
      <w:tblPr>
        <w:tblW w:w="86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31"/>
        <w:gridCol w:w="2154"/>
        <w:gridCol w:w="1938"/>
        <w:gridCol w:w="1813"/>
        <w:gridCol w:w="222"/>
      </w:tblGrid>
      <w:tr w:rsidR="001732B7" w:rsidRPr="00000614" w14:paraId="0F0DC0F4" w14:textId="77777777" w:rsidTr="0098743F">
        <w:trPr>
          <w:gridAfter w:val="1"/>
          <w:wAfter w:w="4" w:type="dxa"/>
          <w:trHeight w:val="300"/>
        </w:trPr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C79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Table. S2 ITT analysis of basic characteristics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EF8C" w14:textId="77777777" w:rsidR="001732B7" w:rsidRPr="00000614" w:rsidRDefault="001732B7" w:rsidP="0098743F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116FBD31" w14:textId="77777777" w:rsidTr="0098743F">
        <w:trPr>
          <w:gridAfter w:val="1"/>
          <w:wAfter w:w="4" w:type="dxa"/>
          <w:trHeight w:val="330"/>
        </w:trPr>
        <w:tc>
          <w:tcPr>
            <w:tcW w:w="27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041E" w14:textId="77777777" w:rsidR="001732B7" w:rsidRPr="00000614" w:rsidRDefault="001732B7" w:rsidP="0098743F">
            <w:pPr>
              <w:spacing w:before="0" w:after="0"/>
              <w:jc w:val="both"/>
              <w:rPr>
                <w:rFonts w:ascii="DengXian" w:eastAsia="DengXian" w:hAnsi="DengXian" w:cs="SimSun"/>
                <w:sz w:val="22"/>
                <w:lang w:eastAsia="zh-CN"/>
              </w:rPr>
            </w:pPr>
            <w:r w:rsidRPr="00000614">
              <w:rPr>
                <w:rFonts w:ascii="DengXian" w:eastAsia="DengXian" w:hAnsi="DengXian" w:cs="SimSun" w:hint="eastAsia"/>
                <w:sz w:val="22"/>
                <w:lang w:eastAsia="zh-CN"/>
              </w:rPr>
              <w:t xml:space="preserve">　</w:t>
            </w:r>
          </w:p>
        </w:tc>
        <w:tc>
          <w:tcPr>
            <w:tcW w:w="21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C493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Placebo (n = 53)</w:t>
            </w:r>
          </w:p>
        </w:tc>
        <w:tc>
          <w:tcPr>
            <w:tcW w:w="19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3EE6E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Probiotics (n = 53)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EC03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value</w:t>
            </w:r>
          </w:p>
        </w:tc>
      </w:tr>
      <w:tr w:rsidR="001732B7" w:rsidRPr="00000614" w14:paraId="214C2767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CCC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Age(</w:t>
            </w:r>
            <w:proofErr w:type="spellStart"/>
            <w:r w:rsidRPr="00000614">
              <w:rPr>
                <w:rFonts w:eastAsia="DengXian" w:cs="Times New Roman"/>
                <w:sz w:val="22"/>
                <w:lang w:eastAsia="zh-CN"/>
              </w:rPr>
              <w:t>yr</w:t>
            </w:r>
            <w:proofErr w:type="spellEnd"/>
            <w:r w:rsidRPr="00000614">
              <w:rPr>
                <w:rFonts w:eastAsia="DengXian" w:cs="Times New Roman"/>
                <w:sz w:val="22"/>
                <w:lang w:eastAsia="zh-CN"/>
              </w:rP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CF2D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70(59,81)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5DD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69(60,78)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B4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0.98</w:t>
            </w:r>
          </w:p>
        </w:tc>
      </w:tr>
      <w:tr w:rsidR="001732B7" w:rsidRPr="00000614" w14:paraId="150431DC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5504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Sex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F94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124B" w14:textId="77777777" w:rsidR="001732B7" w:rsidRPr="00000614" w:rsidRDefault="001732B7" w:rsidP="0098743F">
            <w:pPr>
              <w:spacing w:before="0" w:after="0"/>
              <w:jc w:val="both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77D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0.84</w:t>
            </w:r>
          </w:p>
        </w:tc>
      </w:tr>
      <w:tr w:rsidR="001732B7" w:rsidRPr="00000614" w14:paraId="799D02AD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904C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    Male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A97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20(37.7)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5615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19(35.8)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3647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147CCA58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B297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    female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B8E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33(62.3)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9E21E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34(64.2)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4FF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30108530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3F01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Height (cm)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C335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158(145.5,170.5)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AAC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159(149,169)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B56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0.64</w:t>
            </w:r>
          </w:p>
        </w:tc>
      </w:tr>
      <w:tr w:rsidR="001732B7" w:rsidRPr="00000614" w14:paraId="5CB799A3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3D69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Weight (kg)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6C0" w14:textId="77777777" w:rsidR="001732B7" w:rsidRPr="00000614" w:rsidRDefault="001732B7" w:rsidP="0098743F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  <w:r w:rsidRPr="00000614">
              <w:rPr>
                <w:rFonts w:ascii="DengXian" w:eastAsia="DengXian" w:hAnsi="DengXian" w:cs="SimSun" w:hint="eastAsia"/>
                <w:color w:val="000000"/>
                <w:sz w:val="22"/>
                <w:lang w:eastAsia="zh-CN"/>
              </w:rPr>
              <w:t>61.34±10.14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00AB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58.67±9.64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6D7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0.80</w:t>
            </w:r>
          </w:p>
        </w:tc>
      </w:tr>
      <w:tr w:rsidR="001732B7" w:rsidRPr="00000614" w14:paraId="352F777A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D949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BMI (kg/m²)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B8A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24.13±3.73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15BE9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23.00±3.26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E05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0.4</w:t>
            </w:r>
          </w:p>
        </w:tc>
      </w:tr>
      <w:tr w:rsidR="001732B7" w:rsidRPr="00000614" w14:paraId="682F0C70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4A9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Statins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DFA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625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2(3.8)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22D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0.91</w:t>
            </w:r>
          </w:p>
        </w:tc>
      </w:tr>
      <w:tr w:rsidR="001732B7" w:rsidRPr="00000614" w14:paraId="065C452A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1FA4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Education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D98D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E38A" w14:textId="77777777" w:rsidR="001732B7" w:rsidRPr="00000614" w:rsidRDefault="001732B7" w:rsidP="0098743F">
            <w:pPr>
              <w:spacing w:before="0" w:after="0"/>
              <w:jc w:val="both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25D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0.22</w:t>
            </w:r>
          </w:p>
        </w:tc>
      </w:tr>
      <w:tr w:rsidR="001732B7" w:rsidRPr="00000614" w14:paraId="78C02BE7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0073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   illiteracy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0B5A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4(7.5%)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51CB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7(13.2%)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80E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13C7BCF0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4522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   elementary school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323F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21(39.6%)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26F54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16(30.2%)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DE8D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733653D9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045F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   middle school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B1C3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14(26.4%)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6C6A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10(18.9%)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11F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0E0E90BF" w14:textId="77777777" w:rsidTr="0098743F">
        <w:trPr>
          <w:gridAfter w:val="1"/>
          <w:wAfter w:w="4" w:type="dxa"/>
          <w:trHeight w:val="300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963C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   high school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2C93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12(22.6%</w:t>
            </w:r>
            <w:r w:rsidRPr="00000614">
              <w:rPr>
                <w:rFonts w:ascii="SimSun" w:eastAsia="SimSun" w:hAnsi="SimSun" w:cs="Times New Roman" w:hint="eastAsia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E6C1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12(22.6%</w:t>
            </w:r>
            <w:r w:rsidRPr="00000614">
              <w:rPr>
                <w:rFonts w:ascii="SimSun" w:eastAsia="SimSun" w:hAnsi="SimSun" w:cs="Times New Roman" w:hint="eastAsia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74C6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191681B6" w14:textId="77777777" w:rsidTr="0098743F">
        <w:trPr>
          <w:gridAfter w:val="1"/>
          <w:wAfter w:w="4" w:type="dxa"/>
          <w:trHeight w:val="315"/>
        </w:trPr>
        <w:tc>
          <w:tcPr>
            <w:tcW w:w="2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3A76E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   university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B2211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2(3.8%)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E6D0B9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8</w:t>
            </w:r>
            <w:r w:rsidRPr="00000614">
              <w:rPr>
                <w:rFonts w:ascii="SimSun" w:eastAsia="SimSun" w:hAnsi="SimSun" w:cs="Times New Roman" w:hint="eastAsia"/>
                <w:color w:val="000000"/>
                <w:sz w:val="22"/>
                <w:lang w:eastAsia="zh-CN"/>
              </w:rPr>
              <w:t>（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15.1%)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2E4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　</w:t>
            </w:r>
          </w:p>
        </w:tc>
      </w:tr>
      <w:tr w:rsidR="001732B7" w:rsidRPr="00000614" w14:paraId="76DD9302" w14:textId="77777777" w:rsidTr="0098743F">
        <w:trPr>
          <w:gridAfter w:val="1"/>
          <w:wAfter w:w="4" w:type="dxa"/>
          <w:trHeight w:val="458"/>
        </w:trPr>
        <w:tc>
          <w:tcPr>
            <w:tcW w:w="8636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D8D8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2" w:name="RANGE!A17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BMI: body mass index; ASA: American Society of Anesthesiologists. All data are presented as number (%), median (first quartile, third quartile) or mean ± SD.</w:t>
            </w:r>
            <w:bookmarkEnd w:id="2"/>
          </w:p>
        </w:tc>
      </w:tr>
      <w:tr w:rsidR="001732B7" w:rsidRPr="00000614" w14:paraId="55D0C5BB" w14:textId="77777777" w:rsidTr="0098743F">
        <w:trPr>
          <w:trHeight w:val="285"/>
        </w:trPr>
        <w:tc>
          <w:tcPr>
            <w:tcW w:w="8636" w:type="dxa"/>
            <w:gridSpan w:val="4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5DAAF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92B9" w14:textId="77777777" w:rsidR="001732B7" w:rsidRPr="00000614" w:rsidRDefault="001732B7" w:rsidP="0098743F">
            <w:pPr>
              <w:spacing w:before="0" w:after="0"/>
              <w:jc w:val="both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</w:tbl>
    <w:p w14:paraId="453E80F5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09E611AC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5A409EB7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7C15CB43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tbl>
      <w:tblPr>
        <w:tblW w:w="10186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3382"/>
        <w:gridCol w:w="2474"/>
        <w:gridCol w:w="2928"/>
        <w:gridCol w:w="1402"/>
      </w:tblGrid>
      <w:tr w:rsidR="001732B7" w:rsidRPr="00000614" w14:paraId="55D8382D" w14:textId="77777777" w:rsidTr="0098743F">
        <w:trPr>
          <w:trHeight w:val="261"/>
        </w:trPr>
        <w:tc>
          <w:tcPr>
            <w:tcW w:w="101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3C20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bookmarkStart w:id="3" w:name="RANGE!A1"/>
            <w:r w:rsidRPr="00000614">
              <w:rPr>
                <w:rFonts w:eastAsia="DengXian" w:cs="Times New Roman"/>
                <w:sz w:val="22"/>
                <w:lang w:eastAsia="zh-CN"/>
              </w:rPr>
              <w:t xml:space="preserve">Table </w:t>
            </w:r>
            <w:r w:rsidRPr="00000614">
              <w:rPr>
                <w:rFonts w:eastAsia="DengXian" w:cs="Times New Roman" w:hint="eastAsia"/>
                <w:sz w:val="22"/>
                <w:lang w:eastAsia="zh-CN"/>
              </w:rPr>
              <w:t>S3</w:t>
            </w: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. ITT analysis of neuropsychological assessment at baseline </w:t>
            </w:r>
            <w:bookmarkEnd w:id="3"/>
          </w:p>
        </w:tc>
      </w:tr>
      <w:tr w:rsidR="001732B7" w:rsidRPr="00000614" w14:paraId="6A35B1A6" w14:textId="77777777" w:rsidTr="0098743F">
        <w:trPr>
          <w:trHeight w:val="274"/>
        </w:trPr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ECE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bookmarkStart w:id="4" w:name="_Hlk118486552"/>
            <w:r w:rsidRPr="00000614">
              <w:rPr>
                <w:rFonts w:eastAsia="DengXian" w:cs="Times New Roman"/>
                <w:sz w:val="22"/>
                <w:lang w:eastAsia="zh-CN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FB8C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Placebo (n = 53)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5F5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Probiotics (n =53)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A39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i/>
                <w:iCs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i/>
                <w:iCs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 value</w:t>
            </w:r>
          </w:p>
        </w:tc>
      </w:tr>
      <w:tr w:rsidR="001732B7" w:rsidRPr="00000614" w14:paraId="702BF731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118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HVLT-R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762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9.96±3.08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F8B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9.36±3.53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D38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0.35</w:t>
            </w:r>
          </w:p>
        </w:tc>
      </w:tr>
      <w:tr w:rsidR="001732B7" w:rsidRPr="00000614" w14:paraId="49142007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24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HVLT-R delayed recall test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206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2(1,3)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2A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2(0,4)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A7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0.55</w:t>
            </w:r>
          </w:p>
        </w:tc>
      </w:tr>
      <w:tr w:rsidR="001732B7" w:rsidRPr="00000614" w14:paraId="145D1D36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833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HVLT-R discrimination index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74B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20(18,22)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A6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20(18,22)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42F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0.87</w:t>
            </w:r>
          </w:p>
        </w:tc>
      </w:tr>
      <w:tr w:rsidR="001732B7" w:rsidRPr="00000614" w14:paraId="5E9A6E14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5BB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BVMT-R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213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6(3,10)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7C9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6(4,10)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94C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0.85</w:t>
            </w:r>
          </w:p>
        </w:tc>
      </w:tr>
      <w:tr w:rsidR="001732B7" w:rsidRPr="00000614" w14:paraId="72FBA2B2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D76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BVMT-R delayed recall test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222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2(1,3)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01F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2(1,4)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5A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0.91</w:t>
            </w:r>
          </w:p>
        </w:tc>
      </w:tr>
      <w:tr w:rsidR="001732B7" w:rsidRPr="00000614" w14:paraId="386FB522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79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BVLT-R discrimination index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8EA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11(10,12)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060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11(10,12)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8D0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0.14</w:t>
            </w:r>
          </w:p>
        </w:tc>
      </w:tr>
      <w:tr w:rsidR="001732B7" w:rsidRPr="00000614" w14:paraId="18E96F85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BBA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Number connection test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18D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431(362,500)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A14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432(335,529)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66F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0.89</w:t>
            </w:r>
          </w:p>
        </w:tc>
      </w:tr>
      <w:tr w:rsidR="001732B7" w:rsidRPr="00000614" w14:paraId="30AB8169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0DF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Benton judgment of line orientation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B5F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14(12,16)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9A8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14(12,15)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DFB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0.46</w:t>
            </w:r>
          </w:p>
        </w:tc>
      </w:tr>
      <w:tr w:rsidR="001732B7" w:rsidRPr="00000614" w14:paraId="10AEC38A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798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 xml:space="preserve">Digit span test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13F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16.25±3.01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DD3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16.42±3.66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9C2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0.8</w:t>
            </w:r>
          </w:p>
        </w:tc>
      </w:tr>
      <w:tr w:rsidR="001732B7" w:rsidRPr="00000614" w14:paraId="7872973B" w14:textId="77777777" w:rsidTr="0098743F">
        <w:trPr>
          <w:trHeight w:val="249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52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Digit Symbol Substitution Test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504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16(12,22)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246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1"/>
                <w:szCs w:val="21"/>
                <w:lang w:eastAsia="zh-CN"/>
              </w:rPr>
            </w:pPr>
            <w:r w:rsidRPr="00000614">
              <w:rPr>
                <w:rFonts w:eastAsia="DengXian" w:cs="Times New Roman"/>
                <w:sz w:val="21"/>
                <w:szCs w:val="21"/>
                <w:lang w:eastAsia="zh-CN"/>
              </w:rPr>
              <w:t>15(13,22)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CD5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0.94</w:t>
            </w:r>
          </w:p>
        </w:tc>
      </w:tr>
      <w:tr w:rsidR="001732B7" w:rsidRPr="00000614" w14:paraId="0E159F5F" w14:textId="77777777" w:rsidTr="0098743F">
        <w:trPr>
          <w:trHeight w:val="261"/>
        </w:trPr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0A78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Verbal fluency test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87C1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39.87±10.47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DCDE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39.40±10.72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11CA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0.82</w:t>
            </w:r>
          </w:p>
        </w:tc>
      </w:tr>
      <w:bookmarkEnd w:id="4"/>
      <w:tr w:rsidR="001732B7" w:rsidRPr="00000614" w14:paraId="18B012A6" w14:textId="77777777" w:rsidTr="0098743F">
        <w:trPr>
          <w:trHeight w:val="261"/>
        </w:trPr>
        <w:tc>
          <w:tcPr>
            <w:tcW w:w="1018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AB6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sz w:val="22"/>
                <w:lang w:eastAsia="zh-CN"/>
              </w:rPr>
              <w:t>HVLT-R: Hopkins verbal learning test-revised; BVMT-R: Brief visuospatial memory test-revised. All data are presented as number (%), median (first quartile, third quartile) or mean ± SD.</w:t>
            </w:r>
          </w:p>
        </w:tc>
      </w:tr>
    </w:tbl>
    <w:p w14:paraId="35C817A3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583F9DEF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tbl>
      <w:tblPr>
        <w:tblW w:w="11755" w:type="dxa"/>
        <w:tblInd w:w="-1035" w:type="dxa"/>
        <w:tblLook w:val="04A0" w:firstRow="1" w:lastRow="0" w:firstColumn="1" w:lastColumn="0" w:noHBand="0" w:noVBand="1"/>
      </w:tblPr>
      <w:tblGrid>
        <w:gridCol w:w="4792"/>
        <w:gridCol w:w="1985"/>
        <w:gridCol w:w="1984"/>
        <w:gridCol w:w="1843"/>
        <w:gridCol w:w="1151"/>
      </w:tblGrid>
      <w:tr w:rsidR="001732B7" w:rsidRPr="00000614" w14:paraId="17C05FE2" w14:textId="77777777" w:rsidTr="0098743F">
        <w:trPr>
          <w:trHeight w:val="315"/>
        </w:trPr>
        <w:tc>
          <w:tcPr>
            <w:tcW w:w="1175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AABE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5" w:name="RANGE!A8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Table </w:t>
            </w:r>
            <w:r w:rsidRPr="00000614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S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4. ITT </w:t>
            </w:r>
            <w:r w:rsidRPr="00000614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analysis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</w:t>
            </w:r>
            <w:r w:rsidRPr="00000614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of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incidence of POCD.  </w:t>
            </w:r>
            <w:bookmarkEnd w:id="5"/>
          </w:p>
        </w:tc>
      </w:tr>
      <w:tr w:rsidR="001732B7" w:rsidRPr="00000614" w14:paraId="59FD6A1C" w14:textId="77777777" w:rsidTr="0098743F">
        <w:trPr>
          <w:trHeight w:val="330"/>
        </w:trPr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B1AB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Incidence of cognitive impairment, No./Total (%)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F8D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Placebo (n = 53)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2E41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Probiotics (n = 53)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5F33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RR (95% CI)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83B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 value</w:t>
            </w:r>
          </w:p>
        </w:tc>
      </w:tr>
      <w:tr w:rsidR="001732B7" w:rsidRPr="00000614" w14:paraId="223FA78E" w14:textId="77777777" w:rsidTr="0098743F">
        <w:trPr>
          <w:trHeight w:val="300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917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14D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30/53(56.6)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C4B3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15/53(28.3)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C2F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0.50(0.31-0.82)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272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0.003**</w:t>
            </w:r>
          </w:p>
        </w:tc>
      </w:tr>
      <w:tr w:rsidR="001732B7" w:rsidRPr="00000614" w14:paraId="02045BF4" w14:textId="77777777" w:rsidTr="0098743F">
        <w:trPr>
          <w:trHeight w:val="300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BD8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Mild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3D0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25/53(47.2)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B374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14/53(26.4)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E94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0.56(0.33-0.95)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199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0.027*</w:t>
            </w:r>
          </w:p>
        </w:tc>
      </w:tr>
      <w:tr w:rsidR="001732B7" w:rsidRPr="00000614" w14:paraId="44276DD2" w14:textId="77777777" w:rsidTr="0098743F">
        <w:trPr>
          <w:trHeight w:val="315"/>
        </w:trPr>
        <w:tc>
          <w:tcPr>
            <w:tcW w:w="4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50C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Severe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05B9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5/53(9.4)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39D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1/53(1.9)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50D4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0.20(0.02-1.66)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B040E" w14:textId="77777777" w:rsidR="001732B7" w:rsidRPr="00000614" w:rsidRDefault="001732B7" w:rsidP="0098743F">
            <w:pPr>
              <w:spacing w:before="0" w:after="0"/>
              <w:ind w:right="44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0.207</w:t>
            </w:r>
          </w:p>
        </w:tc>
      </w:tr>
      <w:tr w:rsidR="001732B7" w:rsidRPr="00000614" w14:paraId="141F38E3" w14:textId="77777777" w:rsidTr="0098743F">
        <w:trPr>
          <w:trHeight w:val="315"/>
        </w:trPr>
        <w:tc>
          <w:tcPr>
            <w:tcW w:w="106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D7D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All data are presented as number (%), median (first quartile, third quartile) or mean ± SD; *</w:t>
            </w: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 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&lt; 0.5, **</w:t>
            </w: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 &lt; 0.01.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63E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</w:tbl>
    <w:p w14:paraId="0CD61723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0C4255D0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67E2B399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7F10E6C5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46720CE0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2064CA37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55AE557A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1C121DB0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7E099FC8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5243BA5C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0B513B42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465B12AA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276"/>
        <w:gridCol w:w="1417"/>
        <w:gridCol w:w="1134"/>
        <w:gridCol w:w="1276"/>
        <w:gridCol w:w="1276"/>
      </w:tblGrid>
      <w:tr w:rsidR="001732B7" w:rsidRPr="00000614" w14:paraId="1271AE22" w14:textId="77777777" w:rsidTr="0098743F">
        <w:trPr>
          <w:trHeight w:val="315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E7ECB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6" w:name="_Hlk118486616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Table S5. ITT analysis of incidence of mild and severe decline in each neuropsychological tests in different groups.</w:t>
            </w:r>
          </w:p>
        </w:tc>
      </w:tr>
      <w:tr w:rsidR="001732B7" w:rsidRPr="00000614" w14:paraId="286F42C1" w14:textId="77777777" w:rsidTr="0098743F">
        <w:trPr>
          <w:trHeight w:val="63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320CE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Incidence of mild and severe decline, No./Total (%)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6608C" w14:textId="77777777" w:rsidR="001732B7" w:rsidRPr="00000614" w:rsidRDefault="001732B7" w:rsidP="0098743F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Mild decline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52B825" w14:textId="77777777" w:rsidR="001732B7" w:rsidRPr="00000614" w:rsidRDefault="001732B7" w:rsidP="0098743F">
            <w:pPr>
              <w:spacing w:before="0" w:after="0"/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Major decline</w:t>
            </w:r>
          </w:p>
        </w:tc>
      </w:tr>
      <w:tr w:rsidR="001732B7" w:rsidRPr="00000614" w14:paraId="303A95F3" w14:textId="77777777" w:rsidTr="0098743F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9B6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b/>
                <w:bCs/>
                <w:color w:val="000000"/>
                <w:sz w:val="22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046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Placebo (n = 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8CC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Probiotics (n = 53)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AB86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A4D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Placebo (n = 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4F8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Probiotics (n = 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BBB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value</w:t>
            </w:r>
          </w:p>
        </w:tc>
      </w:tr>
      <w:tr w:rsidR="001732B7" w:rsidRPr="00000614" w14:paraId="43ED3103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4F8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26D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17(32.1)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F6E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5(9.4)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6AC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0.004**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A3E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2(3.8)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54B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1BB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</w:tr>
      <w:tr w:rsidR="001732B7" w:rsidRPr="00000614" w14:paraId="5A8C6BF9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268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 delayed recall 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7B6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20(37.7)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1C8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6(11.3)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A0F2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0.002**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345A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B11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C91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5E10BDE0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14C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 discrimination index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468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8(15.1)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3ED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3(5.7)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B91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313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9(17.0)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5D0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884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0.008**</w:t>
            </w:r>
          </w:p>
        </w:tc>
      </w:tr>
      <w:tr w:rsidR="001732B7" w:rsidRPr="00000614" w14:paraId="657328D6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145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BVMT-R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136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FDAD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6(11.3)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B391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9F5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95B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31E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3AFA2306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8E7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BVMT-R delayed recall 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DE6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9(17.0)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CC9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7(13.2)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5E4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A3D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355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D93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0.475</w:t>
            </w:r>
          </w:p>
        </w:tc>
      </w:tr>
      <w:tr w:rsidR="001732B7" w:rsidRPr="00000614" w14:paraId="4DBF2782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6E8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BVLT-R discrimination index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FB1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6(11.3)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F32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0FC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6C1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5(9.4)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483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3(5.7)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E64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0.713</w:t>
            </w:r>
          </w:p>
        </w:tc>
      </w:tr>
      <w:tr w:rsidR="001732B7" w:rsidRPr="00000614" w14:paraId="1C9089CB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7E6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Number connection 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A0B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8DA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2(3.8)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1F7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317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40C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ED8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43FA4483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2E3F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Benton judgment of line orientation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90C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9(17.0)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B950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7(13.2)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27F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740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B84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B550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</w:tr>
      <w:tr w:rsidR="001732B7" w:rsidRPr="00000614" w14:paraId="53D72E56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344C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Digit span test 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383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E33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3(5.7)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55C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626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F2F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AB6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0.475</w:t>
            </w:r>
          </w:p>
        </w:tc>
      </w:tr>
      <w:tr w:rsidR="001732B7" w:rsidRPr="00000614" w14:paraId="0B0BDBAC" w14:textId="77777777" w:rsidTr="009874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819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Digit Symbol Substitution 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E653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4(7.5)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A82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2(3.8)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B5D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B7A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E89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E24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</w:tr>
      <w:tr w:rsidR="001732B7" w:rsidRPr="00000614" w14:paraId="6716E1BC" w14:textId="77777777" w:rsidTr="0098743F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F6FE1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Verbal fluency 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C9C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6(11.3)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39E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6(11.3)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892B0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439D0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5(9.4)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035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47F1D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0.067</w:t>
            </w:r>
          </w:p>
        </w:tc>
      </w:tr>
      <w:tr w:rsidR="001732B7" w:rsidRPr="00000614" w14:paraId="45A2F3DC" w14:textId="77777777" w:rsidTr="0098743F">
        <w:trPr>
          <w:trHeight w:val="315"/>
        </w:trPr>
        <w:tc>
          <w:tcPr>
            <w:tcW w:w="1049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CE7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HVLT-R: Hopkins verbal learning test-revised; BVMT-R: Brief visuospatial memory test-revised. All data are presented as number (%), median (first quartile, third quartile) or mean ± SD; *</w:t>
            </w: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 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&lt; 0.5, **</w:t>
            </w: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 &lt; 0.01.</w:t>
            </w:r>
          </w:p>
        </w:tc>
      </w:tr>
      <w:bookmarkEnd w:id="6"/>
    </w:tbl>
    <w:p w14:paraId="17720FEC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tbl>
      <w:tblPr>
        <w:tblW w:w="9190" w:type="dxa"/>
        <w:tblLook w:val="04A0" w:firstRow="1" w:lastRow="0" w:firstColumn="1" w:lastColumn="0" w:noHBand="0" w:noVBand="1"/>
      </w:tblPr>
      <w:tblGrid>
        <w:gridCol w:w="3412"/>
        <w:gridCol w:w="1903"/>
        <w:gridCol w:w="1903"/>
        <w:gridCol w:w="1972"/>
      </w:tblGrid>
      <w:tr w:rsidR="001732B7" w:rsidRPr="00000614" w14:paraId="764C177B" w14:textId="77777777" w:rsidTr="0098743F">
        <w:trPr>
          <w:trHeight w:val="315"/>
        </w:trPr>
        <w:tc>
          <w:tcPr>
            <w:tcW w:w="72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91C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7" w:name="_Hlk118486686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Table S6. ITT analysis of other clinical outcomes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25E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　</w:t>
            </w:r>
          </w:p>
        </w:tc>
      </w:tr>
      <w:tr w:rsidR="001732B7" w:rsidRPr="00000614" w14:paraId="0037F1DD" w14:textId="77777777" w:rsidTr="0098743F">
        <w:trPr>
          <w:trHeight w:val="330"/>
        </w:trPr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B58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8FE6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Placebo (n = 53)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04B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Probiotics (n = 53)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5B7C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i/>
                <w:iCs/>
                <w:color w:val="000000"/>
                <w:sz w:val="22"/>
                <w:lang w:eastAsia="zh-CN"/>
              </w:rPr>
              <w:t>P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 value</w:t>
            </w:r>
          </w:p>
        </w:tc>
      </w:tr>
      <w:tr w:rsidR="001732B7" w:rsidRPr="00000614" w14:paraId="29FCC003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50F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Length of hospital stays(d)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485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13(9,15</w:t>
            </w:r>
            <w:r w:rsidRPr="00000614">
              <w:rPr>
                <w:rFonts w:ascii="DengXian" w:eastAsia="DengXian" w:hAnsi="DengXian" w:cs="Times New Roman" w:hint="eastAsia"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DD7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11(9.5,14)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AF4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0.471</w:t>
            </w:r>
          </w:p>
        </w:tc>
      </w:tr>
      <w:tr w:rsidR="001732B7" w:rsidRPr="00000614" w14:paraId="37261BA7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F3A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8" w:name="RANGE!A4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Incidence of hospital death</w:t>
            </w:r>
            <w:bookmarkEnd w:id="8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23B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049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D7E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</w:tr>
      <w:tr w:rsidR="001732B7" w:rsidRPr="00000614" w14:paraId="43D87769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A20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bookmarkStart w:id="9" w:name="RANGE!A5"/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Incidence of 30-days post-hospital death</w:t>
            </w:r>
            <w:bookmarkEnd w:id="9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772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DFA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1(1.9)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D4A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1</w:t>
            </w:r>
          </w:p>
        </w:tc>
      </w:tr>
      <w:tr w:rsidR="001732B7" w:rsidRPr="00000614" w14:paraId="763A9FD3" w14:textId="77777777" w:rsidTr="0098743F">
        <w:trPr>
          <w:trHeight w:val="36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DD3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Leukocyte(x10</w:t>
            </w:r>
            <w:r w:rsidRPr="00000614">
              <w:rPr>
                <w:rFonts w:eastAsia="DengXian" w:cs="Times New Roman"/>
                <w:color w:val="000000"/>
                <w:sz w:val="22"/>
                <w:vertAlign w:val="superscript"/>
                <w:lang w:eastAsia="zh-CN"/>
              </w:rPr>
              <w:t>9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/L)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C72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9335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3E01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732B7" w:rsidRPr="00000614" w14:paraId="700DC525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5E5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Baseline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C64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6.28(4.57,7.90)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9FF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6.05(5.34,7.24)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835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0.972</w:t>
            </w:r>
          </w:p>
        </w:tc>
      </w:tr>
      <w:tr w:rsidR="001732B7" w:rsidRPr="00000614" w14:paraId="24CCEA78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182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Postoperative day 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3F7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9.40(7.64,12.14)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9D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9.55(7.97,11.53)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508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0.808</w:t>
            </w:r>
          </w:p>
        </w:tc>
      </w:tr>
      <w:tr w:rsidR="001732B7" w:rsidRPr="00000614" w14:paraId="51DFD13F" w14:textId="77777777" w:rsidTr="0098743F">
        <w:trPr>
          <w:trHeight w:val="300"/>
        </w:trPr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CEB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C reactive protein(mg/L)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1DF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AAB7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732B7" w:rsidRPr="00000614" w14:paraId="4085F6EF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428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Baseline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B09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5(5,10.58)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A877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5(5,34.98)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BBD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0.277</w:t>
            </w:r>
          </w:p>
        </w:tc>
      </w:tr>
      <w:tr w:rsidR="001732B7" w:rsidRPr="00000614" w14:paraId="5317930A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0D0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Postoperative day 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EBE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35.25(16.87,63.65)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DA0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46.81(27.44,77.65)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62AF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0.193</w:t>
            </w:r>
          </w:p>
        </w:tc>
      </w:tr>
      <w:tr w:rsidR="001732B7" w:rsidRPr="00000614" w14:paraId="69115911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BAB4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Neutrophils (%)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5D9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274C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65A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732B7" w:rsidRPr="00000614" w14:paraId="414D8706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E13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Baseline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582A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62.13±11.91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4B41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63.15±15.30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CA2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0.703</w:t>
            </w:r>
          </w:p>
        </w:tc>
      </w:tr>
      <w:tr w:rsidR="001732B7" w:rsidRPr="00000614" w14:paraId="24F0203F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BBE2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Postoperative day 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AA9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81.60(77.80,87.38)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16E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80.4(76.5,87.85)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D1B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0.919</w:t>
            </w:r>
          </w:p>
        </w:tc>
      </w:tr>
      <w:tr w:rsidR="001732B7" w:rsidRPr="00000614" w14:paraId="27275769" w14:textId="77777777" w:rsidTr="0098743F">
        <w:trPr>
          <w:trHeight w:val="360"/>
        </w:trPr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C98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Neutrophil count(x10</w:t>
            </w:r>
            <w:r w:rsidRPr="00000614">
              <w:rPr>
                <w:rFonts w:eastAsia="DengXian" w:cs="Times New Roman"/>
                <w:color w:val="000000"/>
                <w:sz w:val="22"/>
                <w:vertAlign w:val="superscript"/>
                <w:lang w:eastAsia="zh-CN"/>
              </w:rPr>
              <w:t>9</w:t>
            </w: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/L)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4C88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ED59" w14:textId="77777777" w:rsidR="001732B7" w:rsidRPr="00000614" w:rsidRDefault="001732B7" w:rsidP="0098743F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732B7" w:rsidRPr="00000614" w14:paraId="1A44AAF7" w14:textId="77777777" w:rsidTr="0098743F">
        <w:trPr>
          <w:trHeight w:val="30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1616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 xml:space="preserve">Baseline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13A5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3.9(2.5,5.78)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8FF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4(3.02,5.20)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97BB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0.766</w:t>
            </w:r>
          </w:p>
        </w:tc>
      </w:tr>
      <w:tr w:rsidR="001732B7" w:rsidRPr="00000614" w14:paraId="3471210D" w14:textId="77777777" w:rsidTr="0098743F">
        <w:trPr>
          <w:trHeight w:val="315"/>
        </w:trPr>
        <w:tc>
          <w:tcPr>
            <w:tcW w:w="3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8AE3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Postoperative day 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1969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7.64(5.95,10.33)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76B0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7.82(6.13,9.78)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F17E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t>0.909</w:t>
            </w:r>
          </w:p>
        </w:tc>
      </w:tr>
      <w:tr w:rsidR="001732B7" w:rsidRPr="00000614" w14:paraId="724B12DF" w14:textId="77777777" w:rsidTr="0098743F">
        <w:trPr>
          <w:trHeight w:val="315"/>
        </w:trPr>
        <w:tc>
          <w:tcPr>
            <w:tcW w:w="91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C4FD" w14:textId="77777777" w:rsidR="001732B7" w:rsidRPr="00000614" w:rsidRDefault="001732B7" w:rsidP="0098743F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000614">
              <w:rPr>
                <w:rFonts w:eastAsia="DengXian" w:cs="Times New Roman"/>
                <w:color w:val="000000"/>
                <w:sz w:val="22"/>
                <w:lang w:eastAsia="zh-CN"/>
              </w:rPr>
              <w:lastRenderedPageBreak/>
              <w:t>All data are presented as number (%), median (first quartile, third quartile) or mean ± SD.</w:t>
            </w:r>
          </w:p>
        </w:tc>
      </w:tr>
      <w:bookmarkEnd w:id="1"/>
      <w:bookmarkEnd w:id="7"/>
    </w:tbl>
    <w:p w14:paraId="451FE3AE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736E6EFD" w14:textId="77777777" w:rsidR="001732B7" w:rsidRPr="00000614" w:rsidRDefault="001732B7" w:rsidP="001732B7">
      <w:pPr>
        <w:spacing w:before="0" w:after="200" w:line="276" w:lineRule="auto"/>
        <w:rPr>
          <w:szCs w:val="24"/>
          <w:shd w:val="clear" w:color="auto" w:fill="FFFFFF"/>
        </w:rPr>
      </w:pPr>
    </w:p>
    <w:p w14:paraId="7C8F1300" w14:textId="77777777" w:rsidR="00D06F70" w:rsidRDefault="00000000"/>
    <w:sectPr w:rsidR="00D06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B7"/>
    <w:rsid w:val="001732B7"/>
    <w:rsid w:val="00776BE9"/>
    <w:rsid w:val="0095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BD91"/>
  <w15:chartTrackingRefBased/>
  <w15:docId w15:val="{05061070-2BC8-49DA-A80F-6CF6969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B7"/>
    <w:pPr>
      <w:spacing w:before="120" w:after="240" w:line="24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Marjory Denisard</dc:creator>
  <cp:keywords/>
  <dc:description/>
  <cp:lastModifiedBy>Marjory Denisard</cp:lastModifiedBy>
  <cp:revision>1</cp:revision>
  <dcterms:created xsi:type="dcterms:W3CDTF">2022-11-25T09:23:00Z</dcterms:created>
  <dcterms:modified xsi:type="dcterms:W3CDTF">2022-11-25T09:26:00Z</dcterms:modified>
</cp:coreProperties>
</file>