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0D6CB4" w14:textId="2E423F71" w:rsidR="001B7DEB" w:rsidRPr="0052155F" w:rsidRDefault="001B7DEB" w:rsidP="0052155F">
      <w:pPr>
        <w:snapToGrid w:val="0"/>
        <w:spacing w:before="0" w:after="120"/>
        <w:rPr>
          <w:rFonts w:cs="Times New Roman"/>
          <w:color w:val="000000" w:themeColor="text1"/>
          <w:sz w:val="21"/>
          <w:szCs w:val="21"/>
        </w:rPr>
      </w:pPr>
      <w:r w:rsidRPr="0052155F">
        <w:rPr>
          <w:rFonts w:cs="Times New Roman" w:hint="cs"/>
          <w:b/>
          <w:bCs/>
          <w:sz w:val="21"/>
          <w:szCs w:val="21"/>
        </w:rPr>
        <w:t>S</w:t>
      </w:r>
      <w:r w:rsidRPr="0052155F">
        <w:rPr>
          <w:rFonts w:cs="Times New Roman"/>
          <w:b/>
          <w:bCs/>
          <w:sz w:val="21"/>
          <w:szCs w:val="21"/>
        </w:rPr>
        <w:t xml:space="preserve">upplemental Table </w:t>
      </w:r>
      <w:r w:rsidR="0028567D">
        <w:rPr>
          <w:rFonts w:cs="Times New Roman"/>
          <w:b/>
          <w:bCs/>
          <w:sz w:val="21"/>
          <w:szCs w:val="21"/>
        </w:rPr>
        <w:t>S</w:t>
      </w:r>
      <w:bookmarkStart w:id="0" w:name="_GoBack"/>
      <w:bookmarkEnd w:id="0"/>
      <w:r w:rsidRPr="0052155F">
        <w:rPr>
          <w:rFonts w:cs="Times New Roman"/>
          <w:b/>
          <w:bCs/>
          <w:sz w:val="21"/>
          <w:szCs w:val="21"/>
        </w:rPr>
        <w:t>1.</w:t>
      </w:r>
      <w:r w:rsidRPr="0052155F">
        <w:rPr>
          <w:rFonts w:cs="Times New Roman"/>
          <w:sz w:val="21"/>
          <w:szCs w:val="21"/>
        </w:rPr>
        <w:t xml:space="preserve"> </w:t>
      </w:r>
      <w:r w:rsidRPr="0052155F">
        <w:rPr>
          <w:rFonts w:cs="Times New Roman"/>
          <w:color w:val="000000" w:themeColor="text1"/>
          <w:sz w:val="21"/>
          <w:szCs w:val="21"/>
        </w:rPr>
        <w:t>Simplified description of the representative resources and tools for analyzing the short-read RNA-seq data in plants.</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66"/>
        <w:gridCol w:w="1711"/>
        <w:gridCol w:w="10981"/>
      </w:tblGrid>
      <w:tr w:rsidR="001B7DEB" w14:paraId="04073541" w14:textId="77777777" w:rsidTr="0052155F">
        <w:trPr>
          <w:trHeight w:val="585"/>
        </w:trPr>
        <w:tc>
          <w:tcPr>
            <w:tcW w:w="1266" w:type="dxa"/>
            <w:tcBorders>
              <w:top w:val="single" w:sz="4" w:space="0" w:color="auto"/>
              <w:bottom w:val="single" w:sz="4" w:space="0" w:color="auto"/>
            </w:tcBorders>
            <w:vAlign w:val="center"/>
          </w:tcPr>
          <w:p w14:paraId="1A2C81AE" w14:textId="75C6EB7E" w:rsidR="001B7DEB" w:rsidRPr="0052155F" w:rsidRDefault="001B7DEB" w:rsidP="0052155F">
            <w:pPr>
              <w:snapToGrid w:val="0"/>
              <w:spacing w:line="312" w:lineRule="auto"/>
              <w:rPr>
                <w:rFonts w:cs="Times New Roman"/>
                <w:b/>
                <w:bCs/>
                <w:color w:val="000000" w:themeColor="text1"/>
                <w:sz w:val="20"/>
                <w:szCs w:val="20"/>
              </w:rPr>
            </w:pPr>
            <w:r w:rsidRPr="0052155F">
              <w:rPr>
                <w:rFonts w:eastAsia="DengXian" w:cs="Times New Roman"/>
                <w:b/>
                <w:bCs/>
                <w:color w:val="000000"/>
                <w:sz w:val="20"/>
                <w:szCs w:val="20"/>
              </w:rPr>
              <w:t>Name</w:t>
            </w:r>
          </w:p>
        </w:tc>
        <w:tc>
          <w:tcPr>
            <w:tcW w:w="1711" w:type="dxa"/>
            <w:tcBorders>
              <w:top w:val="single" w:sz="4" w:space="0" w:color="auto"/>
              <w:bottom w:val="single" w:sz="4" w:space="0" w:color="auto"/>
            </w:tcBorders>
            <w:vAlign w:val="center"/>
          </w:tcPr>
          <w:p w14:paraId="3877A6FC" w14:textId="6E1F51EE" w:rsidR="001B7DEB" w:rsidRPr="0052155F" w:rsidRDefault="0052155F" w:rsidP="0052155F">
            <w:pPr>
              <w:snapToGrid w:val="0"/>
              <w:spacing w:line="312" w:lineRule="auto"/>
              <w:rPr>
                <w:rFonts w:cs="Times New Roman"/>
                <w:b/>
                <w:bCs/>
                <w:color w:val="000000" w:themeColor="text1"/>
                <w:sz w:val="20"/>
                <w:szCs w:val="20"/>
              </w:rPr>
            </w:pPr>
            <w:r w:rsidRPr="0052155F">
              <w:rPr>
                <w:rFonts w:eastAsia="DengXian" w:cs="Times New Roman"/>
                <w:b/>
                <w:bCs/>
                <w:color w:val="000000"/>
                <w:sz w:val="20"/>
                <w:szCs w:val="20"/>
              </w:rPr>
              <w:t>References</w:t>
            </w:r>
          </w:p>
        </w:tc>
        <w:tc>
          <w:tcPr>
            <w:tcW w:w="10981" w:type="dxa"/>
            <w:tcBorders>
              <w:top w:val="single" w:sz="4" w:space="0" w:color="auto"/>
              <w:bottom w:val="single" w:sz="4" w:space="0" w:color="auto"/>
            </w:tcBorders>
            <w:vAlign w:val="center"/>
          </w:tcPr>
          <w:p w14:paraId="614DE2EB" w14:textId="5B4AA399" w:rsidR="001B7DEB" w:rsidRPr="0052155F" w:rsidRDefault="001B7DEB" w:rsidP="0052155F">
            <w:pPr>
              <w:snapToGrid w:val="0"/>
              <w:spacing w:line="312" w:lineRule="auto"/>
              <w:rPr>
                <w:rFonts w:cs="Times New Roman"/>
                <w:b/>
                <w:bCs/>
                <w:color w:val="000000" w:themeColor="text1"/>
                <w:sz w:val="20"/>
                <w:szCs w:val="20"/>
              </w:rPr>
            </w:pPr>
            <w:r w:rsidRPr="0052155F">
              <w:rPr>
                <w:rFonts w:eastAsia="DengXian" w:cs="Times New Roman"/>
                <w:b/>
                <w:bCs/>
                <w:color w:val="000000"/>
                <w:sz w:val="20"/>
                <w:szCs w:val="20"/>
              </w:rPr>
              <w:t>Description</w:t>
            </w:r>
          </w:p>
        </w:tc>
      </w:tr>
      <w:tr w:rsidR="001B7DEB" w14:paraId="56820B3A" w14:textId="77777777" w:rsidTr="0052155F">
        <w:tc>
          <w:tcPr>
            <w:tcW w:w="1266" w:type="dxa"/>
            <w:tcBorders>
              <w:top w:val="single" w:sz="4" w:space="0" w:color="auto"/>
            </w:tcBorders>
            <w:vAlign w:val="center"/>
          </w:tcPr>
          <w:p w14:paraId="2392B6F6" w14:textId="597304B7"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Plant Reactome </w:t>
            </w:r>
          </w:p>
        </w:tc>
        <w:tc>
          <w:tcPr>
            <w:tcW w:w="1711" w:type="dxa"/>
            <w:tcBorders>
              <w:top w:val="single" w:sz="4" w:space="0" w:color="auto"/>
            </w:tcBorders>
            <w:vAlign w:val="center"/>
          </w:tcPr>
          <w:p w14:paraId="4E81C59F" w14:textId="2C88BC0B"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Nathani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2016 &amp; 2020</w:t>
            </w:r>
          </w:p>
        </w:tc>
        <w:tc>
          <w:tcPr>
            <w:tcW w:w="10981" w:type="dxa"/>
            <w:tcBorders>
              <w:top w:val="single" w:sz="4" w:space="0" w:color="auto"/>
            </w:tcBorders>
            <w:vAlign w:val="center"/>
          </w:tcPr>
          <w:p w14:paraId="63873ED3" w14:textId="14A2CA7D"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plant reactome resource(2016) provide annotations of metabolic, transport, developmental and signaling pathways for 62 model, crop and evolutionarily important plant species; the new reactome database(2020) not only provides annotations of metabolic, transport, signaling pathways for plant species, but can also be used for performing online analysis of users’ own RNA-seq data.</w:t>
            </w:r>
          </w:p>
        </w:tc>
      </w:tr>
      <w:tr w:rsidR="001B7DEB" w14:paraId="5368CA4B" w14:textId="77777777" w:rsidTr="0052155F">
        <w:tc>
          <w:tcPr>
            <w:tcW w:w="1266" w:type="dxa"/>
            <w:vAlign w:val="center"/>
          </w:tcPr>
          <w:p w14:paraId="55F5A375" w14:textId="443EE4BE"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Strawberry</w:t>
            </w:r>
          </w:p>
        </w:tc>
        <w:tc>
          <w:tcPr>
            <w:tcW w:w="1711" w:type="dxa"/>
            <w:vAlign w:val="center"/>
          </w:tcPr>
          <w:p w14:paraId="4B8CB537" w14:textId="3BDA23DE"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Liu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2017</w:t>
            </w:r>
          </w:p>
        </w:tc>
        <w:tc>
          <w:tcPr>
            <w:tcW w:w="10981" w:type="dxa"/>
            <w:vAlign w:val="center"/>
          </w:tcPr>
          <w:p w14:paraId="7010E687" w14:textId="3A9EC321"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Strawberry is a new package for </w:t>
            </w:r>
            <w:r w:rsidRPr="0052155F">
              <w:rPr>
                <w:rFonts w:eastAsia="DengXian" w:cs="Times New Roman"/>
                <w:i/>
                <w:iCs/>
                <w:color w:val="000000"/>
                <w:sz w:val="18"/>
                <w:szCs w:val="18"/>
              </w:rPr>
              <w:t>de novo</w:t>
            </w:r>
            <w:r w:rsidRPr="0052155F">
              <w:rPr>
                <w:rFonts w:eastAsia="DengXian" w:cs="Times New Roman"/>
                <w:color w:val="000000"/>
                <w:sz w:val="18"/>
                <w:szCs w:val="18"/>
              </w:rPr>
              <w:t xml:space="preserve"> assembly of transcriptome with the function of transcript quantification.</w:t>
            </w:r>
          </w:p>
        </w:tc>
      </w:tr>
      <w:tr w:rsidR="001B7DEB" w14:paraId="71510B7F" w14:textId="77777777" w:rsidTr="0052155F">
        <w:tc>
          <w:tcPr>
            <w:tcW w:w="1266" w:type="dxa"/>
            <w:vAlign w:val="center"/>
          </w:tcPr>
          <w:p w14:paraId="762585D2" w14:textId="77B0ADC4"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iDEP</w:t>
            </w:r>
          </w:p>
        </w:tc>
        <w:tc>
          <w:tcPr>
            <w:tcW w:w="1711" w:type="dxa"/>
            <w:vAlign w:val="center"/>
          </w:tcPr>
          <w:p w14:paraId="188BBCAE" w14:textId="50071DCE"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Ge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2018</w:t>
            </w:r>
          </w:p>
        </w:tc>
        <w:tc>
          <w:tcPr>
            <w:tcW w:w="10981" w:type="dxa"/>
            <w:vAlign w:val="center"/>
          </w:tcPr>
          <w:p w14:paraId="43D22E8F" w14:textId="3C0F4D5D"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authors reported a comprehensive pipeline iDEP that seamlessly connects many R packages and annotation and pthway databases to analyzed RNA-seq data without species limitations.</w:t>
            </w:r>
          </w:p>
        </w:tc>
      </w:tr>
      <w:tr w:rsidR="001B7DEB" w14:paraId="73102507" w14:textId="77777777" w:rsidTr="0052155F">
        <w:tc>
          <w:tcPr>
            <w:tcW w:w="1266" w:type="dxa"/>
            <w:vAlign w:val="center"/>
          </w:tcPr>
          <w:p w14:paraId="4D330863" w14:textId="3217C759"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TransFlow</w:t>
            </w:r>
          </w:p>
        </w:tc>
        <w:tc>
          <w:tcPr>
            <w:tcW w:w="1711" w:type="dxa"/>
            <w:vAlign w:val="center"/>
          </w:tcPr>
          <w:p w14:paraId="39D5A48B" w14:textId="55475DA6"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Seoane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2018</w:t>
            </w:r>
          </w:p>
        </w:tc>
        <w:tc>
          <w:tcPr>
            <w:tcW w:w="10981" w:type="dxa"/>
            <w:vAlign w:val="center"/>
          </w:tcPr>
          <w:p w14:paraId="54163585" w14:textId="2DE08B9D"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TransFlow provides flexible pipelines for multiple </w:t>
            </w:r>
            <w:r w:rsidRPr="0052155F">
              <w:rPr>
                <w:rFonts w:eastAsia="DengXian" w:cs="Times New Roman"/>
                <w:i/>
                <w:iCs/>
                <w:color w:val="000000"/>
                <w:sz w:val="18"/>
                <w:szCs w:val="18"/>
              </w:rPr>
              <w:t>de novo</w:t>
            </w:r>
            <w:r w:rsidRPr="0052155F">
              <w:rPr>
                <w:rFonts w:eastAsia="DengXian" w:cs="Times New Roman"/>
                <w:color w:val="000000"/>
                <w:sz w:val="18"/>
                <w:szCs w:val="18"/>
              </w:rPr>
              <w:t xml:space="preserve"> assembling strategies for RNA-seq data, with the capability to integrate Roche/454 sequencing data. </w:t>
            </w:r>
          </w:p>
        </w:tc>
      </w:tr>
      <w:tr w:rsidR="001B7DEB" w14:paraId="7B60A966" w14:textId="77777777" w:rsidTr="0052155F">
        <w:tc>
          <w:tcPr>
            <w:tcW w:w="1266" w:type="dxa"/>
            <w:vAlign w:val="center"/>
          </w:tcPr>
          <w:p w14:paraId="4D696518" w14:textId="1A58C581"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MorphDB</w:t>
            </w:r>
          </w:p>
        </w:tc>
        <w:tc>
          <w:tcPr>
            <w:tcW w:w="1711" w:type="dxa"/>
            <w:vAlign w:val="center"/>
          </w:tcPr>
          <w:p w14:paraId="5F5824C1" w14:textId="5A9D9391"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Zwaenepoel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2018</w:t>
            </w:r>
          </w:p>
        </w:tc>
        <w:tc>
          <w:tcPr>
            <w:tcW w:w="10981" w:type="dxa"/>
            <w:vAlign w:val="center"/>
          </w:tcPr>
          <w:p w14:paraId="5386F48D" w14:textId="6A331A3C"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authors provide an online database, MorphDB, which integrate multiple annotation resources for identification of missing gene in metabolic mathways in plants. They also provide the toolkit for local prediction of metabolic annotation for novel data sets, MORPH bulk.</w:t>
            </w:r>
          </w:p>
        </w:tc>
      </w:tr>
      <w:tr w:rsidR="001B7DEB" w14:paraId="36E9B3D5" w14:textId="77777777" w:rsidTr="0052155F">
        <w:tc>
          <w:tcPr>
            <w:tcW w:w="1266" w:type="dxa"/>
            <w:vAlign w:val="center"/>
          </w:tcPr>
          <w:p w14:paraId="464FA8A3" w14:textId="4582539A"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PISO</w:t>
            </w:r>
          </w:p>
        </w:tc>
        <w:tc>
          <w:tcPr>
            <w:tcW w:w="1711" w:type="dxa"/>
            <w:vAlign w:val="center"/>
          </w:tcPr>
          <w:p w14:paraId="79055558" w14:textId="33CE12B0"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Feng </w:t>
            </w:r>
            <w:r w:rsidRPr="0052155F">
              <w:rPr>
                <w:rFonts w:eastAsia="DengXian" w:cs="Times New Roman"/>
                <w:i/>
                <w:iCs/>
                <w:color w:val="000000"/>
                <w:sz w:val="18"/>
                <w:szCs w:val="18"/>
              </w:rPr>
              <w:t>et al.</w:t>
            </w:r>
            <w:r w:rsidRPr="0052155F">
              <w:rPr>
                <w:rFonts w:eastAsia="DengXian" w:cs="Times New Roman"/>
                <w:color w:val="000000"/>
                <w:sz w:val="18"/>
                <w:szCs w:val="18"/>
              </w:rPr>
              <w:t>2019</w:t>
            </w:r>
          </w:p>
        </w:tc>
        <w:tc>
          <w:tcPr>
            <w:tcW w:w="10981" w:type="dxa"/>
            <w:vAlign w:val="center"/>
          </w:tcPr>
          <w:p w14:paraId="5CA812E5" w14:textId="03AFB851"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plant isoform sequencing database (PISO) provided millions of high-quality transcript isoforms from 19 plant species with a flexible user interface and conventional tools. </w:t>
            </w:r>
          </w:p>
        </w:tc>
      </w:tr>
      <w:tr w:rsidR="001B7DEB" w14:paraId="77E9DC52" w14:textId="77777777" w:rsidTr="0052155F">
        <w:tc>
          <w:tcPr>
            <w:tcW w:w="1266" w:type="dxa"/>
            <w:vAlign w:val="center"/>
          </w:tcPr>
          <w:p w14:paraId="3EA4C7A6" w14:textId="073EAEC1"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MapMan 4/ Mercator4</w:t>
            </w:r>
          </w:p>
        </w:tc>
        <w:tc>
          <w:tcPr>
            <w:tcW w:w="1711" w:type="dxa"/>
            <w:vAlign w:val="center"/>
          </w:tcPr>
          <w:p w14:paraId="528BF9E7" w14:textId="0AC2E5DA"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Schwacke </w:t>
            </w:r>
            <w:r w:rsidRPr="0052155F">
              <w:rPr>
                <w:rFonts w:eastAsia="DengXian" w:cs="Times New Roman"/>
                <w:i/>
                <w:iCs/>
                <w:color w:val="000000"/>
                <w:sz w:val="18"/>
                <w:szCs w:val="18"/>
              </w:rPr>
              <w:t>et al.</w:t>
            </w:r>
            <w:r w:rsidRPr="0052155F">
              <w:rPr>
                <w:rFonts w:eastAsia="DengXian" w:cs="Times New Roman"/>
                <w:color w:val="000000"/>
                <w:sz w:val="18"/>
                <w:szCs w:val="18"/>
              </w:rPr>
              <w:t>2019</w:t>
            </w:r>
          </w:p>
        </w:tc>
        <w:tc>
          <w:tcPr>
            <w:tcW w:w="10981" w:type="dxa"/>
            <w:vAlign w:val="center"/>
          </w:tcPr>
          <w:p w14:paraId="5EFF0183" w14:textId="71F89776"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authors presented a redesigned and significantly enhanced annotation database and annotation software, MapMan4.</w:t>
            </w:r>
          </w:p>
        </w:tc>
      </w:tr>
      <w:tr w:rsidR="001B7DEB" w14:paraId="664AD578" w14:textId="77777777" w:rsidTr="0052155F">
        <w:tc>
          <w:tcPr>
            <w:tcW w:w="1266" w:type="dxa"/>
            <w:vAlign w:val="center"/>
          </w:tcPr>
          <w:p w14:paraId="61B63EE8" w14:textId="68D77DB4"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PlantCircBase</w:t>
            </w:r>
          </w:p>
        </w:tc>
        <w:tc>
          <w:tcPr>
            <w:tcW w:w="1711" w:type="dxa"/>
            <w:vAlign w:val="center"/>
          </w:tcPr>
          <w:p w14:paraId="279833B5" w14:textId="2DFE5BB3"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Chu </w:t>
            </w:r>
            <w:r w:rsidRPr="0052155F">
              <w:rPr>
                <w:rFonts w:eastAsia="DengXian" w:cs="Times New Roman"/>
                <w:i/>
                <w:iCs/>
                <w:color w:val="000000"/>
                <w:sz w:val="18"/>
                <w:szCs w:val="18"/>
              </w:rPr>
              <w:t>et al.</w:t>
            </w:r>
            <w:r w:rsidRPr="0052155F">
              <w:rPr>
                <w:rFonts w:eastAsia="DengXian" w:cs="Times New Roman"/>
                <w:color w:val="000000"/>
                <w:sz w:val="18"/>
                <w:szCs w:val="18"/>
              </w:rPr>
              <w:t>2018</w:t>
            </w:r>
          </w:p>
        </w:tc>
        <w:tc>
          <w:tcPr>
            <w:tcW w:w="10981" w:type="dxa"/>
            <w:vAlign w:val="center"/>
          </w:tcPr>
          <w:p w14:paraId="15047009" w14:textId="1210BECB" w:rsidR="001B7DEB" w:rsidRPr="0052155F" w:rsidRDefault="001B7DEB"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paper reports an update of plant circular RNA database, PlantcircBase 3.0, including the identified circRNAs from 12 plant species with less false positive predictions.</w:t>
            </w:r>
          </w:p>
        </w:tc>
      </w:tr>
      <w:tr w:rsidR="0052155F" w14:paraId="57CE0A93" w14:textId="77777777" w:rsidTr="0052155F">
        <w:tc>
          <w:tcPr>
            <w:tcW w:w="1266" w:type="dxa"/>
            <w:tcBorders>
              <w:bottom w:val="single" w:sz="4" w:space="0" w:color="auto"/>
            </w:tcBorders>
            <w:vAlign w:val="center"/>
          </w:tcPr>
          <w:p w14:paraId="50C04157" w14:textId="4391D3C1" w:rsidR="0052155F" w:rsidRPr="0052155F" w:rsidRDefault="0052155F" w:rsidP="0052155F">
            <w:pPr>
              <w:snapToGrid w:val="0"/>
              <w:spacing w:before="0" w:afterLines="50" w:after="163" w:line="300" w:lineRule="exact"/>
              <w:rPr>
                <w:rFonts w:eastAsia="DengXian" w:cs="Times New Roman"/>
                <w:color w:val="000000"/>
                <w:sz w:val="18"/>
                <w:szCs w:val="18"/>
              </w:rPr>
            </w:pPr>
            <w:r w:rsidRPr="0052155F">
              <w:rPr>
                <w:rFonts w:eastAsia="DengXian" w:cs="Times New Roman"/>
                <w:color w:val="000000"/>
                <w:sz w:val="18"/>
                <w:szCs w:val="18"/>
              </w:rPr>
              <w:t>Gramene</w:t>
            </w:r>
          </w:p>
        </w:tc>
        <w:tc>
          <w:tcPr>
            <w:tcW w:w="1711" w:type="dxa"/>
            <w:tcBorders>
              <w:bottom w:val="single" w:sz="4" w:space="0" w:color="auto"/>
            </w:tcBorders>
            <w:vAlign w:val="center"/>
          </w:tcPr>
          <w:p w14:paraId="7A97938C" w14:textId="4C757711" w:rsidR="0052155F" w:rsidRPr="0052155F" w:rsidRDefault="0052155F" w:rsidP="0052155F">
            <w:pPr>
              <w:snapToGrid w:val="0"/>
              <w:spacing w:before="0" w:afterLines="50" w:after="163" w:line="300" w:lineRule="exact"/>
              <w:rPr>
                <w:rFonts w:eastAsia="DengXian" w:cs="Times New Roman"/>
                <w:color w:val="000000"/>
                <w:sz w:val="18"/>
                <w:szCs w:val="18"/>
              </w:rPr>
            </w:pPr>
            <w:r w:rsidRPr="0052155F">
              <w:rPr>
                <w:rFonts w:eastAsia="DengXian" w:cs="Times New Roman"/>
                <w:color w:val="000000"/>
                <w:sz w:val="18"/>
                <w:szCs w:val="18"/>
              </w:rPr>
              <w:t xml:space="preserve">Tello-Ruiz </w:t>
            </w:r>
            <w:r w:rsidRPr="0052155F">
              <w:rPr>
                <w:rFonts w:eastAsia="DengXian" w:cs="Times New Roman"/>
                <w:i/>
                <w:iCs/>
                <w:color w:val="000000"/>
                <w:sz w:val="18"/>
                <w:szCs w:val="18"/>
              </w:rPr>
              <w:t>et al.</w:t>
            </w:r>
            <w:r w:rsidRPr="0052155F">
              <w:rPr>
                <w:rFonts w:eastAsia="DengXian" w:cs="Times New Roman"/>
                <w:color w:val="000000"/>
                <w:sz w:val="18"/>
                <w:szCs w:val="18"/>
              </w:rPr>
              <w:t>2018</w:t>
            </w:r>
          </w:p>
        </w:tc>
        <w:tc>
          <w:tcPr>
            <w:tcW w:w="10981" w:type="dxa"/>
            <w:tcBorders>
              <w:bottom w:val="single" w:sz="4" w:space="0" w:color="auto"/>
            </w:tcBorders>
            <w:vAlign w:val="center"/>
          </w:tcPr>
          <w:p w14:paraId="2404661C" w14:textId="5165ACDA" w:rsidR="0052155F" w:rsidRPr="0052155F" w:rsidRDefault="0052155F" w:rsidP="0052155F">
            <w:pPr>
              <w:snapToGrid w:val="0"/>
              <w:spacing w:before="0" w:afterLines="50" w:after="163" w:line="300" w:lineRule="exact"/>
              <w:rPr>
                <w:rFonts w:eastAsia="DengXian" w:cs="Times New Roman"/>
                <w:color w:val="000000"/>
                <w:sz w:val="18"/>
                <w:szCs w:val="18"/>
              </w:rPr>
            </w:pPr>
            <w:r w:rsidRPr="0052155F">
              <w:rPr>
                <w:rFonts w:eastAsia="DengXian" w:cs="Times New Roman"/>
                <w:color w:val="000000"/>
                <w:sz w:val="18"/>
                <w:szCs w:val="18"/>
              </w:rPr>
              <w:t>This paper described the integrative knowledgebase for crop plants, Gramene, which includes 44 reference genomes of crops, the annotation of gene families and plant reactome annotations. It also hosts the expression atlas of several crops. Its pathway annotation has been further enhanced by the curated rice pathways and gene orthology between the species.</w:t>
            </w:r>
          </w:p>
        </w:tc>
      </w:tr>
      <w:tr w:rsidR="0052155F" w14:paraId="1FFEDF67" w14:textId="77777777" w:rsidTr="0052155F">
        <w:tc>
          <w:tcPr>
            <w:tcW w:w="1266" w:type="dxa"/>
            <w:tcBorders>
              <w:top w:val="single" w:sz="4" w:space="0" w:color="auto"/>
              <w:bottom w:val="single" w:sz="4" w:space="0" w:color="auto"/>
            </w:tcBorders>
            <w:vAlign w:val="center"/>
          </w:tcPr>
          <w:p w14:paraId="5FEC5261" w14:textId="1FFB57F4" w:rsidR="0052155F" w:rsidRPr="0052155F" w:rsidRDefault="0052155F" w:rsidP="0052155F">
            <w:pPr>
              <w:snapToGrid w:val="0"/>
              <w:spacing w:before="0" w:afterLines="50" w:after="163" w:line="300" w:lineRule="exact"/>
              <w:rPr>
                <w:rFonts w:cs="Times New Roman"/>
                <w:color w:val="000000" w:themeColor="text1"/>
                <w:sz w:val="20"/>
                <w:szCs w:val="20"/>
              </w:rPr>
            </w:pPr>
            <w:r w:rsidRPr="0052155F">
              <w:rPr>
                <w:rFonts w:eastAsia="DengXian" w:cs="Times New Roman"/>
                <w:b/>
                <w:bCs/>
                <w:color w:val="000000"/>
                <w:sz w:val="20"/>
                <w:szCs w:val="20"/>
              </w:rPr>
              <w:lastRenderedPageBreak/>
              <w:t>Name</w:t>
            </w:r>
          </w:p>
        </w:tc>
        <w:tc>
          <w:tcPr>
            <w:tcW w:w="1711" w:type="dxa"/>
            <w:tcBorders>
              <w:top w:val="single" w:sz="4" w:space="0" w:color="auto"/>
              <w:bottom w:val="single" w:sz="4" w:space="0" w:color="auto"/>
            </w:tcBorders>
            <w:vAlign w:val="center"/>
          </w:tcPr>
          <w:p w14:paraId="082141C3" w14:textId="624D6451" w:rsidR="0052155F" w:rsidRPr="0052155F" w:rsidRDefault="0052155F" w:rsidP="0052155F">
            <w:pPr>
              <w:snapToGrid w:val="0"/>
              <w:spacing w:before="0" w:afterLines="50" w:after="163" w:line="300" w:lineRule="exact"/>
              <w:rPr>
                <w:rFonts w:cs="Times New Roman"/>
                <w:color w:val="000000" w:themeColor="text1"/>
                <w:sz w:val="20"/>
                <w:szCs w:val="20"/>
              </w:rPr>
            </w:pPr>
            <w:r w:rsidRPr="0052155F">
              <w:rPr>
                <w:rFonts w:eastAsia="DengXian" w:cs="Times New Roman"/>
                <w:b/>
                <w:bCs/>
                <w:color w:val="000000"/>
                <w:sz w:val="20"/>
                <w:szCs w:val="20"/>
              </w:rPr>
              <w:t>References</w:t>
            </w:r>
          </w:p>
        </w:tc>
        <w:tc>
          <w:tcPr>
            <w:tcW w:w="10981" w:type="dxa"/>
            <w:tcBorders>
              <w:top w:val="single" w:sz="4" w:space="0" w:color="auto"/>
              <w:bottom w:val="single" w:sz="4" w:space="0" w:color="auto"/>
            </w:tcBorders>
            <w:vAlign w:val="center"/>
          </w:tcPr>
          <w:p w14:paraId="7EE4863D" w14:textId="6516803A" w:rsidR="0052155F" w:rsidRPr="0052155F" w:rsidRDefault="0052155F" w:rsidP="0052155F">
            <w:pPr>
              <w:snapToGrid w:val="0"/>
              <w:spacing w:before="0" w:afterLines="50" w:after="163" w:line="300" w:lineRule="exact"/>
              <w:rPr>
                <w:rFonts w:cs="Times New Roman"/>
                <w:color w:val="000000" w:themeColor="text1"/>
                <w:sz w:val="20"/>
                <w:szCs w:val="20"/>
              </w:rPr>
            </w:pPr>
            <w:r w:rsidRPr="0052155F">
              <w:rPr>
                <w:rFonts w:eastAsia="DengXian" w:cs="Times New Roman"/>
                <w:b/>
                <w:bCs/>
                <w:color w:val="000000"/>
                <w:sz w:val="20"/>
                <w:szCs w:val="20"/>
              </w:rPr>
              <w:t>Description</w:t>
            </w:r>
          </w:p>
        </w:tc>
      </w:tr>
      <w:tr w:rsidR="0052155F" w14:paraId="7CC02A07" w14:textId="77777777" w:rsidTr="0052155F">
        <w:tc>
          <w:tcPr>
            <w:tcW w:w="1266" w:type="dxa"/>
            <w:tcBorders>
              <w:top w:val="single" w:sz="4" w:space="0" w:color="auto"/>
            </w:tcBorders>
            <w:vAlign w:val="center"/>
          </w:tcPr>
          <w:p w14:paraId="0FCD3508" w14:textId="58D4D05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LeGOO</w:t>
            </w:r>
          </w:p>
        </w:tc>
        <w:tc>
          <w:tcPr>
            <w:tcW w:w="1711" w:type="dxa"/>
            <w:tcBorders>
              <w:top w:val="single" w:sz="4" w:space="0" w:color="auto"/>
            </w:tcBorders>
            <w:vAlign w:val="center"/>
          </w:tcPr>
          <w:p w14:paraId="4E7839BD" w14:textId="77491AE0"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Carrere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2020</w:t>
            </w:r>
          </w:p>
        </w:tc>
        <w:tc>
          <w:tcPr>
            <w:tcW w:w="10981" w:type="dxa"/>
            <w:tcBorders>
              <w:top w:val="single" w:sz="4" w:space="0" w:color="auto"/>
            </w:tcBorders>
            <w:vAlign w:val="center"/>
          </w:tcPr>
          <w:p w14:paraId="754BEC96" w14:textId="4A9906F3"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This paper described a knowledgebase of the model legume species, Medicago truncatula (namely LeGOO). The knowledgebase hosts functional relations retrieved from 298 publications, the genome broweser implemented with the Mt5.0 reference genome, and the associated functional annotations. Thus, this database will be useful for the legume community to better exploit the wealth of data from this model species.</w:t>
            </w:r>
          </w:p>
        </w:tc>
      </w:tr>
      <w:tr w:rsidR="0052155F" w14:paraId="433650D3" w14:textId="77777777" w:rsidTr="0052155F">
        <w:tc>
          <w:tcPr>
            <w:tcW w:w="1266" w:type="dxa"/>
            <w:vAlign w:val="center"/>
          </w:tcPr>
          <w:p w14:paraId="73195257" w14:textId="6BAC709E"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ZEAMAP</w:t>
            </w:r>
          </w:p>
        </w:tc>
        <w:tc>
          <w:tcPr>
            <w:tcW w:w="1711" w:type="dxa"/>
            <w:vAlign w:val="center"/>
          </w:tcPr>
          <w:p w14:paraId="2D78C0ED" w14:textId="51693D28"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Gui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2020</w:t>
            </w:r>
          </w:p>
        </w:tc>
        <w:tc>
          <w:tcPr>
            <w:tcW w:w="10981" w:type="dxa"/>
            <w:vAlign w:val="center"/>
          </w:tcPr>
          <w:p w14:paraId="0C8E1E8A" w14:textId="4D5C06C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This paper described a comprehensive website (ZEAMAP) for functional and comparative genomics of maize. The ZEAMAP websites includes multiple reference genomes, comparative transcriptomes, chromatin data, and high-quality variants, phenotypes, metabolomics and even genetic maps. </w:t>
            </w:r>
          </w:p>
        </w:tc>
      </w:tr>
      <w:tr w:rsidR="0052155F" w14:paraId="673C0371" w14:textId="77777777" w:rsidTr="0052155F">
        <w:tc>
          <w:tcPr>
            <w:tcW w:w="1266" w:type="dxa"/>
            <w:vAlign w:val="center"/>
          </w:tcPr>
          <w:p w14:paraId="15C78D71" w14:textId="5E7C61DF"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BarleyNet</w:t>
            </w:r>
          </w:p>
        </w:tc>
        <w:tc>
          <w:tcPr>
            <w:tcW w:w="1711" w:type="dxa"/>
            <w:vAlign w:val="center"/>
          </w:tcPr>
          <w:p w14:paraId="2389D2E9" w14:textId="64C38B97"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Lee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2020</w:t>
            </w:r>
          </w:p>
        </w:tc>
        <w:tc>
          <w:tcPr>
            <w:tcW w:w="10981" w:type="dxa"/>
            <w:vAlign w:val="center"/>
          </w:tcPr>
          <w:p w14:paraId="796D0A96" w14:textId="3CCF090E"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This paper described a repository of co-functional network of barley and its companion webserver (BarleyNet). The barleyNet co-functional networks host 2385 expression profiles (1780 by microarray data and 650 by RNA-seq data). The authors further desmontrated the usefulness of these network analysis tools in the study of stress responses.</w:t>
            </w:r>
          </w:p>
        </w:tc>
      </w:tr>
      <w:tr w:rsidR="0052155F" w14:paraId="04107727" w14:textId="77777777" w:rsidTr="0052155F">
        <w:tc>
          <w:tcPr>
            <w:tcW w:w="1266" w:type="dxa"/>
            <w:vAlign w:val="center"/>
          </w:tcPr>
          <w:p w14:paraId="045CF613" w14:textId="6D9B38D2"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SAT-Assembler</w:t>
            </w:r>
          </w:p>
        </w:tc>
        <w:tc>
          <w:tcPr>
            <w:tcW w:w="1711" w:type="dxa"/>
            <w:vAlign w:val="center"/>
          </w:tcPr>
          <w:p w14:paraId="7D58D937" w14:textId="76DFCF37"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Zhang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2014</w:t>
            </w:r>
          </w:p>
        </w:tc>
        <w:tc>
          <w:tcPr>
            <w:tcW w:w="10981" w:type="dxa"/>
            <w:vAlign w:val="center"/>
          </w:tcPr>
          <w:p w14:paraId="54921A86" w14:textId="031D65CC"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SAT- assembler uses RNA-seq data to perform gene family-specific assembly with high homology and lower chimera rate.</w:t>
            </w:r>
          </w:p>
        </w:tc>
      </w:tr>
      <w:tr w:rsidR="0052155F" w14:paraId="2566AFB8" w14:textId="77777777" w:rsidTr="0052155F">
        <w:tc>
          <w:tcPr>
            <w:tcW w:w="1266" w:type="dxa"/>
            <w:vAlign w:val="center"/>
          </w:tcPr>
          <w:p w14:paraId="06B7B8F0" w14:textId="19D6FD7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BinPacker</w:t>
            </w:r>
          </w:p>
        </w:tc>
        <w:tc>
          <w:tcPr>
            <w:tcW w:w="1711" w:type="dxa"/>
            <w:vAlign w:val="center"/>
          </w:tcPr>
          <w:p w14:paraId="513E7147" w14:textId="67C71E4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Liu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2016</w:t>
            </w:r>
          </w:p>
        </w:tc>
        <w:tc>
          <w:tcPr>
            <w:tcW w:w="10981" w:type="dxa"/>
            <w:vAlign w:val="center"/>
          </w:tcPr>
          <w:p w14:paraId="638CA36E" w14:textId="5CE10B97"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BinPacker is a new software for </w:t>
            </w:r>
            <w:r w:rsidRPr="0052155F">
              <w:rPr>
                <w:rFonts w:eastAsia="DengXian" w:cs="Times New Roman"/>
                <w:i/>
                <w:iCs/>
                <w:color w:val="000000"/>
                <w:sz w:val="18"/>
                <w:szCs w:val="18"/>
              </w:rPr>
              <w:t>de novo</w:t>
            </w:r>
            <w:r w:rsidRPr="0052155F">
              <w:rPr>
                <w:rFonts w:eastAsia="DengXian" w:cs="Times New Roman"/>
                <w:color w:val="000000"/>
                <w:sz w:val="18"/>
                <w:szCs w:val="18"/>
              </w:rPr>
              <w:t xml:space="preserve"> assembly of transcriptome with higher accuracy, faster and requires less memory. </w:t>
            </w:r>
          </w:p>
        </w:tc>
      </w:tr>
      <w:tr w:rsidR="0052155F" w14:paraId="349EA6E3" w14:textId="77777777" w:rsidTr="0052155F">
        <w:tc>
          <w:tcPr>
            <w:tcW w:w="1266" w:type="dxa"/>
            <w:vAlign w:val="center"/>
          </w:tcPr>
          <w:p w14:paraId="6F6FE9E0" w14:textId="4086877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Rascaf</w:t>
            </w:r>
          </w:p>
        </w:tc>
        <w:tc>
          <w:tcPr>
            <w:tcW w:w="1711" w:type="dxa"/>
            <w:vAlign w:val="center"/>
          </w:tcPr>
          <w:p w14:paraId="336C33E2" w14:textId="04085B8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Song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2016</w:t>
            </w:r>
          </w:p>
        </w:tc>
        <w:tc>
          <w:tcPr>
            <w:tcW w:w="10981" w:type="dxa"/>
            <w:vAlign w:val="center"/>
          </w:tcPr>
          <w:p w14:paraId="590F222B" w14:textId="4FAC9F83"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program Rascaf was developed to leverage the splice junction-spanning read of RNA-seq to detect new contig connections, facilitating contig improvement and thus genome assembly. </w:t>
            </w:r>
          </w:p>
        </w:tc>
      </w:tr>
      <w:tr w:rsidR="0052155F" w14:paraId="621BDA0B" w14:textId="77777777" w:rsidTr="0052155F">
        <w:tc>
          <w:tcPr>
            <w:tcW w:w="1266" w:type="dxa"/>
            <w:vAlign w:val="center"/>
          </w:tcPr>
          <w:p w14:paraId="45750F15" w14:textId="2C705163"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IGB</w:t>
            </w:r>
          </w:p>
        </w:tc>
        <w:tc>
          <w:tcPr>
            <w:tcW w:w="1711" w:type="dxa"/>
            <w:vAlign w:val="center"/>
          </w:tcPr>
          <w:p w14:paraId="36D07072" w14:textId="6BEF12E9"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Freese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2016</w:t>
            </w:r>
          </w:p>
        </w:tc>
        <w:tc>
          <w:tcPr>
            <w:tcW w:w="10981" w:type="dxa"/>
            <w:vAlign w:val="center"/>
          </w:tcPr>
          <w:p w14:paraId="75769AC1" w14:textId="4DB56D9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paper reports updates of the Integrated Genome Browser (IGB), a powerful tool to integrate multiple omic data sets.</w:t>
            </w:r>
          </w:p>
        </w:tc>
      </w:tr>
      <w:tr w:rsidR="0052155F" w14:paraId="06F01234" w14:textId="77777777" w:rsidTr="0052155F">
        <w:tc>
          <w:tcPr>
            <w:tcW w:w="1266" w:type="dxa"/>
            <w:vAlign w:val="center"/>
          </w:tcPr>
          <w:p w14:paraId="6188C29E" w14:textId="4439A733"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eFP-Seq Browser</w:t>
            </w:r>
          </w:p>
        </w:tc>
        <w:tc>
          <w:tcPr>
            <w:tcW w:w="1711" w:type="dxa"/>
            <w:vAlign w:val="center"/>
          </w:tcPr>
          <w:p w14:paraId="569F1372" w14:textId="72D02099"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Sullivan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2019</w:t>
            </w:r>
          </w:p>
        </w:tc>
        <w:tc>
          <w:tcPr>
            <w:tcW w:w="10981" w:type="dxa"/>
            <w:vAlign w:val="center"/>
          </w:tcPr>
          <w:p w14:paraId="2FB9D368" w14:textId="357F7BF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This paper described a website links two powerful tools for analyzing large RNA-seq datasets, the electronic fluorescent pictographic (eFP) and Integrated Genome Browser (IGB) to enhance the visualization and exploration of RNA-seq data sets for plant biologists.</w:t>
            </w:r>
          </w:p>
        </w:tc>
      </w:tr>
      <w:tr w:rsidR="0052155F" w14:paraId="67BF1CBC" w14:textId="77777777" w:rsidTr="0052155F">
        <w:tc>
          <w:tcPr>
            <w:tcW w:w="1266" w:type="dxa"/>
            <w:vAlign w:val="center"/>
          </w:tcPr>
          <w:p w14:paraId="42F70B10" w14:textId="76C3088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RNAprof</w:t>
            </w:r>
          </w:p>
        </w:tc>
        <w:tc>
          <w:tcPr>
            <w:tcW w:w="1711" w:type="dxa"/>
            <w:vAlign w:val="center"/>
          </w:tcPr>
          <w:p w14:paraId="1A704B2B" w14:textId="332BB296"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Tran </w:t>
            </w:r>
            <w:r w:rsidRPr="0052155F">
              <w:rPr>
                <w:rFonts w:eastAsia="DengXian" w:cs="Times New Roman"/>
                <w:i/>
                <w:iCs/>
                <w:color w:val="000000"/>
                <w:sz w:val="18"/>
                <w:szCs w:val="18"/>
              </w:rPr>
              <w:t>et al.</w:t>
            </w:r>
            <w:r w:rsidRPr="0052155F">
              <w:rPr>
                <w:rFonts w:eastAsia="DengXian" w:cs="Times New Roman"/>
                <w:color w:val="000000"/>
                <w:sz w:val="18"/>
                <w:szCs w:val="18"/>
              </w:rPr>
              <w:t>2016</w:t>
            </w:r>
          </w:p>
        </w:tc>
        <w:tc>
          <w:tcPr>
            <w:tcW w:w="10981" w:type="dxa"/>
            <w:vAlign w:val="center"/>
          </w:tcPr>
          <w:p w14:paraId="610068BE" w14:textId="2E6EE229"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authors developed a program (namely RNA profile analysis, RNAprof) to detect differential RNA processing events (i.e., alternative splicing and variation in polyadenylation) and demonstrated its validity in the RNA-seq data sets from both animal and plant species.</w:t>
            </w:r>
          </w:p>
        </w:tc>
      </w:tr>
      <w:tr w:rsidR="0052155F" w14:paraId="7AE1B27F" w14:textId="77777777" w:rsidTr="0052155F">
        <w:tc>
          <w:tcPr>
            <w:tcW w:w="1266" w:type="dxa"/>
            <w:tcBorders>
              <w:bottom w:val="single" w:sz="4" w:space="0" w:color="auto"/>
            </w:tcBorders>
            <w:vAlign w:val="center"/>
          </w:tcPr>
          <w:p w14:paraId="37EBEDB2" w14:textId="77777777" w:rsidR="0052155F" w:rsidRPr="0052155F" w:rsidRDefault="0052155F" w:rsidP="0052155F">
            <w:pPr>
              <w:snapToGrid w:val="0"/>
              <w:spacing w:before="0" w:afterLines="50" w:after="163" w:line="300" w:lineRule="exact"/>
              <w:rPr>
                <w:rFonts w:eastAsia="DengXian" w:cs="Times New Roman"/>
                <w:color w:val="000000"/>
                <w:sz w:val="18"/>
                <w:szCs w:val="18"/>
              </w:rPr>
            </w:pPr>
          </w:p>
        </w:tc>
        <w:tc>
          <w:tcPr>
            <w:tcW w:w="1711" w:type="dxa"/>
            <w:tcBorders>
              <w:bottom w:val="single" w:sz="4" w:space="0" w:color="auto"/>
            </w:tcBorders>
            <w:vAlign w:val="center"/>
          </w:tcPr>
          <w:p w14:paraId="710AA798" w14:textId="77777777" w:rsidR="0052155F" w:rsidRPr="0052155F" w:rsidRDefault="0052155F" w:rsidP="0052155F">
            <w:pPr>
              <w:snapToGrid w:val="0"/>
              <w:spacing w:before="0" w:afterLines="50" w:after="163" w:line="300" w:lineRule="exact"/>
              <w:rPr>
                <w:rFonts w:eastAsia="DengXian" w:cs="Times New Roman"/>
                <w:color w:val="000000"/>
                <w:sz w:val="18"/>
                <w:szCs w:val="18"/>
              </w:rPr>
            </w:pPr>
          </w:p>
        </w:tc>
        <w:tc>
          <w:tcPr>
            <w:tcW w:w="10981" w:type="dxa"/>
            <w:tcBorders>
              <w:bottom w:val="single" w:sz="4" w:space="0" w:color="auto"/>
            </w:tcBorders>
            <w:vAlign w:val="center"/>
          </w:tcPr>
          <w:p w14:paraId="40CC5B91" w14:textId="77777777" w:rsidR="0052155F" w:rsidRPr="0052155F" w:rsidRDefault="0052155F" w:rsidP="0052155F">
            <w:pPr>
              <w:snapToGrid w:val="0"/>
              <w:spacing w:before="0" w:afterLines="50" w:after="163" w:line="300" w:lineRule="exact"/>
              <w:rPr>
                <w:rFonts w:eastAsia="DengXian" w:cs="Times New Roman"/>
                <w:color w:val="000000"/>
                <w:sz w:val="18"/>
                <w:szCs w:val="18"/>
              </w:rPr>
            </w:pPr>
          </w:p>
        </w:tc>
      </w:tr>
      <w:tr w:rsidR="0052155F" w14:paraId="086583C6" w14:textId="77777777" w:rsidTr="0052155F">
        <w:tc>
          <w:tcPr>
            <w:tcW w:w="1266" w:type="dxa"/>
            <w:tcBorders>
              <w:top w:val="single" w:sz="4" w:space="0" w:color="auto"/>
              <w:bottom w:val="single" w:sz="4" w:space="0" w:color="auto"/>
            </w:tcBorders>
            <w:vAlign w:val="center"/>
          </w:tcPr>
          <w:p w14:paraId="72334DA2" w14:textId="349CFCCD"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lastRenderedPageBreak/>
              <w:t>Name</w:t>
            </w:r>
          </w:p>
        </w:tc>
        <w:tc>
          <w:tcPr>
            <w:tcW w:w="1711" w:type="dxa"/>
            <w:tcBorders>
              <w:top w:val="single" w:sz="4" w:space="0" w:color="auto"/>
              <w:bottom w:val="single" w:sz="4" w:space="0" w:color="auto"/>
            </w:tcBorders>
            <w:vAlign w:val="center"/>
          </w:tcPr>
          <w:p w14:paraId="35362F7F" w14:textId="169B2C04"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t>References</w:t>
            </w:r>
          </w:p>
        </w:tc>
        <w:tc>
          <w:tcPr>
            <w:tcW w:w="10981" w:type="dxa"/>
            <w:tcBorders>
              <w:top w:val="single" w:sz="4" w:space="0" w:color="auto"/>
              <w:bottom w:val="single" w:sz="4" w:space="0" w:color="auto"/>
            </w:tcBorders>
            <w:vAlign w:val="center"/>
          </w:tcPr>
          <w:p w14:paraId="7AC8E77C" w14:textId="2B6DCEA8"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t>Description</w:t>
            </w:r>
          </w:p>
        </w:tc>
      </w:tr>
      <w:tr w:rsidR="0052155F" w14:paraId="5EFD3059" w14:textId="77777777" w:rsidTr="0052155F">
        <w:tc>
          <w:tcPr>
            <w:tcW w:w="1266" w:type="dxa"/>
            <w:tcBorders>
              <w:top w:val="single" w:sz="4" w:space="0" w:color="auto"/>
            </w:tcBorders>
            <w:vAlign w:val="center"/>
          </w:tcPr>
          <w:p w14:paraId="29BE3EBA" w14:textId="6EE7052D"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Apatrap</w:t>
            </w:r>
          </w:p>
        </w:tc>
        <w:tc>
          <w:tcPr>
            <w:tcW w:w="1711" w:type="dxa"/>
            <w:tcBorders>
              <w:top w:val="single" w:sz="4" w:space="0" w:color="auto"/>
            </w:tcBorders>
            <w:vAlign w:val="center"/>
          </w:tcPr>
          <w:p w14:paraId="027924AA" w14:textId="2FBE77B9"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Ye </w:t>
            </w:r>
            <w:r w:rsidRPr="0052155F">
              <w:rPr>
                <w:rFonts w:eastAsia="DengXian" w:cs="Times New Roman"/>
                <w:i/>
                <w:iCs/>
                <w:color w:val="000000"/>
                <w:sz w:val="18"/>
                <w:szCs w:val="18"/>
              </w:rPr>
              <w:t>et al.</w:t>
            </w:r>
            <w:r w:rsidRPr="0052155F">
              <w:rPr>
                <w:rFonts w:eastAsia="DengXian" w:cs="Times New Roman"/>
                <w:color w:val="000000"/>
                <w:sz w:val="18"/>
                <w:szCs w:val="18"/>
              </w:rPr>
              <w:t>2018</w:t>
            </w:r>
          </w:p>
        </w:tc>
        <w:tc>
          <w:tcPr>
            <w:tcW w:w="10981" w:type="dxa"/>
            <w:tcBorders>
              <w:top w:val="single" w:sz="4" w:space="0" w:color="auto"/>
            </w:tcBorders>
            <w:vAlign w:val="center"/>
          </w:tcPr>
          <w:p w14:paraId="7C803EFB" w14:textId="3903CF19"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authors developed a software (APAtrap) specifically detect novel 3’UTRs and extensions of 3’UTRs using RNA-seq data. They showed the high efficacy and flexibility of APAtrap by extensive comparison between similar programs. </w:t>
            </w:r>
          </w:p>
        </w:tc>
      </w:tr>
      <w:tr w:rsidR="0052155F" w14:paraId="5E9D10CF" w14:textId="77777777" w:rsidTr="0052155F">
        <w:tc>
          <w:tcPr>
            <w:tcW w:w="1266" w:type="dxa"/>
            <w:vAlign w:val="center"/>
          </w:tcPr>
          <w:p w14:paraId="3234BF58" w14:textId="622CB238"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priUTR</w:t>
            </w:r>
          </w:p>
        </w:tc>
        <w:tc>
          <w:tcPr>
            <w:tcW w:w="1711" w:type="dxa"/>
            <w:vAlign w:val="center"/>
          </w:tcPr>
          <w:p w14:paraId="2C9D53DC" w14:textId="67BDFAC3"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Tu </w:t>
            </w:r>
            <w:r w:rsidRPr="0052155F">
              <w:rPr>
                <w:rFonts w:eastAsia="DengXian" w:cs="Times New Roman"/>
                <w:i/>
                <w:iCs/>
                <w:color w:val="000000"/>
                <w:sz w:val="18"/>
                <w:szCs w:val="18"/>
              </w:rPr>
              <w:t>et al.</w:t>
            </w:r>
            <w:r w:rsidRPr="0052155F">
              <w:rPr>
                <w:rFonts w:eastAsia="DengXian" w:cs="Times New Roman"/>
                <w:color w:val="000000"/>
                <w:sz w:val="18"/>
                <w:szCs w:val="18"/>
              </w:rPr>
              <w:t>2020</w:t>
            </w:r>
          </w:p>
        </w:tc>
        <w:tc>
          <w:tcPr>
            <w:tcW w:w="10981" w:type="dxa"/>
            <w:vAlign w:val="center"/>
          </w:tcPr>
          <w:p w14:paraId="2AA6DDF0" w14:textId="7E4A04A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authors report a pipeline priUTR that identifies differential 3’UTR events and is compatible with classic pipelines for RNA-seq differential expression analysis (the Tophat-Cufflinks pipeline, or the HISAT-StringTie pipeline). With the aid of the priUTR, the authors highlighted the association of alternative 3’UTRs with m6A modification. </w:t>
            </w:r>
          </w:p>
        </w:tc>
      </w:tr>
      <w:tr w:rsidR="0052155F" w14:paraId="5127E507" w14:textId="77777777" w:rsidTr="0052155F">
        <w:tc>
          <w:tcPr>
            <w:tcW w:w="1266" w:type="dxa"/>
            <w:vAlign w:val="center"/>
          </w:tcPr>
          <w:p w14:paraId="4A9AC01F" w14:textId="78A221A8"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3D RNA-Seq</w:t>
            </w:r>
          </w:p>
        </w:tc>
        <w:tc>
          <w:tcPr>
            <w:tcW w:w="1711" w:type="dxa"/>
            <w:vAlign w:val="center"/>
          </w:tcPr>
          <w:p w14:paraId="2DC946D2" w14:textId="7EF22EE0"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Guo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2021</w:t>
            </w:r>
          </w:p>
        </w:tc>
        <w:tc>
          <w:tcPr>
            <w:tcW w:w="10981" w:type="dxa"/>
            <w:vAlign w:val="center"/>
          </w:tcPr>
          <w:p w14:paraId="1DAEACCD" w14:textId="2BFD4987"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authors developed “3D RNA-seq”, a R shiny App which provides three-way differential analysis: Differential Expression (DE), Differential Alternative Splicing (DAS) and Differential Transcript Usage (DTU) of RNA-seq data. The author further demonstrated its compatibility with Arabidopsis and mouse RNA-seq data. </w:t>
            </w:r>
          </w:p>
        </w:tc>
      </w:tr>
      <w:tr w:rsidR="0052155F" w14:paraId="2D9AB8B0" w14:textId="77777777" w:rsidTr="0052155F">
        <w:tc>
          <w:tcPr>
            <w:tcW w:w="1266" w:type="dxa"/>
            <w:vAlign w:val="center"/>
          </w:tcPr>
          <w:p w14:paraId="028A0BFF" w14:textId="2EFA8727"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TEtranscripts</w:t>
            </w:r>
          </w:p>
        </w:tc>
        <w:tc>
          <w:tcPr>
            <w:tcW w:w="1711" w:type="dxa"/>
            <w:vAlign w:val="center"/>
          </w:tcPr>
          <w:p w14:paraId="04FAEFEF" w14:textId="5C1FA51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Jin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2015</w:t>
            </w:r>
          </w:p>
        </w:tc>
        <w:tc>
          <w:tcPr>
            <w:tcW w:w="10981" w:type="dxa"/>
            <w:vAlign w:val="center"/>
          </w:tcPr>
          <w:p w14:paraId="29D36371" w14:textId="450DD0A7"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program Tetranscripts was developed to recover transposable elements derived transcripts and perform analysis, which exists in a large proportion in many plant species. </w:t>
            </w:r>
          </w:p>
        </w:tc>
      </w:tr>
      <w:tr w:rsidR="0052155F" w14:paraId="60A45F84" w14:textId="77777777" w:rsidTr="0052155F">
        <w:tc>
          <w:tcPr>
            <w:tcW w:w="1266" w:type="dxa"/>
            <w:vAlign w:val="center"/>
          </w:tcPr>
          <w:p w14:paraId="23AC0FF1" w14:textId="27FE2FD4" w:rsidR="0052155F" w:rsidRPr="0052155F" w:rsidRDefault="0052155F" w:rsidP="0052155F">
            <w:pPr>
              <w:snapToGrid w:val="0"/>
              <w:spacing w:before="0" w:afterLines="50" w:after="163" w:line="300" w:lineRule="exact"/>
              <w:rPr>
                <w:rFonts w:cs="Times New Roman"/>
                <w:color w:val="000000" w:themeColor="text1"/>
                <w:sz w:val="18"/>
                <w:szCs w:val="18"/>
              </w:rPr>
            </w:pPr>
            <w:r>
              <w:rPr>
                <w:rFonts w:eastAsia="DengXian" w:cs="Times New Roman"/>
                <w:color w:val="000000"/>
                <w:sz w:val="18"/>
                <w:szCs w:val="18"/>
              </w:rPr>
              <w:t>expVIP</w:t>
            </w:r>
          </w:p>
        </w:tc>
        <w:tc>
          <w:tcPr>
            <w:tcW w:w="1711" w:type="dxa"/>
            <w:vAlign w:val="center"/>
          </w:tcPr>
          <w:p w14:paraId="1AEC6423" w14:textId="33038BF5"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Borrill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2016</w:t>
            </w:r>
          </w:p>
        </w:tc>
        <w:tc>
          <w:tcPr>
            <w:tcW w:w="10981" w:type="dxa"/>
            <w:vAlign w:val="center"/>
          </w:tcPr>
          <w:p w14:paraId="79CA4ACC" w14:textId="2A1D0C9F"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authors developed a flexibile RNA-seq pipeline and analyzed 16 wheat RNA-seq studies (including 418 individual samples). This wheat expression atlas has been accessed and easily visualized in the expVIP database.</w:t>
            </w:r>
          </w:p>
        </w:tc>
      </w:tr>
      <w:tr w:rsidR="0052155F" w14:paraId="75B0274A" w14:textId="77777777" w:rsidTr="0052155F">
        <w:tc>
          <w:tcPr>
            <w:tcW w:w="1266" w:type="dxa"/>
            <w:vAlign w:val="center"/>
          </w:tcPr>
          <w:p w14:paraId="1CF146AA" w14:textId="377A08B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OryzaExpress</w:t>
            </w:r>
          </w:p>
        </w:tc>
        <w:tc>
          <w:tcPr>
            <w:tcW w:w="1711" w:type="dxa"/>
            <w:vAlign w:val="center"/>
          </w:tcPr>
          <w:p w14:paraId="6F3096F6" w14:textId="5FACAC2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Kudo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2016</w:t>
            </w:r>
          </w:p>
        </w:tc>
        <w:tc>
          <w:tcPr>
            <w:tcW w:w="10981" w:type="dxa"/>
            <w:vAlign w:val="center"/>
          </w:tcPr>
          <w:p w14:paraId="361C45D7" w14:textId="7E55D219"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authors reported a web database OryzaExpress in which gene expression atlas of rice determined by microarray and RNA-seq have been deposited and integrated.</w:t>
            </w:r>
          </w:p>
        </w:tc>
      </w:tr>
      <w:tr w:rsidR="0052155F" w14:paraId="1AE116AD" w14:textId="77777777" w:rsidTr="0052155F">
        <w:tc>
          <w:tcPr>
            <w:tcW w:w="1266" w:type="dxa"/>
            <w:vAlign w:val="center"/>
          </w:tcPr>
          <w:p w14:paraId="01E02817" w14:textId="3D69F92D"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BAR</w:t>
            </w:r>
          </w:p>
        </w:tc>
        <w:tc>
          <w:tcPr>
            <w:tcW w:w="1711" w:type="dxa"/>
            <w:vAlign w:val="center"/>
          </w:tcPr>
          <w:p w14:paraId="0F6EA48B" w14:textId="25890300"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Waese </w:t>
            </w:r>
            <w:r w:rsidRPr="0052155F">
              <w:rPr>
                <w:rFonts w:eastAsia="DengXian" w:cs="Times New Roman"/>
                <w:i/>
                <w:iCs/>
                <w:color w:val="000000"/>
                <w:sz w:val="18"/>
                <w:szCs w:val="18"/>
              </w:rPr>
              <w:t>et al.</w:t>
            </w:r>
            <w:r w:rsidRPr="0052155F">
              <w:rPr>
                <w:rFonts w:eastAsia="DengXian" w:cs="Times New Roman"/>
                <w:color w:val="000000"/>
                <w:sz w:val="18"/>
                <w:szCs w:val="18"/>
              </w:rPr>
              <w:t>2016</w:t>
            </w:r>
          </w:p>
        </w:tc>
        <w:tc>
          <w:tcPr>
            <w:tcW w:w="10981" w:type="dxa"/>
            <w:vAlign w:val="center"/>
          </w:tcPr>
          <w:p w14:paraId="22AB2617" w14:textId="1444CDB3"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Bio-Analytic Resource (BAR) website provides online integration of large omic datasets for 15 different plant species. </w:t>
            </w:r>
          </w:p>
        </w:tc>
      </w:tr>
      <w:tr w:rsidR="0052155F" w14:paraId="7B5D452C" w14:textId="77777777" w:rsidTr="0052155F">
        <w:tc>
          <w:tcPr>
            <w:tcW w:w="1266" w:type="dxa"/>
            <w:vAlign w:val="center"/>
          </w:tcPr>
          <w:p w14:paraId="482FA7EA" w14:textId="2E94166F"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DPMIND</w:t>
            </w:r>
          </w:p>
        </w:tc>
        <w:tc>
          <w:tcPr>
            <w:tcW w:w="1711" w:type="dxa"/>
            <w:vAlign w:val="center"/>
          </w:tcPr>
          <w:p w14:paraId="67499745" w14:textId="022D61F7"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Fei </w:t>
            </w:r>
            <w:r w:rsidRPr="0052155F">
              <w:rPr>
                <w:rFonts w:eastAsia="DengXian" w:cs="Times New Roman"/>
                <w:i/>
                <w:iCs/>
                <w:color w:val="000000"/>
                <w:sz w:val="18"/>
                <w:szCs w:val="18"/>
              </w:rPr>
              <w:t>et al.</w:t>
            </w:r>
            <w:r w:rsidRPr="0052155F">
              <w:rPr>
                <w:rFonts w:eastAsia="DengXian" w:cs="Times New Roman"/>
                <w:color w:val="000000"/>
                <w:sz w:val="18"/>
                <w:szCs w:val="18"/>
              </w:rPr>
              <w:t>2018</w:t>
            </w:r>
          </w:p>
        </w:tc>
        <w:tc>
          <w:tcPr>
            <w:tcW w:w="10981" w:type="dxa"/>
            <w:vAlign w:val="center"/>
          </w:tcPr>
          <w:p w14:paraId="0D3D150D" w14:textId="2213F8B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miRNAs are an important group of regulatory components encoded in the plant genomes; however, miRNA and their target genes remain to be undertstood in many species. The degradome-based plant miRNA–target interaction and network database (DPMIND) has been built on 69 degradome sequencing data sets from 10 plant species, providing very useful knowledge to expand our understanding of plant RNA-seq data.</w:t>
            </w:r>
          </w:p>
        </w:tc>
      </w:tr>
      <w:tr w:rsidR="0052155F" w14:paraId="6250A743" w14:textId="77777777" w:rsidTr="0052155F">
        <w:tc>
          <w:tcPr>
            <w:tcW w:w="1266" w:type="dxa"/>
            <w:tcBorders>
              <w:bottom w:val="single" w:sz="4" w:space="0" w:color="auto"/>
            </w:tcBorders>
            <w:vAlign w:val="center"/>
          </w:tcPr>
          <w:p w14:paraId="4433A4B1" w14:textId="7338DF2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PEATmoss</w:t>
            </w:r>
          </w:p>
        </w:tc>
        <w:tc>
          <w:tcPr>
            <w:tcW w:w="1711" w:type="dxa"/>
            <w:tcBorders>
              <w:bottom w:val="single" w:sz="4" w:space="0" w:color="auto"/>
            </w:tcBorders>
            <w:vAlign w:val="center"/>
          </w:tcPr>
          <w:p w14:paraId="0C41EFF3" w14:textId="67D653EE"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Fernandez-Pizo</w:t>
            </w:r>
            <w:r w:rsidRPr="0052155F">
              <w:rPr>
                <w:rFonts w:eastAsia="DengXian" w:cs="Times New Roman"/>
                <w:i/>
                <w:iCs/>
                <w:color w:val="000000"/>
                <w:sz w:val="18"/>
                <w:szCs w:val="18"/>
              </w:rPr>
              <w:t xml:space="preserve"> et al.</w:t>
            </w:r>
            <w:r w:rsidRPr="0052155F">
              <w:rPr>
                <w:rFonts w:eastAsia="DengXian" w:cs="Times New Roman"/>
                <w:color w:val="000000"/>
                <w:sz w:val="18"/>
                <w:szCs w:val="18"/>
              </w:rPr>
              <w:t>2019</w:t>
            </w:r>
          </w:p>
        </w:tc>
        <w:tc>
          <w:tcPr>
            <w:tcW w:w="10981" w:type="dxa"/>
            <w:tcBorders>
              <w:bottom w:val="single" w:sz="4" w:space="0" w:color="auto"/>
            </w:tcBorders>
            <w:vAlign w:val="center"/>
          </w:tcPr>
          <w:p w14:paraId="589EE1FE" w14:textId="245EAD1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Physcomitrella Expression Atlas Tool (PEATmoss) collected and analyzed 109 RNA-seq experiments from nine data sets, together with P. patens annotations and other useful tools. </w:t>
            </w:r>
          </w:p>
        </w:tc>
      </w:tr>
      <w:tr w:rsidR="0052155F" w14:paraId="60D3221D" w14:textId="77777777" w:rsidTr="0052155F">
        <w:tc>
          <w:tcPr>
            <w:tcW w:w="1266" w:type="dxa"/>
            <w:tcBorders>
              <w:top w:val="single" w:sz="4" w:space="0" w:color="auto"/>
              <w:bottom w:val="single" w:sz="4" w:space="0" w:color="auto"/>
            </w:tcBorders>
            <w:vAlign w:val="center"/>
          </w:tcPr>
          <w:p w14:paraId="56BB47F0" w14:textId="553ACBB9"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lastRenderedPageBreak/>
              <w:t>Name</w:t>
            </w:r>
          </w:p>
        </w:tc>
        <w:tc>
          <w:tcPr>
            <w:tcW w:w="1711" w:type="dxa"/>
            <w:tcBorders>
              <w:top w:val="single" w:sz="4" w:space="0" w:color="auto"/>
              <w:bottom w:val="single" w:sz="4" w:space="0" w:color="auto"/>
            </w:tcBorders>
            <w:vAlign w:val="center"/>
          </w:tcPr>
          <w:p w14:paraId="69C39608" w14:textId="0CBE1734"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t>References</w:t>
            </w:r>
          </w:p>
        </w:tc>
        <w:tc>
          <w:tcPr>
            <w:tcW w:w="10981" w:type="dxa"/>
            <w:tcBorders>
              <w:top w:val="single" w:sz="4" w:space="0" w:color="auto"/>
              <w:bottom w:val="single" w:sz="4" w:space="0" w:color="auto"/>
            </w:tcBorders>
            <w:vAlign w:val="center"/>
          </w:tcPr>
          <w:p w14:paraId="0F5F9490" w14:textId="4616AE7F"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t>Description</w:t>
            </w:r>
          </w:p>
        </w:tc>
      </w:tr>
      <w:tr w:rsidR="0052155F" w14:paraId="0ECB171D" w14:textId="77777777" w:rsidTr="0052155F">
        <w:tc>
          <w:tcPr>
            <w:tcW w:w="1266" w:type="dxa"/>
            <w:tcBorders>
              <w:top w:val="single" w:sz="4" w:space="0" w:color="auto"/>
            </w:tcBorders>
            <w:vAlign w:val="center"/>
          </w:tcPr>
          <w:p w14:paraId="4B2D94F3" w14:textId="5F23778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ASmir</w:t>
            </w:r>
          </w:p>
        </w:tc>
        <w:tc>
          <w:tcPr>
            <w:tcW w:w="1711" w:type="dxa"/>
            <w:tcBorders>
              <w:top w:val="single" w:sz="4" w:space="0" w:color="auto"/>
            </w:tcBorders>
            <w:vAlign w:val="center"/>
          </w:tcPr>
          <w:p w14:paraId="2EB7FF6D" w14:textId="6EADD2B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Wang </w:t>
            </w:r>
            <w:r w:rsidRPr="0052155F">
              <w:rPr>
                <w:rFonts w:eastAsia="DengXian" w:cs="Times New Roman"/>
                <w:i/>
                <w:iCs/>
                <w:color w:val="000000"/>
                <w:sz w:val="18"/>
                <w:szCs w:val="18"/>
              </w:rPr>
              <w:t>et al.</w:t>
            </w:r>
            <w:r w:rsidRPr="0052155F">
              <w:rPr>
                <w:rFonts w:eastAsia="DengXian" w:cs="Times New Roman"/>
                <w:color w:val="000000"/>
                <w:sz w:val="18"/>
                <w:szCs w:val="18"/>
              </w:rPr>
              <w:t>2019</w:t>
            </w:r>
          </w:p>
        </w:tc>
        <w:tc>
          <w:tcPr>
            <w:tcW w:w="10981" w:type="dxa"/>
            <w:tcBorders>
              <w:top w:val="single" w:sz="4" w:space="0" w:color="auto"/>
            </w:tcBorders>
            <w:vAlign w:val="center"/>
          </w:tcPr>
          <w:p w14:paraId="63CEC792" w14:textId="1D7940F9"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alternatively spliced linear and circRNAs (ASmiR) database takes advantages of existing Iso-seq and miRNA sequencing data and compiled the interplay between alternative splicing of linear and circular RNAs and miRNA-targeting. This database provides additional information for understanding AS-mediated mRNA-miRNA interactions. </w:t>
            </w:r>
          </w:p>
        </w:tc>
      </w:tr>
      <w:tr w:rsidR="0052155F" w14:paraId="1C932143" w14:textId="77777777" w:rsidTr="0052155F">
        <w:tc>
          <w:tcPr>
            <w:tcW w:w="1266" w:type="dxa"/>
            <w:vAlign w:val="center"/>
          </w:tcPr>
          <w:p w14:paraId="20427CAB" w14:textId="4FBE546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Soybean Expression Atlas</w:t>
            </w:r>
          </w:p>
        </w:tc>
        <w:tc>
          <w:tcPr>
            <w:tcW w:w="1711" w:type="dxa"/>
            <w:vAlign w:val="center"/>
          </w:tcPr>
          <w:p w14:paraId="31B56A63" w14:textId="53B95D0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Machado </w:t>
            </w:r>
            <w:r w:rsidRPr="0052155F">
              <w:rPr>
                <w:rFonts w:eastAsia="DengXian" w:cs="Times New Roman"/>
                <w:i/>
                <w:iCs/>
                <w:color w:val="000000"/>
                <w:sz w:val="18"/>
                <w:szCs w:val="18"/>
              </w:rPr>
              <w:t>et al.</w:t>
            </w:r>
            <w:r w:rsidRPr="0052155F">
              <w:rPr>
                <w:rFonts w:eastAsia="DengXian" w:cs="Times New Roman"/>
                <w:color w:val="000000"/>
                <w:sz w:val="18"/>
                <w:szCs w:val="18"/>
              </w:rPr>
              <w:t>2020</w:t>
            </w:r>
          </w:p>
        </w:tc>
        <w:tc>
          <w:tcPr>
            <w:tcW w:w="10981" w:type="dxa"/>
            <w:vAlign w:val="center"/>
          </w:tcPr>
          <w:p w14:paraId="17BF2FA2" w14:textId="0933567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soybean expression atlas has collected and analyzed 1298 publicly available RNA-seq samples with identification of </w:t>
            </w:r>
            <w:proofErr w:type="gramStart"/>
            <w:r w:rsidRPr="0052155F">
              <w:rPr>
                <w:rFonts w:eastAsia="DengXian" w:cs="Times New Roman"/>
                <w:color w:val="000000"/>
                <w:sz w:val="18"/>
                <w:szCs w:val="18"/>
              </w:rPr>
              <w:t>house-keeping</w:t>
            </w:r>
            <w:proofErr w:type="gramEnd"/>
            <w:r w:rsidRPr="0052155F">
              <w:rPr>
                <w:rFonts w:eastAsia="DengXian" w:cs="Times New Roman"/>
                <w:color w:val="000000"/>
                <w:sz w:val="18"/>
                <w:szCs w:val="18"/>
              </w:rPr>
              <w:t xml:space="preserve"> and tissue-specific genes and transcript-level quantification. </w:t>
            </w:r>
          </w:p>
        </w:tc>
      </w:tr>
      <w:tr w:rsidR="0052155F" w14:paraId="365EC46E" w14:textId="77777777" w:rsidTr="0052155F">
        <w:tc>
          <w:tcPr>
            <w:tcW w:w="1266" w:type="dxa"/>
            <w:vAlign w:val="center"/>
          </w:tcPr>
          <w:p w14:paraId="536FBEC9" w14:textId="118933E1"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Grape-RNA</w:t>
            </w:r>
          </w:p>
        </w:tc>
        <w:tc>
          <w:tcPr>
            <w:tcW w:w="1711" w:type="dxa"/>
            <w:vAlign w:val="center"/>
          </w:tcPr>
          <w:p w14:paraId="00F70EBF" w14:textId="579802FF"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Wang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2020</w:t>
            </w:r>
          </w:p>
        </w:tc>
        <w:tc>
          <w:tcPr>
            <w:tcW w:w="10981" w:type="dxa"/>
            <w:vAlign w:val="center"/>
          </w:tcPr>
          <w:p w14:paraId="20FD742E" w14:textId="7DB7DCAE"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This paper described a database of grape RNA-seq data sets, including 1529 RNA-seq samples and 112 miRNA sequencing samples together with weel-documented metadata.</w:t>
            </w:r>
          </w:p>
        </w:tc>
      </w:tr>
      <w:tr w:rsidR="0052155F" w14:paraId="1BA46E66" w14:textId="77777777" w:rsidTr="0052155F">
        <w:tc>
          <w:tcPr>
            <w:tcW w:w="1266" w:type="dxa"/>
            <w:vAlign w:val="center"/>
          </w:tcPr>
          <w:p w14:paraId="6CA28C62" w14:textId="1199FC92"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CORNET</w:t>
            </w:r>
          </w:p>
        </w:tc>
        <w:tc>
          <w:tcPr>
            <w:tcW w:w="1711" w:type="dxa"/>
            <w:vAlign w:val="center"/>
          </w:tcPr>
          <w:p w14:paraId="32F07AA5" w14:textId="5B7B1C2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Van Bel </w:t>
            </w:r>
            <w:r w:rsidRPr="0052155F">
              <w:rPr>
                <w:rFonts w:eastAsia="DengXian" w:cs="Times New Roman"/>
                <w:i/>
                <w:iCs/>
                <w:color w:val="000000"/>
                <w:sz w:val="18"/>
                <w:szCs w:val="18"/>
              </w:rPr>
              <w:t>et al.</w:t>
            </w:r>
            <w:r w:rsidRPr="0052155F">
              <w:rPr>
                <w:rFonts w:eastAsia="DengXian" w:cs="Times New Roman"/>
                <w:color w:val="000000"/>
                <w:sz w:val="18"/>
                <w:szCs w:val="18"/>
              </w:rPr>
              <w:t>2016</w:t>
            </w:r>
          </w:p>
        </w:tc>
        <w:tc>
          <w:tcPr>
            <w:tcW w:w="10981" w:type="dxa"/>
            <w:vAlign w:val="center"/>
          </w:tcPr>
          <w:p w14:paraId="4E9DED46" w14:textId="1CF48121"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authors reported the website (CORrelation NETwork, CORNET 3.0) allowing the calculation of correlation-based co-expression networks in plant species. The protocol of this website also indicates how to avoid common pitfalls and how to avoid overinterpretation of the results.</w:t>
            </w:r>
          </w:p>
        </w:tc>
      </w:tr>
      <w:tr w:rsidR="0052155F" w14:paraId="582AB1CE" w14:textId="77777777" w:rsidTr="0052155F">
        <w:tc>
          <w:tcPr>
            <w:tcW w:w="1266" w:type="dxa"/>
            <w:vAlign w:val="center"/>
          </w:tcPr>
          <w:p w14:paraId="0E2BFBFA" w14:textId="6B0A8AD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NaDH</w:t>
            </w:r>
          </w:p>
        </w:tc>
        <w:tc>
          <w:tcPr>
            <w:tcW w:w="1711" w:type="dxa"/>
            <w:vAlign w:val="center"/>
          </w:tcPr>
          <w:p w14:paraId="486E4CC8" w14:textId="0E7DD26C"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Brockmoller </w:t>
            </w:r>
            <w:r w:rsidRPr="0052155F">
              <w:rPr>
                <w:rFonts w:eastAsia="DengXian" w:cs="Times New Roman"/>
                <w:i/>
                <w:iCs/>
                <w:color w:val="000000"/>
                <w:sz w:val="18"/>
                <w:szCs w:val="18"/>
              </w:rPr>
              <w:t>et al.</w:t>
            </w:r>
            <w:r w:rsidRPr="0052155F">
              <w:rPr>
                <w:rFonts w:eastAsia="DengXian" w:cs="Times New Roman"/>
                <w:color w:val="000000"/>
                <w:sz w:val="18"/>
                <w:szCs w:val="18"/>
              </w:rPr>
              <w:t>2017</w:t>
            </w:r>
          </w:p>
        </w:tc>
        <w:tc>
          <w:tcPr>
            <w:tcW w:w="10981" w:type="dxa"/>
            <w:vAlign w:val="center"/>
          </w:tcPr>
          <w:p w14:paraId="4A847FE1" w14:textId="0BFE2B37"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Nicotiana attenuata Data Hub (NaDH) is a centralized data hub for the Nicotiana species, hosting hundreds of microarray data and 20 RNA-seq experiments with enhanced visualization and co-expression functions.</w:t>
            </w:r>
          </w:p>
        </w:tc>
      </w:tr>
      <w:tr w:rsidR="0052155F" w14:paraId="111A26E0" w14:textId="77777777" w:rsidTr="0052155F">
        <w:tc>
          <w:tcPr>
            <w:tcW w:w="1266" w:type="dxa"/>
            <w:vAlign w:val="center"/>
          </w:tcPr>
          <w:p w14:paraId="78F40838" w14:textId="30CC9660"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NorWood</w:t>
            </w:r>
          </w:p>
        </w:tc>
        <w:tc>
          <w:tcPr>
            <w:tcW w:w="1711" w:type="dxa"/>
            <w:vAlign w:val="center"/>
          </w:tcPr>
          <w:p w14:paraId="44EC4B1F" w14:textId="33B1BFF6"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Jokipii-Lukkari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2017</w:t>
            </w:r>
          </w:p>
        </w:tc>
        <w:tc>
          <w:tcPr>
            <w:tcW w:w="10981" w:type="dxa"/>
            <w:vAlign w:val="center"/>
          </w:tcPr>
          <w:p w14:paraId="380ACAFD" w14:textId="451E0719"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authors established the NorWood database, which hosts a large volume of high-spatial-resolution section series RNA-seq data of Picea abies. The database also provides co-expression networks with a focus on transcriptional regulation associated with cell wall metabolism. </w:t>
            </w:r>
          </w:p>
        </w:tc>
      </w:tr>
      <w:tr w:rsidR="0052155F" w14:paraId="1749FF0F" w14:textId="77777777" w:rsidTr="0052155F">
        <w:tc>
          <w:tcPr>
            <w:tcW w:w="1266" w:type="dxa"/>
            <w:vAlign w:val="center"/>
          </w:tcPr>
          <w:p w14:paraId="3352267C" w14:textId="2C0335E8"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AspWood</w:t>
            </w:r>
          </w:p>
        </w:tc>
        <w:tc>
          <w:tcPr>
            <w:tcW w:w="1711" w:type="dxa"/>
            <w:vAlign w:val="center"/>
          </w:tcPr>
          <w:p w14:paraId="719B24FB" w14:textId="1237C75F"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Sundell </w:t>
            </w:r>
            <w:r w:rsidRPr="0052155F">
              <w:rPr>
                <w:rFonts w:eastAsia="DengXian" w:cs="Times New Roman"/>
                <w:i/>
                <w:iCs/>
                <w:color w:val="000000"/>
                <w:sz w:val="18"/>
                <w:szCs w:val="18"/>
              </w:rPr>
              <w:t>et al.</w:t>
            </w:r>
            <w:r w:rsidRPr="0052155F">
              <w:rPr>
                <w:rFonts w:eastAsia="DengXian" w:cs="Times New Roman"/>
                <w:color w:val="000000"/>
                <w:sz w:val="18"/>
                <w:szCs w:val="18"/>
              </w:rPr>
              <w:t>2017</w:t>
            </w:r>
          </w:p>
        </w:tc>
        <w:tc>
          <w:tcPr>
            <w:tcW w:w="10981" w:type="dxa"/>
            <w:vAlign w:val="center"/>
          </w:tcPr>
          <w:p w14:paraId="67E6AB64" w14:textId="00E842EF"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authors established the AspWood database, which hosts a large volume of high-spatial-resolution section series RNA-seq data of Populus tremula. </w:t>
            </w:r>
          </w:p>
        </w:tc>
      </w:tr>
      <w:tr w:rsidR="0052155F" w14:paraId="1328D084" w14:textId="77777777" w:rsidTr="0052155F">
        <w:tc>
          <w:tcPr>
            <w:tcW w:w="1266" w:type="dxa"/>
            <w:vAlign w:val="center"/>
          </w:tcPr>
          <w:p w14:paraId="0CCAB33A" w14:textId="695C7FDF"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RED</w:t>
            </w:r>
          </w:p>
        </w:tc>
        <w:tc>
          <w:tcPr>
            <w:tcW w:w="1711" w:type="dxa"/>
            <w:vAlign w:val="center"/>
          </w:tcPr>
          <w:p w14:paraId="574A6434" w14:textId="1CA27EEF"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Xia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2017</w:t>
            </w:r>
          </w:p>
        </w:tc>
        <w:tc>
          <w:tcPr>
            <w:tcW w:w="10981" w:type="dxa"/>
            <w:vAlign w:val="center"/>
          </w:tcPr>
          <w:p w14:paraId="5BF2F834" w14:textId="20EC4B80"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authors introduced the Rice Expression Database (RED) which hosts 284 high-quality RNA-seq datasets of rice and enables the inquiry of </w:t>
            </w:r>
            <w:proofErr w:type="gramStart"/>
            <w:r w:rsidRPr="0052155F">
              <w:rPr>
                <w:rFonts w:eastAsia="DengXian" w:cs="Times New Roman"/>
                <w:color w:val="000000"/>
                <w:sz w:val="18"/>
                <w:szCs w:val="18"/>
              </w:rPr>
              <w:t>house-keeping</w:t>
            </w:r>
            <w:proofErr w:type="gramEnd"/>
            <w:r w:rsidRPr="0052155F">
              <w:rPr>
                <w:rFonts w:eastAsia="DengXian" w:cs="Times New Roman"/>
                <w:color w:val="000000"/>
                <w:sz w:val="18"/>
                <w:szCs w:val="18"/>
              </w:rPr>
              <w:t xml:space="preserve"> and tissue-specific genes as well as co-expression networks in rice.</w:t>
            </w:r>
          </w:p>
        </w:tc>
      </w:tr>
      <w:tr w:rsidR="0052155F" w14:paraId="1C274AD2" w14:textId="77777777" w:rsidTr="0052155F">
        <w:tc>
          <w:tcPr>
            <w:tcW w:w="1266" w:type="dxa"/>
            <w:tcBorders>
              <w:bottom w:val="single" w:sz="4" w:space="0" w:color="auto"/>
            </w:tcBorders>
            <w:vAlign w:val="center"/>
          </w:tcPr>
          <w:p w14:paraId="36CB6889" w14:textId="336DF411" w:rsidR="0052155F" w:rsidRPr="0052155F" w:rsidRDefault="0052155F" w:rsidP="0052155F">
            <w:pPr>
              <w:snapToGrid w:val="0"/>
              <w:spacing w:before="0" w:afterLines="50" w:after="163" w:line="300" w:lineRule="exact"/>
              <w:rPr>
                <w:rFonts w:eastAsia="DengXian" w:cs="Times New Roman"/>
                <w:color w:val="000000"/>
                <w:sz w:val="18"/>
                <w:szCs w:val="18"/>
              </w:rPr>
            </w:pPr>
            <w:r w:rsidRPr="0052155F">
              <w:rPr>
                <w:rFonts w:eastAsia="DengXian" w:cs="Times New Roman"/>
                <w:color w:val="000000"/>
                <w:sz w:val="18"/>
                <w:szCs w:val="18"/>
              </w:rPr>
              <w:t>EXPath</w:t>
            </w:r>
          </w:p>
        </w:tc>
        <w:tc>
          <w:tcPr>
            <w:tcW w:w="1711" w:type="dxa"/>
            <w:tcBorders>
              <w:bottom w:val="single" w:sz="4" w:space="0" w:color="auto"/>
            </w:tcBorders>
            <w:vAlign w:val="center"/>
          </w:tcPr>
          <w:p w14:paraId="3476177A" w14:textId="1C390FB6" w:rsidR="0052155F" w:rsidRPr="0052155F" w:rsidRDefault="0052155F" w:rsidP="0052155F">
            <w:pPr>
              <w:snapToGrid w:val="0"/>
              <w:spacing w:before="0" w:afterLines="50" w:after="163" w:line="300" w:lineRule="exact"/>
              <w:rPr>
                <w:rFonts w:eastAsia="DengXian" w:cs="Times New Roman"/>
                <w:color w:val="000000"/>
                <w:sz w:val="18"/>
                <w:szCs w:val="18"/>
              </w:rPr>
            </w:pPr>
            <w:r w:rsidRPr="0052155F">
              <w:rPr>
                <w:rFonts w:eastAsia="DengXian" w:cs="Times New Roman"/>
                <w:color w:val="000000"/>
                <w:sz w:val="18"/>
                <w:szCs w:val="18"/>
              </w:rPr>
              <w:t xml:space="preserve">Zheng </w:t>
            </w:r>
            <w:r w:rsidRPr="0052155F">
              <w:rPr>
                <w:rFonts w:eastAsia="DengXian" w:cs="Times New Roman"/>
                <w:i/>
                <w:iCs/>
                <w:color w:val="000000"/>
                <w:sz w:val="18"/>
                <w:szCs w:val="18"/>
              </w:rPr>
              <w:t>et al.</w:t>
            </w:r>
            <w:r w:rsidRPr="0052155F">
              <w:rPr>
                <w:rFonts w:eastAsia="DengXian" w:cs="Times New Roman"/>
                <w:color w:val="000000"/>
                <w:sz w:val="18"/>
                <w:szCs w:val="18"/>
              </w:rPr>
              <w:t>2017</w:t>
            </w:r>
          </w:p>
        </w:tc>
        <w:tc>
          <w:tcPr>
            <w:tcW w:w="10981" w:type="dxa"/>
            <w:tcBorders>
              <w:bottom w:val="single" w:sz="4" w:space="0" w:color="auto"/>
            </w:tcBorders>
            <w:vAlign w:val="center"/>
          </w:tcPr>
          <w:p w14:paraId="316F76A4" w14:textId="541C834C" w:rsidR="0052155F" w:rsidRPr="0052155F" w:rsidRDefault="0052155F" w:rsidP="0052155F">
            <w:pPr>
              <w:snapToGrid w:val="0"/>
              <w:spacing w:before="0" w:afterLines="50" w:after="163" w:line="300" w:lineRule="exact"/>
              <w:rPr>
                <w:rFonts w:eastAsia="DengXian" w:cs="Times New Roman"/>
                <w:color w:val="000000"/>
                <w:sz w:val="18"/>
                <w:szCs w:val="18"/>
              </w:rPr>
            </w:pPr>
            <w:r w:rsidRPr="0052155F">
              <w:rPr>
                <w:rFonts w:eastAsia="DengXian" w:cs="Times New Roman"/>
                <w:color w:val="000000"/>
                <w:sz w:val="18"/>
                <w:szCs w:val="18"/>
              </w:rPr>
              <w:t>The EXPath Tool is an integrative website containing multiple functions, including differential expression analysis, co-expression network analysis, GO enrichment and comparative network analysis between data sets.</w:t>
            </w:r>
          </w:p>
        </w:tc>
      </w:tr>
      <w:tr w:rsidR="0052155F" w14:paraId="1EDF2C5D" w14:textId="77777777" w:rsidTr="0052155F">
        <w:tc>
          <w:tcPr>
            <w:tcW w:w="1266" w:type="dxa"/>
            <w:tcBorders>
              <w:top w:val="single" w:sz="4" w:space="0" w:color="auto"/>
              <w:bottom w:val="single" w:sz="4" w:space="0" w:color="auto"/>
            </w:tcBorders>
            <w:vAlign w:val="center"/>
          </w:tcPr>
          <w:p w14:paraId="2418B1D2" w14:textId="6F8FD7AE"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lastRenderedPageBreak/>
              <w:t>Name</w:t>
            </w:r>
          </w:p>
        </w:tc>
        <w:tc>
          <w:tcPr>
            <w:tcW w:w="1711" w:type="dxa"/>
            <w:tcBorders>
              <w:top w:val="single" w:sz="4" w:space="0" w:color="auto"/>
              <w:bottom w:val="single" w:sz="4" w:space="0" w:color="auto"/>
            </w:tcBorders>
            <w:vAlign w:val="center"/>
          </w:tcPr>
          <w:p w14:paraId="626A7A69" w14:textId="7EE5EC86"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t>References</w:t>
            </w:r>
          </w:p>
        </w:tc>
        <w:tc>
          <w:tcPr>
            <w:tcW w:w="10981" w:type="dxa"/>
            <w:tcBorders>
              <w:top w:val="single" w:sz="4" w:space="0" w:color="auto"/>
              <w:bottom w:val="single" w:sz="4" w:space="0" w:color="auto"/>
            </w:tcBorders>
            <w:vAlign w:val="center"/>
          </w:tcPr>
          <w:p w14:paraId="29E70608" w14:textId="76C0165B"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t>Description</w:t>
            </w:r>
          </w:p>
        </w:tc>
      </w:tr>
      <w:tr w:rsidR="0052155F" w14:paraId="1846EC50" w14:textId="77777777" w:rsidTr="0052155F">
        <w:tc>
          <w:tcPr>
            <w:tcW w:w="1266" w:type="dxa"/>
            <w:vAlign w:val="center"/>
          </w:tcPr>
          <w:p w14:paraId="703B016C" w14:textId="254F6878"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TomExpress</w:t>
            </w:r>
          </w:p>
        </w:tc>
        <w:tc>
          <w:tcPr>
            <w:tcW w:w="1711" w:type="dxa"/>
            <w:vAlign w:val="center"/>
          </w:tcPr>
          <w:p w14:paraId="22B28F70" w14:textId="726778C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Zouine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2017</w:t>
            </w:r>
          </w:p>
        </w:tc>
        <w:tc>
          <w:tcPr>
            <w:tcW w:w="10981" w:type="dxa"/>
            <w:vAlign w:val="center"/>
          </w:tcPr>
          <w:p w14:paraId="37357143" w14:textId="0691DC3E"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author builds a comprehensive expression atlas of tomato containing 349 RNA-seq samples corresponding to 222 conditions. The database not only provides a user-friendly visualization of the expression atlas but also includes visulization of co-expression networks and other useful functions.</w:t>
            </w:r>
          </w:p>
        </w:tc>
      </w:tr>
      <w:tr w:rsidR="0052155F" w14:paraId="5B320844" w14:textId="77777777" w:rsidTr="0052155F">
        <w:tc>
          <w:tcPr>
            <w:tcW w:w="1266" w:type="dxa"/>
            <w:vAlign w:val="center"/>
          </w:tcPr>
          <w:p w14:paraId="73E46BC9" w14:textId="24BAD792"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Maize eFP Brower</w:t>
            </w:r>
          </w:p>
        </w:tc>
        <w:tc>
          <w:tcPr>
            <w:tcW w:w="1711" w:type="dxa"/>
            <w:vAlign w:val="center"/>
          </w:tcPr>
          <w:p w14:paraId="1D07FD1A" w14:textId="2EECB37D"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Hoopes </w:t>
            </w:r>
            <w:r w:rsidRPr="0052155F">
              <w:rPr>
                <w:rFonts w:eastAsia="DengXian" w:cs="Times New Roman"/>
                <w:i/>
                <w:iCs/>
                <w:color w:val="000000"/>
                <w:sz w:val="18"/>
                <w:szCs w:val="18"/>
              </w:rPr>
              <w:t>et al.</w:t>
            </w:r>
            <w:r w:rsidRPr="0052155F">
              <w:rPr>
                <w:rFonts w:eastAsia="DengXian" w:cs="Times New Roman"/>
                <w:color w:val="000000"/>
                <w:sz w:val="18"/>
                <w:szCs w:val="18"/>
              </w:rPr>
              <w:t>2018</w:t>
            </w:r>
          </w:p>
        </w:tc>
        <w:tc>
          <w:tcPr>
            <w:tcW w:w="10981" w:type="dxa"/>
            <w:vAlign w:val="center"/>
          </w:tcPr>
          <w:p w14:paraId="56858451" w14:textId="49AE85C5"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authors build one of the largest expression </w:t>
            </w:r>
            <w:proofErr w:type="gramStart"/>
            <w:r w:rsidRPr="0052155F">
              <w:rPr>
                <w:rFonts w:eastAsia="DengXian" w:cs="Times New Roman"/>
                <w:color w:val="000000"/>
                <w:sz w:val="18"/>
                <w:szCs w:val="18"/>
              </w:rPr>
              <w:t>atlas</w:t>
            </w:r>
            <w:proofErr w:type="gramEnd"/>
            <w:r w:rsidRPr="0052155F">
              <w:rPr>
                <w:rFonts w:eastAsia="DengXian" w:cs="Times New Roman"/>
                <w:color w:val="000000"/>
                <w:sz w:val="18"/>
                <w:szCs w:val="18"/>
              </w:rPr>
              <w:t xml:space="preserve"> of maize consisting 79 tissues and various stress treatments. Co-expression network analysis shed light on molecular mechanisms of stress tolerance and the connections between presence-absence variations (PAVs) and stress-inducible genes.</w:t>
            </w:r>
          </w:p>
        </w:tc>
      </w:tr>
      <w:tr w:rsidR="0052155F" w14:paraId="498EE97F" w14:textId="77777777" w:rsidTr="0052155F">
        <w:tc>
          <w:tcPr>
            <w:tcW w:w="1266" w:type="dxa"/>
            <w:vAlign w:val="center"/>
          </w:tcPr>
          <w:p w14:paraId="297407AC" w14:textId="474EBBB8"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ATTED</w:t>
            </w:r>
          </w:p>
        </w:tc>
        <w:tc>
          <w:tcPr>
            <w:tcW w:w="1711" w:type="dxa"/>
            <w:vAlign w:val="center"/>
          </w:tcPr>
          <w:p w14:paraId="63572BB2" w14:textId="328463ED"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Obayashi </w:t>
            </w:r>
            <w:r w:rsidRPr="0052155F">
              <w:rPr>
                <w:rFonts w:eastAsia="DengXian" w:cs="Times New Roman"/>
                <w:i/>
                <w:iCs/>
                <w:color w:val="000000"/>
                <w:sz w:val="18"/>
                <w:szCs w:val="18"/>
              </w:rPr>
              <w:t>et al.</w:t>
            </w:r>
            <w:r w:rsidRPr="0052155F">
              <w:rPr>
                <w:rFonts w:eastAsia="DengXian" w:cs="Times New Roman"/>
                <w:color w:val="000000"/>
                <w:sz w:val="18"/>
                <w:szCs w:val="18"/>
              </w:rPr>
              <w:t>2018</w:t>
            </w:r>
          </w:p>
        </w:tc>
        <w:tc>
          <w:tcPr>
            <w:tcW w:w="10981" w:type="dxa"/>
            <w:vAlign w:val="center"/>
          </w:tcPr>
          <w:p w14:paraId="2234402E" w14:textId="1BFA4C06"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ATTED database provides 16 co-expression platforms for nine plant species with robust statistical information.</w:t>
            </w:r>
          </w:p>
        </w:tc>
      </w:tr>
      <w:tr w:rsidR="0052155F" w14:paraId="40107420" w14:textId="77777777" w:rsidTr="0052155F">
        <w:tc>
          <w:tcPr>
            <w:tcW w:w="1266" w:type="dxa"/>
            <w:vAlign w:val="center"/>
          </w:tcPr>
          <w:p w14:paraId="0AA07D3D" w14:textId="6C433C3F"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MCENet</w:t>
            </w:r>
          </w:p>
        </w:tc>
        <w:tc>
          <w:tcPr>
            <w:tcW w:w="1711" w:type="dxa"/>
            <w:vAlign w:val="center"/>
          </w:tcPr>
          <w:p w14:paraId="49F1474E" w14:textId="6A6B3452"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Tian </w:t>
            </w:r>
            <w:r w:rsidRPr="0052155F">
              <w:rPr>
                <w:rFonts w:eastAsia="DengXian" w:cs="Times New Roman"/>
                <w:i/>
                <w:iCs/>
                <w:color w:val="000000"/>
                <w:sz w:val="18"/>
                <w:szCs w:val="18"/>
              </w:rPr>
              <w:t>et al.</w:t>
            </w:r>
            <w:r w:rsidRPr="0052155F">
              <w:rPr>
                <w:rFonts w:eastAsia="DengXian" w:cs="Times New Roman"/>
                <w:color w:val="000000"/>
                <w:sz w:val="18"/>
                <w:szCs w:val="18"/>
              </w:rPr>
              <w:t>2018</w:t>
            </w:r>
          </w:p>
        </w:tc>
        <w:tc>
          <w:tcPr>
            <w:tcW w:w="10981" w:type="dxa"/>
            <w:vAlign w:val="center"/>
          </w:tcPr>
          <w:p w14:paraId="48495360" w14:textId="2DC31C4F"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authors built a database (called the maize conditional co-expression network, MCENet) hosting 701 maize transcriptomic data and 108 epigenomic data. In addition, the database enables co-expression network analysis and functional toolkit for further data mining of the co-expression modules. </w:t>
            </w:r>
          </w:p>
        </w:tc>
      </w:tr>
      <w:tr w:rsidR="0052155F" w14:paraId="2BCC95E9" w14:textId="77777777" w:rsidTr="0052155F">
        <w:tc>
          <w:tcPr>
            <w:tcW w:w="1266" w:type="dxa"/>
            <w:vAlign w:val="center"/>
          </w:tcPr>
          <w:p w14:paraId="5243B8D4" w14:textId="3121D978"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AppleMDO</w:t>
            </w:r>
          </w:p>
        </w:tc>
        <w:tc>
          <w:tcPr>
            <w:tcW w:w="1711" w:type="dxa"/>
            <w:vAlign w:val="center"/>
          </w:tcPr>
          <w:p w14:paraId="0B16889E" w14:textId="7AA0911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Da </w:t>
            </w:r>
            <w:r w:rsidRPr="0052155F">
              <w:rPr>
                <w:rFonts w:eastAsia="DengXian" w:cs="Times New Roman"/>
                <w:i/>
                <w:iCs/>
                <w:color w:val="000000"/>
                <w:sz w:val="18"/>
                <w:szCs w:val="18"/>
              </w:rPr>
              <w:t>et al.</w:t>
            </w:r>
            <w:r w:rsidRPr="0052155F">
              <w:rPr>
                <w:rFonts w:eastAsia="DengXian" w:cs="Times New Roman"/>
                <w:color w:val="000000"/>
                <w:sz w:val="18"/>
                <w:szCs w:val="18"/>
              </w:rPr>
              <w:t>2019</w:t>
            </w:r>
          </w:p>
        </w:tc>
        <w:tc>
          <w:tcPr>
            <w:tcW w:w="10981" w:type="dxa"/>
            <w:vAlign w:val="center"/>
          </w:tcPr>
          <w:p w14:paraId="7A83C294" w14:textId="7CEBA1B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This paper described a comprehensive omics database of apple (Malus domestica Borkh.) (namely AppleMDO), which includes 112 RNA-seq datasets and 20 epigenomic datasets (ChIP-seq, DNase-seq and DNA methylation data). The website also provides global networks and conditional networks for the apple omics data. </w:t>
            </w:r>
          </w:p>
        </w:tc>
      </w:tr>
      <w:tr w:rsidR="0052155F" w14:paraId="3E2C18A5" w14:textId="77777777" w:rsidTr="0052155F">
        <w:tc>
          <w:tcPr>
            <w:tcW w:w="1266" w:type="dxa"/>
            <w:vAlign w:val="center"/>
          </w:tcPr>
          <w:p w14:paraId="629FE615" w14:textId="76A781F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Melonet-DB</w:t>
            </w:r>
          </w:p>
        </w:tc>
        <w:tc>
          <w:tcPr>
            <w:tcW w:w="1711" w:type="dxa"/>
            <w:vAlign w:val="center"/>
          </w:tcPr>
          <w:p w14:paraId="2B4A96B0" w14:textId="13326350"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Yano </w:t>
            </w:r>
            <w:r w:rsidRPr="0052155F">
              <w:rPr>
                <w:rFonts w:eastAsia="DengXian" w:cs="Times New Roman"/>
                <w:i/>
                <w:iCs/>
                <w:color w:val="000000"/>
                <w:sz w:val="18"/>
                <w:szCs w:val="18"/>
              </w:rPr>
              <w:t>et al.</w:t>
            </w:r>
            <w:r w:rsidRPr="0052155F">
              <w:rPr>
                <w:rFonts w:eastAsia="DengXian" w:cs="Times New Roman"/>
                <w:color w:val="000000"/>
                <w:sz w:val="18"/>
                <w:szCs w:val="18"/>
              </w:rPr>
              <w:t>2018</w:t>
            </w:r>
          </w:p>
        </w:tc>
        <w:tc>
          <w:tcPr>
            <w:tcW w:w="10981" w:type="dxa"/>
            <w:vAlign w:val="center"/>
          </w:tcPr>
          <w:p w14:paraId="6783965B" w14:textId="0F18A18C"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This paper described a database of Melon (Cucumis melo L.) (Melonet-DB), including an expression atlas of Melon and weighted gene co-expression network. The authors demonstrated the ablity of Melonet-DB to promote functional genomic studies.</w:t>
            </w:r>
          </w:p>
        </w:tc>
      </w:tr>
      <w:tr w:rsidR="0052155F" w14:paraId="3B5CABF7" w14:textId="77777777" w:rsidTr="0052155F">
        <w:tc>
          <w:tcPr>
            <w:tcW w:w="1266" w:type="dxa"/>
            <w:vAlign w:val="center"/>
          </w:tcPr>
          <w:p w14:paraId="3CBA47E2" w14:textId="3EFA3527"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TPIA</w:t>
            </w:r>
          </w:p>
        </w:tc>
        <w:tc>
          <w:tcPr>
            <w:tcW w:w="1711" w:type="dxa"/>
            <w:vAlign w:val="center"/>
          </w:tcPr>
          <w:p w14:paraId="5164900D" w14:textId="1FD5E2F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Xia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2019</w:t>
            </w:r>
          </w:p>
        </w:tc>
        <w:tc>
          <w:tcPr>
            <w:tcW w:w="10981" w:type="dxa"/>
            <w:vAlign w:val="center"/>
          </w:tcPr>
          <w:p w14:paraId="19F73298" w14:textId="6B714112"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This paper described a comprehensive knowledgebase of tea plant (Tea Plant Information Archive, TPIA), which includes abundant weel-organized transcriptomes, curated annotations (especially those genes particularly important for the tea quality) and a variety of versatile useful analytical tools.</w:t>
            </w:r>
          </w:p>
        </w:tc>
      </w:tr>
      <w:tr w:rsidR="0052155F" w14:paraId="7F71BCA0" w14:textId="77777777" w:rsidTr="0052155F">
        <w:tc>
          <w:tcPr>
            <w:tcW w:w="1266" w:type="dxa"/>
            <w:vAlign w:val="center"/>
          </w:tcPr>
          <w:p w14:paraId="6D3DE5CA" w14:textId="72DA4ED7"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Plant Regulomics</w:t>
            </w:r>
          </w:p>
        </w:tc>
        <w:tc>
          <w:tcPr>
            <w:tcW w:w="1711" w:type="dxa"/>
            <w:vAlign w:val="center"/>
          </w:tcPr>
          <w:p w14:paraId="7AA56606" w14:textId="3C0F7F53"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Ran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2020</w:t>
            </w:r>
          </w:p>
        </w:tc>
        <w:tc>
          <w:tcPr>
            <w:tcW w:w="10981" w:type="dxa"/>
            <w:vAlign w:val="center"/>
          </w:tcPr>
          <w:p w14:paraId="3647E6E5" w14:textId="39945850"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This paper described a comprehensive database containing 19,925 transcriptomic and epigenomic data sets and diverse functional evidence of six plant species (Arabidopsis, rice, maize, soybean, tomato and wheat) along with the orthologous genes from 56 whole-genome sequences species.</w:t>
            </w:r>
          </w:p>
        </w:tc>
      </w:tr>
      <w:tr w:rsidR="0052155F" w14:paraId="6D53CBB8" w14:textId="77777777" w:rsidTr="0052155F">
        <w:tc>
          <w:tcPr>
            <w:tcW w:w="1266" w:type="dxa"/>
            <w:vAlign w:val="center"/>
          </w:tcPr>
          <w:p w14:paraId="495E335F" w14:textId="0B0CC1A5"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CSI</w:t>
            </w:r>
          </w:p>
        </w:tc>
        <w:tc>
          <w:tcPr>
            <w:tcW w:w="1711" w:type="dxa"/>
            <w:vAlign w:val="center"/>
          </w:tcPr>
          <w:p w14:paraId="3DE5970F" w14:textId="036D7C7C"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Penfold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2015a &amp; 2015b</w:t>
            </w:r>
          </w:p>
        </w:tc>
        <w:tc>
          <w:tcPr>
            <w:tcW w:w="10981" w:type="dxa"/>
            <w:vAlign w:val="center"/>
          </w:tcPr>
          <w:p w14:paraId="2BE0E23B" w14:textId="1A4D549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causal structural identification (CSI) package employes a nonparametric Bayesian approach to infer gene regulatory networks (GRNs) with graphical user interface (GUI), allowing implementation in MATLAB.</w:t>
            </w:r>
          </w:p>
        </w:tc>
      </w:tr>
      <w:tr w:rsidR="0052155F" w14:paraId="0155A994" w14:textId="77777777" w:rsidTr="0052155F">
        <w:tc>
          <w:tcPr>
            <w:tcW w:w="1266" w:type="dxa"/>
            <w:tcBorders>
              <w:bottom w:val="single" w:sz="4" w:space="0" w:color="auto"/>
            </w:tcBorders>
            <w:vAlign w:val="center"/>
          </w:tcPr>
          <w:p w14:paraId="32990799" w14:textId="77777777" w:rsidR="0052155F" w:rsidRPr="0052155F" w:rsidRDefault="0052155F" w:rsidP="0052155F">
            <w:pPr>
              <w:snapToGrid w:val="0"/>
              <w:spacing w:before="0" w:afterLines="50" w:after="163" w:line="300" w:lineRule="exact"/>
              <w:rPr>
                <w:rFonts w:eastAsia="DengXian" w:cs="Times New Roman"/>
                <w:color w:val="000000"/>
                <w:sz w:val="18"/>
                <w:szCs w:val="18"/>
              </w:rPr>
            </w:pPr>
          </w:p>
        </w:tc>
        <w:tc>
          <w:tcPr>
            <w:tcW w:w="1711" w:type="dxa"/>
            <w:tcBorders>
              <w:bottom w:val="single" w:sz="4" w:space="0" w:color="auto"/>
            </w:tcBorders>
            <w:vAlign w:val="center"/>
          </w:tcPr>
          <w:p w14:paraId="33C54E60" w14:textId="77777777" w:rsidR="0052155F" w:rsidRPr="0052155F" w:rsidRDefault="0052155F" w:rsidP="0052155F">
            <w:pPr>
              <w:snapToGrid w:val="0"/>
              <w:spacing w:before="0" w:afterLines="50" w:after="163" w:line="300" w:lineRule="exact"/>
              <w:rPr>
                <w:rFonts w:eastAsia="DengXian" w:cs="Times New Roman"/>
                <w:color w:val="000000"/>
                <w:sz w:val="18"/>
                <w:szCs w:val="18"/>
              </w:rPr>
            </w:pPr>
          </w:p>
        </w:tc>
        <w:tc>
          <w:tcPr>
            <w:tcW w:w="10981" w:type="dxa"/>
            <w:tcBorders>
              <w:bottom w:val="single" w:sz="4" w:space="0" w:color="auto"/>
            </w:tcBorders>
            <w:vAlign w:val="center"/>
          </w:tcPr>
          <w:p w14:paraId="335C91E4" w14:textId="77777777" w:rsidR="0052155F" w:rsidRPr="0052155F" w:rsidRDefault="0052155F" w:rsidP="0052155F">
            <w:pPr>
              <w:snapToGrid w:val="0"/>
              <w:spacing w:before="0" w:afterLines="50" w:after="163" w:line="300" w:lineRule="exact"/>
              <w:rPr>
                <w:rFonts w:eastAsia="DengXian" w:cs="Times New Roman"/>
                <w:color w:val="000000"/>
                <w:sz w:val="18"/>
                <w:szCs w:val="18"/>
              </w:rPr>
            </w:pPr>
          </w:p>
        </w:tc>
      </w:tr>
      <w:tr w:rsidR="0052155F" w14:paraId="6BD22910" w14:textId="77777777" w:rsidTr="0052155F">
        <w:tc>
          <w:tcPr>
            <w:tcW w:w="1266" w:type="dxa"/>
            <w:tcBorders>
              <w:top w:val="single" w:sz="4" w:space="0" w:color="auto"/>
              <w:bottom w:val="single" w:sz="4" w:space="0" w:color="auto"/>
            </w:tcBorders>
            <w:vAlign w:val="center"/>
          </w:tcPr>
          <w:p w14:paraId="7A8318A9" w14:textId="27A6FE64"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lastRenderedPageBreak/>
              <w:t>Name</w:t>
            </w:r>
          </w:p>
        </w:tc>
        <w:tc>
          <w:tcPr>
            <w:tcW w:w="1711" w:type="dxa"/>
            <w:tcBorders>
              <w:top w:val="single" w:sz="4" w:space="0" w:color="auto"/>
              <w:bottom w:val="single" w:sz="4" w:space="0" w:color="auto"/>
            </w:tcBorders>
            <w:vAlign w:val="center"/>
          </w:tcPr>
          <w:p w14:paraId="125613B1" w14:textId="51C8640F"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t>References</w:t>
            </w:r>
          </w:p>
        </w:tc>
        <w:tc>
          <w:tcPr>
            <w:tcW w:w="10981" w:type="dxa"/>
            <w:tcBorders>
              <w:top w:val="single" w:sz="4" w:space="0" w:color="auto"/>
              <w:bottom w:val="single" w:sz="4" w:space="0" w:color="auto"/>
            </w:tcBorders>
            <w:vAlign w:val="center"/>
          </w:tcPr>
          <w:p w14:paraId="0B3E305D" w14:textId="7F02A40E"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t>Description</w:t>
            </w:r>
          </w:p>
        </w:tc>
      </w:tr>
      <w:tr w:rsidR="0052155F" w14:paraId="5C0B790F" w14:textId="77777777" w:rsidTr="0052155F">
        <w:tc>
          <w:tcPr>
            <w:tcW w:w="1266" w:type="dxa"/>
            <w:tcBorders>
              <w:top w:val="single" w:sz="4" w:space="0" w:color="auto"/>
            </w:tcBorders>
            <w:vAlign w:val="center"/>
          </w:tcPr>
          <w:p w14:paraId="42BB4D53" w14:textId="23B34A39"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RSAT-Plants</w:t>
            </w:r>
          </w:p>
        </w:tc>
        <w:tc>
          <w:tcPr>
            <w:tcW w:w="1711" w:type="dxa"/>
            <w:tcBorders>
              <w:top w:val="single" w:sz="4" w:space="0" w:color="auto"/>
            </w:tcBorders>
            <w:vAlign w:val="center"/>
          </w:tcPr>
          <w:p w14:paraId="2692502E" w14:textId="303341F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Contreras-Moreira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2016</w:t>
            </w:r>
          </w:p>
        </w:tc>
        <w:tc>
          <w:tcPr>
            <w:tcW w:w="10981" w:type="dxa"/>
            <w:tcBorders>
              <w:top w:val="single" w:sz="4" w:space="0" w:color="auto"/>
            </w:tcBorders>
            <w:vAlign w:val="center"/>
          </w:tcPr>
          <w:p w14:paraId="561AC52F" w14:textId="3976E26C"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authors report the plant-dedicated website of Regulatory Sequence Analysis Tools (RSAT-Plants) and a step-by-step protocol for motif discovery and the identification of TF-target regulation. </w:t>
            </w:r>
          </w:p>
        </w:tc>
      </w:tr>
      <w:tr w:rsidR="0052155F" w14:paraId="1AC40E3D" w14:textId="77777777" w:rsidTr="0052155F">
        <w:tc>
          <w:tcPr>
            <w:tcW w:w="1266" w:type="dxa"/>
            <w:vAlign w:val="center"/>
          </w:tcPr>
          <w:p w14:paraId="3F301E40" w14:textId="20D91178"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tcgsaseq</w:t>
            </w:r>
          </w:p>
        </w:tc>
        <w:tc>
          <w:tcPr>
            <w:tcW w:w="1711" w:type="dxa"/>
            <w:vAlign w:val="center"/>
          </w:tcPr>
          <w:p w14:paraId="34054302" w14:textId="427FDFF7"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Agniel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2017</w:t>
            </w:r>
          </w:p>
        </w:tc>
        <w:tc>
          <w:tcPr>
            <w:tcW w:w="10981" w:type="dxa"/>
            <w:vAlign w:val="center"/>
          </w:tcPr>
          <w:p w14:paraId="48E881B0" w14:textId="3EBFE97D"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tcgsaseq R package offers the identification of gene sets with different expression patterns in time-series RNA-seq data with good statistical properties.</w:t>
            </w:r>
          </w:p>
        </w:tc>
      </w:tr>
      <w:tr w:rsidR="0052155F" w14:paraId="5057EFF8" w14:textId="77777777" w:rsidTr="0052155F">
        <w:tc>
          <w:tcPr>
            <w:tcW w:w="1266" w:type="dxa"/>
            <w:vAlign w:val="center"/>
          </w:tcPr>
          <w:p w14:paraId="6E62F0B5" w14:textId="636D2352"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SeqEnrich</w:t>
            </w:r>
          </w:p>
        </w:tc>
        <w:tc>
          <w:tcPr>
            <w:tcW w:w="1711" w:type="dxa"/>
            <w:vAlign w:val="center"/>
          </w:tcPr>
          <w:p w14:paraId="64B93295" w14:textId="6CF0E27E"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Becker </w:t>
            </w:r>
            <w:r w:rsidRPr="0052155F">
              <w:rPr>
                <w:rFonts w:eastAsia="DengXian" w:cs="Times New Roman"/>
                <w:i/>
                <w:iCs/>
                <w:color w:val="000000"/>
                <w:sz w:val="18"/>
                <w:szCs w:val="18"/>
              </w:rPr>
              <w:t>et al.</w:t>
            </w:r>
            <w:r w:rsidRPr="0052155F">
              <w:rPr>
                <w:rFonts w:eastAsia="DengXian" w:cs="Times New Roman"/>
                <w:color w:val="000000"/>
                <w:sz w:val="18"/>
                <w:szCs w:val="18"/>
              </w:rPr>
              <w:t>2017</w:t>
            </w:r>
          </w:p>
        </w:tc>
        <w:tc>
          <w:tcPr>
            <w:tcW w:w="10981" w:type="dxa"/>
            <w:vAlign w:val="center"/>
          </w:tcPr>
          <w:p w14:paraId="2FD66E73" w14:textId="702DF69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software is designed to produce co-expression networks in Arabidopsis and Brassica species and predict transcription factor-DNA interactions with integration of TF knowledge in the species.</w:t>
            </w:r>
          </w:p>
        </w:tc>
      </w:tr>
      <w:tr w:rsidR="0052155F" w14:paraId="29CBED88" w14:textId="77777777" w:rsidTr="0052155F">
        <w:tc>
          <w:tcPr>
            <w:tcW w:w="1266" w:type="dxa"/>
            <w:vAlign w:val="center"/>
          </w:tcPr>
          <w:p w14:paraId="589DCDCA" w14:textId="2E5980E1"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ExRANGES</w:t>
            </w:r>
          </w:p>
        </w:tc>
        <w:tc>
          <w:tcPr>
            <w:tcW w:w="1711" w:type="dxa"/>
            <w:vAlign w:val="center"/>
          </w:tcPr>
          <w:p w14:paraId="38ECB046" w14:textId="3AB20DF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Desai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2017</w:t>
            </w:r>
          </w:p>
        </w:tc>
        <w:tc>
          <w:tcPr>
            <w:tcW w:w="10981" w:type="dxa"/>
            <w:vAlign w:val="center"/>
          </w:tcPr>
          <w:p w14:paraId="6B334ADD" w14:textId="5BCF32A5"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R package ExRANGES combines expression levels and the rate of changes to improve the accuracy of computational inference of transcriptional regulatory network (TRNs). </w:t>
            </w:r>
          </w:p>
        </w:tc>
      </w:tr>
      <w:tr w:rsidR="0052155F" w14:paraId="53D6C7CC" w14:textId="77777777" w:rsidTr="0052155F">
        <w:tc>
          <w:tcPr>
            <w:tcW w:w="1266" w:type="dxa"/>
            <w:vAlign w:val="center"/>
          </w:tcPr>
          <w:p w14:paraId="0F644DF4" w14:textId="36D6C353"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LSTrAP</w:t>
            </w:r>
          </w:p>
        </w:tc>
        <w:tc>
          <w:tcPr>
            <w:tcW w:w="1711" w:type="dxa"/>
            <w:vAlign w:val="center"/>
          </w:tcPr>
          <w:p w14:paraId="160F516D" w14:textId="681029C1"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Proost </w:t>
            </w:r>
            <w:r w:rsidRPr="0052155F">
              <w:rPr>
                <w:rFonts w:eastAsia="DengXian" w:cs="Times New Roman"/>
                <w:i/>
                <w:iCs/>
                <w:color w:val="000000"/>
                <w:sz w:val="18"/>
                <w:szCs w:val="18"/>
              </w:rPr>
              <w:t>et al.</w:t>
            </w:r>
            <w:r w:rsidRPr="0052155F">
              <w:rPr>
                <w:rFonts w:eastAsia="DengXian" w:cs="Times New Roman"/>
                <w:color w:val="000000"/>
                <w:sz w:val="18"/>
                <w:szCs w:val="18"/>
              </w:rPr>
              <w:t>2017</w:t>
            </w:r>
          </w:p>
        </w:tc>
        <w:tc>
          <w:tcPr>
            <w:tcW w:w="10981" w:type="dxa"/>
            <w:vAlign w:val="center"/>
          </w:tcPr>
          <w:p w14:paraId="64B37685" w14:textId="4F1ED2D0"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LSTrAP (Large-Scale Transcriptome Analysis Pipeline) is single, efficient and flexible workflow for plant RNA-seq analysis, from fastq data processing to co-expression network analysis, allowing hundreds of RNA-seq samples being processed efficiently. </w:t>
            </w:r>
          </w:p>
        </w:tc>
      </w:tr>
      <w:tr w:rsidR="0052155F" w14:paraId="288B89C7" w14:textId="77777777" w:rsidTr="0052155F">
        <w:tc>
          <w:tcPr>
            <w:tcW w:w="1266" w:type="dxa"/>
            <w:vAlign w:val="center"/>
          </w:tcPr>
          <w:p w14:paraId="71BBC422" w14:textId="6C8A5F82"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RSAT</w:t>
            </w:r>
          </w:p>
        </w:tc>
        <w:tc>
          <w:tcPr>
            <w:tcW w:w="1711" w:type="dxa"/>
            <w:vAlign w:val="center"/>
          </w:tcPr>
          <w:p w14:paraId="4B604330" w14:textId="137EF84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Nguyen </w:t>
            </w:r>
            <w:r w:rsidRPr="0052155F">
              <w:rPr>
                <w:rFonts w:eastAsia="DengXian" w:cs="Times New Roman"/>
                <w:i/>
                <w:iCs/>
                <w:color w:val="000000"/>
                <w:sz w:val="18"/>
                <w:szCs w:val="18"/>
              </w:rPr>
              <w:t>et al.</w:t>
            </w:r>
            <w:r w:rsidRPr="0052155F">
              <w:rPr>
                <w:rFonts w:eastAsia="DengXian" w:cs="Times New Roman"/>
                <w:color w:val="000000"/>
                <w:sz w:val="18"/>
                <w:szCs w:val="18"/>
              </w:rPr>
              <w:t>2018</w:t>
            </w:r>
          </w:p>
        </w:tc>
        <w:tc>
          <w:tcPr>
            <w:tcW w:w="10981" w:type="dxa"/>
            <w:vAlign w:val="center"/>
          </w:tcPr>
          <w:p w14:paraId="46FE6593" w14:textId="0907DE51"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paper reports the update of Regulatory Sequence Analysis Tools (RSAT) supporting the discovery of motifs in over 10,000 genomes from all kingdoms.</w:t>
            </w:r>
          </w:p>
        </w:tc>
      </w:tr>
      <w:tr w:rsidR="0052155F" w14:paraId="2BDE949F" w14:textId="77777777" w:rsidTr="0052155F">
        <w:tc>
          <w:tcPr>
            <w:tcW w:w="1266" w:type="dxa"/>
            <w:vAlign w:val="center"/>
          </w:tcPr>
          <w:p w14:paraId="0C3154D0" w14:textId="0DE87C15"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NetMiner</w:t>
            </w:r>
          </w:p>
        </w:tc>
        <w:tc>
          <w:tcPr>
            <w:tcW w:w="1711" w:type="dxa"/>
            <w:vAlign w:val="center"/>
          </w:tcPr>
          <w:p w14:paraId="5B8F67E8" w14:textId="2AECDD0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Yu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2018</w:t>
            </w:r>
          </w:p>
        </w:tc>
        <w:tc>
          <w:tcPr>
            <w:tcW w:w="10981" w:type="dxa"/>
            <w:vAlign w:val="center"/>
          </w:tcPr>
          <w:p w14:paraId="27921FE6" w14:textId="5BE79C72"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By integrating three frequently used co-expression network inference methods, the NetMiner program provides a reliable approach to calculate co-expression networks.</w:t>
            </w:r>
          </w:p>
        </w:tc>
      </w:tr>
      <w:tr w:rsidR="0052155F" w14:paraId="49C29E43" w14:textId="77777777" w:rsidTr="0052155F">
        <w:tc>
          <w:tcPr>
            <w:tcW w:w="1266" w:type="dxa"/>
            <w:vAlign w:val="center"/>
          </w:tcPr>
          <w:p w14:paraId="14F857FA" w14:textId="5F69B1E1"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ExpressWeb</w:t>
            </w:r>
          </w:p>
        </w:tc>
        <w:tc>
          <w:tcPr>
            <w:tcW w:w="1711" w:type="dxa"/>
            <w:vAlign w:val="center"/>
          </w:tcPr>
          <w:p w14:paraId="1653DED9" w14:textId="74D9F73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Savelli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2019</w:t>
            </w:r>
          </w:p>
        </w:tc>
        <w:tc>
          <w:tcPr>
            <w:tcW w:w="10981" w:type="dxa"/>
            <w:vAlign w:val="center"/>
          </w:tcPr>
          <w:p w14:paraId="2A98FA2F" w14:textId="68EE5AE3"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ExpressWeb allows user-friendly gene clustering and co-expression network identification and integration of transcriptomic and proteomic datasets. </w:t>
            </w:r>
          </w:p>
        </w:tc>
      </w:tr>
      <w:tr w:rsidR="0052155F" w14:paraId="6D6F0156" w14:textId="77777777" w:rsidTr="0052155F">
        <w:tc>
          <w:tcPr>
            <w:tcW w:w="1266" w:type="dxa"/>
            <w:vAlign w:val="center"/>
          </w:tcPr>
          <w:p w14:paraId="4A3E4B3A" w14:textId="1B21A92F"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HTRgene</w:t>
            </w:r>
          </w:p>
        </w:tc>
        <w:tc>
          <w:tcPr>
            <w:tcW w:w="1711" w:type="dxa"/>
            <w:vAlign w:val="center"/>
          </w:tcPr>
          <w:p w14:paraId="52D8D692" w14:textId="75642712"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Ahn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2019</w:t>
            </w:r>
          </w:p>
        </w:tc>
        <w:tc>
          <w:tcPr>
            <w:tcW w:w="10981" w:type="dxa"/>
            <w:vAlign w:val="center"/>
          </w:tcPr>
          <w:p w14:paraId="63AC8B75" w14:textId="1E3BC3D2"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authors developed a specific algorithum HTRgene with high performance in identifying stress responsive gene networks.</w:t>
            </w:r>
          </w:p>
        </w:tc>
      </w:tr>
      <w:tr w:rsidR="0052155F" w14:paraId="02EB889B" w14:textId="77777777" w:rsidTr="0052155F">
        <w:tc>
          <w:tcPr>
            <w:tcW w:w="1266" w:type="dxa"/>
            <w:tcBorders>
              <w:bottom w:val="single" w:sz="4" w:space="0" w:color="auto"/>
            </w:tcBorders>
            <w:vAlign w:val="center"/>
          </w:tcPr>
          <w:p w14:paraId="729D64E0" w14:textId="0F4539E5" w:rsidR="0052155F" w:rsidRPr="0052155F" w:rsidRDefault="0052155F" w:rsidP="0052155F">
            <w:pPr>
              <w:snapToGrid w:val="0"/>
              <w:spacing w:before="0" w:afterLines="50" w:after="163" w:line="300" w:lineRule="exact"/>
              <w:rPr>
                <w:rFonts w:eastAsia="DengXian" w:cs="Times New Roman"/>
                <w:color w:val="000000"/>
                <w:sz w:val="18"/>
                <w:szCs w:val="18"/>
              </w:rPr>
            </w:pPr>
            <w:r w:rsidRPr="0052155F">
              <w:rPr>
                <w:rFonts w:eastAsia="DengXian" w:cs="Times New Roman"/>
                <w:color w:val="000000"/>
                <w:sz w:val="18"/>
                <w:szCs w:val="18"/>
              </w:rPr>
              <w:t>Compare Transcriptome Analysis</w:t>
            </w:r>
          </w:p>
        </w:tc>
        <w:tc>
          <w:tcPr>
            <w:tcW w:w="1711" w:type="dxa"/>
            <w:tcBorders>
              <w:bottom w:val="single" w:sz="4" w:space="0" w:color="auto"/>
            </w:tcBorders>
            <w:vAlign w:val="center"/>
          </w:tcPr>
          <w:p w14:paraId="1B33C9A2" w14:textId="6DCACD98" w:rsidR="0052155F" w:rsidRPr="0052155F" w:rsidRDefault="0052155F" w:rsidP="0052155F">
            <w:pPr>
              <w:snapToGrid w:val="0"/>
              <w:spacing w:before="0" w:afterLines="50" w:after="163" w:line="300" w:lineRule="exact"/>
              <w:rPr>
                <w:rFonts w:eastAsia="DengXian" w:cs="Times New Roman"/>
                <w:color w:val="000000"/>
                <w:sz w:val="18"/>
                <w:szCs w:val="18"/>
              </w:rPr>
            </w:pPr>
            <w:r w:rsidRPr="0052155F">
              <w:rPr>
                <w:rFonts w:eastAsia="DengXian" w:cs="Times New Roman"/>
                <w:color w:val="000000"/>
                <w:sz w:val="18"/>
                <w:szCs w:val="18"/>
              </w:rPr>
              <w:t xml:space="preserve">Lee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2019</w:t>
            </w:r>
          </w:p>
        </w:tc>
        <w:tc>
          <w:tcPr>
            <w:tcW w:w="10981" w:type="dxa"/>
            <w:tcBorders>
              <w:bottom w:val="single" w:sz="4" w:space="0" w:color="auto"/>
            </w:tcBorders>
            <w:vAlign w:val="center"/>
          </w:tcPr>
          <w:p w14:paraId="2CCB00D4" w14:textId="183E4465" w:rsidR="0052155F" w:rsidRPr="0052155F" w:rsidRDefault="0052155F" w:rsidP="0052155F">
            <w:pPr>
              <w:snapToGrid w:val="0"/>
              <w:spacing w:before="0" w:afterLines="50" w:after="163" w:line="300" w:lineRule="exact"/>
              <w:rPr>
                <w:rFonts w:eastAsia="DengXian" w:cs="Times New Roman"/>
                <w:color w:val="000000"/>
                <w:sz w:val="18"/>
                <w:szCs w:val="18"/>
              </w:rPr>
            </w:pPr>
            <w:r w:rsidRPr="0052155F">
              <w:rPr>
                <w:rFonts w:eastAsia="DengXian" w:cs="Times New Roman"/>
                <w:color w:val="000000"/>
                <w:sz w:val="18"/>
                <w:szCs w:val="18"/>
              </w:rPr>
              <w:t>The authors described a new approach to compare co-expression networks between species, particularly the time series transcriptomme data.</w:t>
            </w:r>
          </w:p>
        </w:tc>
      </w:tr>
      <w:tr w:rsidR="0052155F" w14:paraId="321AD2B7" w14:textId="77777777" w:rsidTr="0052155F">
        <w:tc>
          <w:tcPr>
            <w:tcW w:w="1266" w:type="dxa"/>
            <w:tcBorders>
              <w:top w:val="single" w:sz="4" w:space="0" w:color="auto"/>
              <w:bottom w:val="single" w:sz="4" w:space="0" w:color="auto"/>
            </w:tcBorders>
            <w:vAlign w:val="center"/>
          </w:tcPr>
          <w:p w14:paraId="7353B858" w14:textId="44962AA4"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lastRenderedPageBreak/>
              <w:t>Name</w:t>
            </w:r>
          </w:p>
        </w:tc>
        <w:tc>
          <w:tcPr>
            <w:tcW w:w="1711" w:type="dxa"/>
            <w:tcBorders>
              <w:top w:val="single" w:sz="4" w:space="0" w:color="auto"/>
              <w:bottom w:val="single" w:sz="4" w:space="0" w:color="auto"/>
            </w:tcBorders>
            <w:vAlign w:val="center"/>
          </w:tcPr>
          <w:p w14:paraId="6DD3F6B6" w14:textId="72E19121"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t>References</w:t>
            </w:r>
          </w:p>
        </w:tc>
        <w:tc>
          <w:tcPr>
            <w:tcW w:w="10981" w:type="dxa"/>
            <w:tcBorders>
              <w:top w:val="single" w:sz="4" w:space="0" w:color="auto"/>
              <w:bottom w:val="single" w:sz="4" w:space="0" w:color="auto"/>
            </w:tcBorders>
            <w:vAlign w:val="center"/>
          </w:tcPr>
          <w:p w14:paraId="77AC8FF0" w14:textId="12B56E95" w:rsidR="0052155F" w:rsidRPr="0052155F" w:rsidRDefault="0052155F" w:rsidP="0052155F">
            <w:pPr>
              <w:snapToGrid w:val="0"/>
              <w:spacing w:before="0" w:afterLines="50" w:after="163" w:line="300" w:lineRule="exact"/>
              <w:rPr>
                <w:rFonts w:eastAsia="DengXian" w:cs="Times New Roman"/>
                <w:color w:val="000000"/>
                <w:sz w:val="20"/>
                <w:szCs w:val="20"/>
              </w:rPr>
            </w:pPr>
            <w:r w:rsidRPr="0052155F">
              <w:rPr>
                <w:rFonts w:eastAsia="DengXian" w:cs="Times New Roman"/>
                <w:b/>
                <w:bCs/>
                <w:color w:val="000000"/>
                <w:sz w:val="20"/>
                <w:szCs w:val="20"/>
              </w:rPr>
              <w:t>Description</w:t>
            </w:r>
          </w:p>
        </w:tc>
      </w:tr>
      <w:tr w:rsidR="0052155F" w14:paraId="6FD518DF" w14:textId="77777777" w:rsidTr="0052155F">
        <w:tc>
          <w:tcPr>
            <w:tcW w:w="1266" w:type="dxa"/>
            <w:tcBorders>
              <w:top w:val="single" w:sz="4" w:space="0" w:color="auto"/>
            </w:tcBorders>
            <w:vAlign w:val="center"/>
          </w:tcPr>
          <w:p w14:paraId="622D1CCD" w14:textId="5A150358"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JASPAR</w:t>
            </w:r>
          </w:p>
        </w:tc>
        <w:tc>
          <w:tcPr>
            <w:tcW w:w="1711" w:type="dxa"/>
            <w:tcBorders>
              <w:top w:val="single" w:sz="4" w:space="0" w:color="auto"/>
            </w:tcBorders>
            <w:vAlign w:val="center"/>
          </w:tcPr>
          <w:p w14:paraId="77B6C307" w14:textId="732E2FA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Fornes </w:t>
            </w:r>
            <w:r w:rsidRPr="0052155F">
              <w:rPr>
                <w:rFonts w:eastAsia="DengXian" w:cs="Times New Roman"/>
                <w:i/>
                <w:iCs/>
                <w:color w:val="000000"/>
                <w:sz w:val="18"/>
                <w:szCs w:val="18"/>
              </w:rPr>
              <w:t>et al.</w:t>
            </w:r>
            <w:r w:rsidRPr="0052155F">
              <w:rPr>
                <w:rFonts w:eastAsia="DengXian" w:cs="Times New Roman"/>
                <w:color w:val="000000"/>
                <w:sz w:val="18"/>
                <w:szCs w:val="18"/>
              </w:rPr>
              <w:t xml:space="preserve"> 2020</w:t>
            </w:r>
          </w:p>
        </w:tc>
        <w:tc>
          <w:tcPr>
            <w:tcW w:w="10981" w:type="dxa"/>
            <w:tcBorders>
              <w:top w:val="single" w:sz="4" w:space="0" w:color="auto"/>
            </w:tcBorders>
            <w:vAlign w:val="center"/>
          </w:tcPr>
          <w:p w14:paraId="3964EC96" w14:textId="4DE69D44"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Jaspar database hosts curated, non-redundant transcription factor-binding profiles from species in six taxnomic groups. The database also comes together with multiple tools for gene regulation analysis. </w:t>
            </w:r>
          </w:p>
        </w:tc>
      </w:tr>
      <w:tr w:rsidR="0052155F" w14:paraId="4798BF28" w14:textId="77777777" w:rsidTr="0052155F">
        <w:tc>
          <w:tcPr>
            <w:tcW w:w="1266" w:type="dxa"/>
            <w:vAlign w:val="center"/>
          </w:tcPr>
          <w:p w14:paraId="5D280FCE" w14:textId="232C08C1"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GENIE3</w:t>
            </w:r>
          </w:p>
        </w:tc>
        <w:tc>
          <w:tcPr>
            <w:tcW w:w="1711" w:type="dxa"/>
            <w:vAlign w:val="center"/>
          </w:tcPr>
          <w:p w14:paraId="64F34825" w14:textId="6B589FCA"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Harrington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2020</w:t>
            </w:r>
          </w:p>
        </w:tc>
        <w:tc>
          <w:tcPr>
            <w:tcW w:w="10981" w:type="dxa"/>
            <w:vAlign w:val="center"/>
          </w:tcPr>
          <w:p w14:paraId="6423AC60" w14:textId="41F6F3C1"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The authors retrieved multiple independent and publicly available RNA-seq datasets and constructed wheat GRNs by GENIE3 </w:t>
            </w:r>
            <w:proofErr w:type="gramStart"/>
            <w:r w:rsidRPr="0052155F">
              <w:rPr>
                <w:rFonts w:eastAsia="DengXian" w:cs="Times New Roman"/>
                <w:color w:val="000000"/>
                <w:sz w:val="18"/>
                <w:szCs w:val="18"/>
              </w:rPr>
              <w:t>method, and</w:t>
            </w:r>
            <w:proofErr w:type="gramEnd"/>
            <w:r w:rsidRPr="0052155F">
              <w:rPr>
                <w:rFonts w:eastAsia="DengXian" w:cs="Times New Roman"/>
                <w:color w:val="000000"/>
                <w:sz w:val="18"/>
                <w:szCs w:val="18"/>
              </w:rPr>
              <w:t xml:space="preserve"> validated the GRNs by functional study of the NAM-A1 gene.</w:t>
            </w:r>
          </w:p>
        </w:tc>
      </w:tr>
      <w:tr w:rsidR="0052155F" w14:paraId="5ABD16D5" w14:textId="77777777" w:rsidTr="0052155F">
        <w:tc>
          <w:tcPr>
            <w:tcW w:w="1266" w:type="dxa"/>
            <w:vAlign w:val="center"/>
          </w:tcPr>
          <w:p w14:paraId="49EA4B08" w14:textId="4CB687C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LSTrAP-Cloud</w:t>
            </w:r>
          </w:p>
        </w:tc>
        <w:tc>
          <w:tcPr>
            <w:tcW w:w="1711" w:type="dxa"/>
            <w:vAlign w:val="center"/>
          </w:tcPr>
          <w:p w14:paraId="3C4D4228" w14:textId="11844FB0"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Tan </w:t>
            </w:r>
            <w:r w:rsidRPr="0052155F">
              <w:rPr>
                <w:rFonts w:eastAsia="DengXian" w:cs="Times New Roman"/>
                <w:i/>
                <w:iCs/>
                <w:color w:val="000000"/>
                <w:sz w:val="18"/>
                <w:szCs w:val="18"/>
              </w:rPr>
              <w:t xml:space="preserve">et al. </w:t>
            </w:r>
            <w:r w:rsidRPr="0052155F">
              <w:rPr>
                <w:rFonts w:eastAsia="DengXian" w:cs="Times New Roman"/>
                <w:color w:val="000000"/>
                <w:sz w:val="18"/>
                <w:szCs w:val="18"/>
              </w:rPr>
              <w:t>2020</w:t>
            </w:r>
          </w:p>
        </w:tc>
        <w:tc>
          <w:tcPr>
            <w:tcW w:w="10981" w:type="dxa"/>
            <w:vAlign w:val="center"/>
          </w:tcPr>
          <w:p w14:paraId="7AEFC09C" w14:textId="1BF1DDB8"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authors implemented the classic kallisto pipeline for RNA-seq analysis and co-expression network analysis in cloud, namely LSTrAP-Cloud</w:t>
            </w:r>
          </w:p>
        </w:tc>
      </w:tr>
      <w:tr w:rsidR="0052155F" w14:paraId="6411DA54" w14:textId="77777777" w:rsidTr="0052155F">
        <w:tc>
          <w:tcPr>
            <w:tcW w:w="1266" w:type="dxa"/>
            <w:tcBorders>
              <w:bottom w:val="single" w:sz="4" w:space="0" w:color="auto"/>
            </w:tcBorders>
            <w:vAlign w:val="center"/>
          </w:tcPr>
          <w:p w14:paraId="2321D474" w14:textId="28D399F6"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RSAT</w:t>
            </w:r>
          </w:p>
        </w:tc>
        <w:tc>
          <w:tcPr>
            <w:tcW w:w="1711" w:type="dxa"/>
            <w:tcBorders>
              <w:bottom w:val="single" w:sz="4" w:space="0" w:color="auto"/>
            </w:tcBorders>
            <w:vAlign w:val="center"/>
          </w:tcPr>
          <w:p w14:paraId="63E02F45" w14:textId="58C63C18"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 xml:space="preserve">Ksouri </w:t>
            </w:r>
            <w:r w:rsidRPr="0052155F">
              <w:rPr>
                <w:rFonts w:eastAsia="DengXian" w:cs="Times New Roman"/>
                <w:i/>
                <w:iCs/>
                <w:color w:val="000000"/>
                <w:sz w:val="18"/>
                <w:szCs w:val="18"/>
              </w:rPr>
              <w:t>et al.</w:t>
            </w:r>
            <w:r w:rsidRPr="0052155F">
              <w:rPr>
                <w:rFonts w:eastAsia="DengXian" w:cs="Times New Roman"/>
                <w:color w:val="000000"/>
                <w:sz w:val="18"/>
                <w:szCs w:val="18"/>
              </w:rPr>
              <w:t>2021</w:t>
            </w:r>
          </w:p>
        </w:tc>
        <w:tc>
          <w:tcPr>
            <w:tcW w:w="10981" w:type="dxa"/>
            <w:tcBorders>
              <w:bottom w:val="single" w:sz="4" w:space="0" w:color="auto"/>
            </w:tcBorders>
            <w:vAlign w:val="center"/>
          </w:tcPr>
          <w:p w14:paraId="2A824EB2" w14:textId="47FC5ABB" w:rsidR="0052155F" w:rsidRPr="0052155F" w:rsidRDefault="0052155F" w:rsidP="0052155F">
            <w:pPr>
              <w:snapToGrid w:val="0"/>
              <w:spacing w:before="0" w:afterLines="50" w:after="163" w:line="300" w:lineRule="exact"/>
              <w:rPr>
                <w:rFonts w:cs="Times New Roman"/>
                <w:color w:val="000000" w:themeColor="text1"/>
                <w:sz w:val="18"/>
                <w:szCs w:val="18"/>
              </w:rPr>
            </w:pPr>
            <w:r w:rsidRPr="0052155F">
              <w:rPr>
                <w:rFonts w:eastAsia="DengXian" w:cs="Times New Roman"/>
                <w:color w:val="000000"/>
                <w:sz w:val="18"/>
                <w:szCs w:val="18"/>
              </w:rPr>
              <w:t>The regulatory sequence analysis tools (RSAT) is a classic software for identifying regulatory sequences in the genome. To facilitate its utilization in plant species, the authors developed RSAT-plants and implemented in an easy manner, RSAT-docker. They demonstrated the power of RSAT-plants in mining transcriptome data and regulaotry networks.</w:t>
            </w:r>
          </w:p>
        </w:tc>
      </w:tr>
    </w:tbl>
    <w:p w14:paraId="72AFA64F" w14:textId="7C101FA3" w:rsidR="002068C6" w:rsidRPr="001B7DEB" w:rsidRDefault="002068C6">
      <w:pPr>
        <w:rPr>
          <w:rFonts w:cs="Times New Roman"/>
        </w:rPr>
      </w:pPr>
    </w:p>
    <w:sectPr w:rsidR="002068C6" w:rsidRPr="001B7DEB" w:rsidSect="001B7DEB">
      <w:footerReference w:type="even" r:id="rId6"/>
      <w:footerReference w:type="default" r:id="rId7"/>
      <w:pgSz w:w="16838" w:h="11906" w:orient="landscape"/>
      <w:pgMar w:top="1800" w:right="1440" w:bottom="1800" w:left="1440" w:header="851" w:footer="992"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1563D36" w14:textId="77777777" w:rsidR="003A7EB2" w:rsidRDefault="003A7EB2" w:rsidP="0052155F">
      <w:pPr>
        <w:spacing w:before="0" w:after="0"/>
      </w:pPr>
      <w:r>
        <w:separator/>
      </w:r>
    </w:p>
  </w:endnote>
  <w:endnote w:type="continuationSeparator" w:id="0">
    <w:p w14:paraId="1916627B" w14:textId="77777777" w:rsidR="003A7EB2" w:rsidRDefault="003A7EB2" w:rsidP="0052155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7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a6"/>
      </w:rPr>
      <w:id w:val="-1333684118"/>
      <w:docPartObj>
        <w:docPartGallery w:val="Page Numbers (Bottom of Page)"/>
        <w:docPartUnique/>
      </w:docPartObj>
    </w:sdtPr>
    <w:sdtEndPr>
      <w:rPr>
        <w:rStyle w:val="a6"/>
      </w:rPr>
    </w:sdtEndPr>
    <w:sdtContent>
      <w:p w14:paraId="383D1147" w14:textId="582BA385" w:rsidR="0052155F" w:rsidRDefault="0052155F" w:rsidP="008800E9">
        <w:pPr>
          <w:pStyle w:val="a4"/>
          <w:framePr w:wrap="none" w:vAnchor="text" w:hAnchor="margin" w:xAlign="right" w:y="1"/>
          <w:rPr>
            <w:rStyle w:val="a6"/>
          </w:rPr>
        </w:pPr>
        <w:r>
          <w:rPr>
            <w:rStyle w:val="a6"/>
          </w:rPr>
          <w:fldChar w:fldCharType="begin"/>
        </w:r>
        <w:r>
          <w:rPr>
            <w:rStyle w:val="a6"/>
          </w:rPr>
          <w:instrText xml:space="preserve"> PAGE </w:instrText>
        </w:r>
        <w:r>
          <w:rPr>
            <w:rStyle w:val="a6"/>
          </w:rPr>
          <w:fldChar w:fldCharType="end"/>
        </w:r>
      </w:p>
    </w:sdtContent>
  </w:sdt>
  <w:p w14:paraId="065CFC05" w14:textId="77777777" w:rsidR="0052155F" w:rsidRDefault="0052155F" w:rsidP="0052155F">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a6"/>
      </w:rPr>
      <w:id w:val="1046572480"/>
      <w:docPartObj>
        <w:docPartGallery w:val="Page Numbers (Bottom of Page)"/>
        <w:docPartUnique/>
      </w:docPartObj>
    </w:sdtPr>
    <w:sdtEndPr>
      <w:rPr>
        <w:rStyle w:val="a6"/>
      </w:rPr>
    </w:sdtEndPr>
    <w:sdtContent>
      <w:p w14:paraId="39856096" w14:textId="432B3D52" w:rsidR="0052155F" w:rsidRDefault="0052155F" w:rsidP="008800E9">
        <w:pPr>
          <w:pStyle w:val="a4"/>
          <w:framePr w:wrap="none" w:vAnchor="text" w:hAnchor="margin" w:xAlign="right" w:y="1"/>
          <w:rPr>
            <w:rStyle w:val="a6"/>
          </w:rPr>
        </w:pPr>
        <w:r>
          <w:rPr>
            <w:rStyle w:val="a6"/>
          </w:rPr>
          <w:fldChar w:fldCharType="begin"/>
        </w:r>
        <w:r>
          <w:rPr>
            <w:rStyle w:val="a6"/>
          </w:rPr>
          <w:instrText xml:space="preserve"> PAGE </w:instrText>
        </w:r>
        <w:r>
          <w:rPr>
            <w:rStyle w:val="a6"/>
          </w:rPr>
          <w:fldChar w:fldCharType="separate"/>
        </w:r>
        <w:r>
          <w:rPr>
            <w:rStyle w:val="a6"/>
            <w:noProof/>
          </w:rPr>
          <w:t>1</w:t>
        </w:r>
        <w:r>
          <w:rPr>
            <w:rStyle w:val="a6"/>
          </w:rPr>
          <w:fldChar w:fldCharType="end"/>
        </w:r>
      </w:p>
    </w:sdtContent>
  </w:sdt>
  <w:p w14:paraId="02881474" w14:textId="77777777" w:rsidR="0052155F" w:rsidRDefault="0052155F" w:rsidP="0052155F">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2D8D7F" w14:textId="77777777" w:rsidR="003A7EB2" w:rsidRDefault="003A7EB2" w:rsidP="0052155F">
      <w:pPr>
        <w:spacing w:before="0" w:after="0"/>
      </w:pPr>
      <w:r>
        <w:separator/>
      </w:r>
    </w:p>
  </w:footnote>
  <w:footnote w:type="continuationSeparator" w:id="0">
    <w:p w14:paraId="77DEC7F0" w14:textId="77777777" w:rsidR="003A7EB2" w:rsidRDefault="003A7EB2" w:rsidP="0052155F">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bordersDoNotSurroundHeader/>
  <w:bordersDoNotSurroundFooter/>
  <w:proofState w:grammar="clean"/>
  <w:defaultTabStop w:val="420"/>
  <w:drawingGridHorizontalSpacing w:val="120"/>
  <w:drawingGridVerticalSpacing w:val="163"/>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7DEB"/>
    <w:rsid w:val="0003693A"/>
    <w:rsid w:val="001B7DEB"/>
    <w:rsid w:val="002068C6"/>
    <w:rsid w:val="0028567D"/>
    <w:rsid w:val="003A7EB2"/>
    <w:rsid w:val="005215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4375D46"/>
  <w15:chartTrackingRefBased/>
  <w15:docId w15:val="{290DEBA8-127F-234D-BD3B-ACF037BEF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B7DEB"/>
    <w:pPr>
      <w:spacing w:before="120" w:after="240"/>
    </w:pPr>
    <w:rPr>
      <w:rFonts w:ascii="Times New Roman" w:hAnsi="Times New Roman"/>
      <w:kern w:val="0"/>
      <w:sz w:val="24"/>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B7D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unhideWhenUsed/>
    <w:rsid w:val="0052155F"/>
    <w:pPr>
      <w:tabs>
        <w:tab w:val="center" w:pos="4153"/>
        <w:tab w:val="right" w:pos="8306"/>
      </w:tabs>
      <w:snapToGrid w:val="0"/>
    </w:pPr>
    <w:rPr>
      <w:sz w:val="18"/>
      <w:szCs w:val="18"/>
    </w:rPr>
  </w:style>
  <w:style w:type="character" w:customStyle="1" w:styleId="a5">
    <w:name w:val="页脚 字符"/>
    <w:basedOn w:val="a0"/>
    <w:link w:val="a4"/>
    <w:uiPriority w:val="99"/>
    <w:rsid w:val="0052155F"/>
    <w:rPr>
      <w:rFonts w:ascii="Times New Roman" w:hAnsi="Times New Roman"/>
      <w:kern w:val="0"/>
      <w:sz w:val="18"/>
      <w:szCs w:val="18"/>
      <w:lang w:eastAsia="en-US"/>
    </w:rPr>
  </w:style>
  <w:style w:type="character" w:styleId="a6">
    <w:name w:val="page number"/>
    <w:basedOn w:val="a0"/>
    <w:uiPriority w:val="99"/>
    <w:semiHidden/>
    <w:unhideWhenUsed/>
    <w:rsid w:val="005215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3168824">
      <w:bodyDiv w:val="1"/>
      <w:marLeft w:val="0"/>
      <w:marRight w:val="0"/>
      <w:marTop w:val="0"/>
      <w:marBottom w:val="0"/>
      <w:divBdr>
        <w:top w:val="none" w:sz="0" w:space="0" w:color="auto"/>
        <w:left w:val="none" w:sz="0" w:space="0" w:color="auto"/>
        <w:bottom w:val="none" w:sz="0" w:space="0" w:color="auto"/>
        <w:right w:val="none" w:sz="0" w:space="0" w:color="auto"/>
      </w:divBdr>
    </w:div>
    <w:div w:id="1071541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7</Pages>
  <Words>2274</Words>
  <Characters>12967</Characters>
  <Application>Microsoft Office Word</Application>
  <DocSecurity>0</DocSecurity>
  <Lines>108</Lines>
  <Paragraphs>30</Paragraphs>
  <ScaleCrop>false</ScaleCrop>
  <Company/>
  <LinksUpToDate>false</LinksUpToDate>
  <CharactersWithSpaces>15211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36919</dc:creator>
  <cp:keywords/>
  <dc:description/>
  <cp:lastModifiedBy>KJJ0429</cp:lastModifiedBy>
  <cp:revision>3</cp:revision>
  <dcterms:created xsi:type="dcterms:W3CDTF">2022-10-30T08:34:00Z</dcterms:created>
  <dcterms:modified xsi:type="dcterms:W3CDTF">2022-10-30T11:38:00Z</dcterms:modified>
</cp:coreProperties>
</file>