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79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2010"/>
        <w:gridCol w:w="2050"/>
      </w:tblGrid>
      <w:tr w:rsidR="00F82383" w14:paraId="371F7612" w14:textId="77777777">
        <w:trPr>
          <w:trHeight w:val="416"/>
        </w:trPr>
        <w:tc>
          <w:tcPr>
            <w:tcW w:w="757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B7335" w14:textId="4E9CDD6D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Table S1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Patient characteristics</w:t>
            </w:r>
            <w:r w:rsidR="00D647F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647F4">
              <w:rPr>
                <w:rFonts w:ascii="Times New Roman" w:hAnsi="Times New Roman" w:cs="Times New Roman" w:hint="eastAsia"/>
                <w:b/>
                <w:sz w:val="24"/>
              </w:rPr>
              <w:t>for</w:t>
            </w:r>
            <w:r w:rsidR="00D647F4">
              <w:rPr>
                <w:rFonts w:ascii="Times New Roman" w:hAnsi="Times New Roman" w:cs="Times New Roman"/>
                <w:b/>
                <w:sz w:val="24"/>
              </w:rPr>
              <w:t xml:space="preserve"> whole group</w:t>
            </w:r>
          </w:p>
        </w:tc>
      </w:tr>
      <w:tr w:rsidR="00F82383" w14:paraId="34E7984A" w14:textId="77777777">
        <w:trPr>
          <w:trHeight w:val="416"/>
        </w:trPr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0164C2" w14:textId="77777777" w:rsidR="00F82383" w:rsidRDefault="00F8238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83469C" w14:textId="77777777" w:rsidR="00F82383" w:rsidRDefault="00714E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N=17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8AA3C" w14:textId="77777777" w:rsidR="00F82383" w:rsidRDefault="00714E3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</w:tr>
      <w:tr w:rsidR="00F82383" w14:paraId="56CA2D21" w14:textId="77777777">
        <w:trPr>
          <w:trHeight w:val="416"/>
        </w:trPr>
        <w:tc>
          <w:tcPr>
            <w:tcW w:w="351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A1637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Age</w:t>
            </w: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C312D2" w14:textId="77777777" w:rsidR="00F82383" w:rsidRDefault="00F82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B5F022" w14:textId="77777777" w:rsidR="00F82383" w:rsidRDefault="00F82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383" w14:paraId="4EBEEC29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323098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Medium (range)</w:t>
            </w:r>
          </w:p>
        </w:tc>
        <w:tc>
          <w:tcPr>
            <w:tcW w:w="4060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EF663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 (range, 58–87)</w:t>
            </w:r>
          </w:p>
        </w:tc>
      </w:tr>
      <w:tr w:rsidR="00F82383" w14:paraId="1982B933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76C394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PSA (ng/ml)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39C0B6" w14:textId="77777777" w:rsidR="00F82383" w:rsidRDefault="00F82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2C594" w14:textId="77777777" w:rsidR="00F82383" w:rsidRDefault="00F823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383" w14:paraId="2B8737C1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07ABB9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≤10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53BC04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6096D6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29.41</w:t>
            </w:r>
          </w:p>
        </w:tc>
      </w:tr>
      <w:tr w:rsidR="00F82383" w14:paraId="62ACFFF5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72C0CD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&gt;10 &amp; ≤20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B6292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E15CAB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29.41</w:t>
            </w:r>
          </w:p>
        </w:tc>
      </w:tr>
      <w:tr w:rsidR="00F82383" w14:paraId="0C5E93FC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45351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&gt;20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5D00D3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F5738C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41.18</w:t>
            </w:r>
          </w:p>
        </w:tc>
      </w:tr>
      <w:tr w:rsidR="00F82383" w14:paraId="375FC9D4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5FE106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Risk group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4858AE" w14:textId="77777777" w:rsidR="00F82383" w:rsidRDefault="00F8238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7ED936" w14:textId="77777777" w:rsidR="00F82383" w:rsidRDefault="00F8238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F82383" w14:paraId="09CA0291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CEA25A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Low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375CD1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F09D28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11.76</w:t>
            </w:r>
          </w:p>
        </w:tc>
      </w:tr>
      <w:tr w:rsidR="00F82383" w14:paraId="138736B9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D131E5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Intermediate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3E107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CA448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70.59</w:t>
            </w:r>
          </w:p>
        </w:tc>
      </w:tr>
      <w:tr w:rsidR="00F82383" w14:paraId="6FF251AE" w14:textId="77777777">
        <w:trPr>
          <w:trHeight w:val="416"/>
        </w:trPr>
        <w:tc>
          <w:tcPr>
            <w:tcW w:w="351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4B2582" w14:textId="77777777" w:rsidR="00F82383" w:rsidRDefault="00714E3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High</w:t>
            </w:r>
          </w:p>
        </w:tc>
        <w:tc>
          <w:tcPr>
            <w:tcW w:w="20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ABEF2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AC3822" w14:textId="77777777" w:rsidR="00F82383" w:rsidRDefault="00714E3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17.64</w:t>
            </w:r>
          </w:p>
        </w:tc>
      </w:tr>
    </w:tbl>
    <w:p w14:paraId="3E347E8A" w14:textId="77777777" w:rsidR="00F82383" w:rsidRDefault="00F82383">
      <w:pPr>
        <w:widowControl/>
        <w:jc w:val="left"/>
      </w:pPr>
    </w:p>
    <w:p w14:paraId="7EE7578F" w14:textId="77777777" w:rsidR="00F82383" w:rsidRDefault="00F82383"/>
    <w:p w14:paraId="0C170A94" w14:textId="77777777" w:rsidR="00F82383" w:rsidRDefault="00F82383"/>
    <w:p w14:paraId="6AFD8C88" w14:textId="77777777" w:rsidR="00F82383" w:rsidRDefault="00F82383"/>
    <w:p w14:paraId="1C052329" w14:textId="77777777" w:rsidR="00F82383" w:rsidRDefault="00714E38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0C22A926" w14:textId="77777777" w:rsidR="00F82383" w:rsidRDefault="00714E38">
      <w:pPr>
        <w:spacing w:line="480" w:lineRule="auto"/>
        <w:rPr>
          <w:rFonts w:ascii="Times New Roman Bold" w:hAnsi="Times New Roman Bold" w:cs="Times New Roman Bold"/>
          <w:b/>
          <w:bCs/>
          <w:sz w:val="22"/>
          <w:szCs w:val="22"/>
        </w:rPr>
      </w:pPr>
      <w:r>
        <w:rPr>
          <w:rFonts w:ascii="Times New Roman Bold" w:hAnsi="Times New Roman Bold" w:cs="Times New Roman Bold"/>
          <w:b/>
          <w:bCs/>
          <w:sz w:val="24"/>
        </w:rPr>
        <w:lastRenderedPageBreak/>
        <w:t>Table S</w:t>
      </w:r>
      <w:proofErr w:type="gramStart"/>
      <w:r>
        <w:rPr>
          <w:rFonts w:ascii="Times New Roman Bold" w:hAnsi="Times New Roman Bold" w:cs="Times New Roman Bold"/>
          <w:b/>
          <w:bCs/>
          <w:sz w:val="24"/>
        </w:rPr>
        <w:t xml:space="preserve">2  </w:t>
      </w:r>
      <w:r>
        <w:rPr>
          <w:rFonts w:ascii="Times New Roman Bold" w:hAnsi="Times New Roman Bold" w:cs="Times New Roman Bold"/>
          <w:b/>
          <w:bCs/>
          <w:sz w:val="22"/>
          <w:szCs w:val="22"/>
        </w:rPr>
        <w:t>Target</w:t>
      </w:r>
      <w:proofErr w:type="gramEnd"/>
      <w:r>
        <w:rPr>
          <w:rFonts w:ascii="Times New Roman Bold" w:hAnsi="Times New Roman Bold" w:cs="Times New Roman Bold"/>
          <w:b/>
          <w:bCs/>
          <w:sz w:val="22"/>
          <w:szCs w:val="22"/>
        </w:rPr>
        <w:t xml:space="preserve"> volume dose prescription and OAR constraints for the UHF-RT</w:t>
      </w:r>
    </w:p>
    <w:p w14:paraId="28BFD4B2" w14:textId="77777777" w:rsidR="00F82383" w:rsidRDefault="00F82383">
      <w:pPr>
        <w:jc w:val="left"/>
        <w:rPr>
          <w:rFonts w:ascii="Times New Roman" w:hAnsi="Times New Roman" w:cs="Times New Roman"/>
          <w:b/>
          <w:bCs/>
          <w:sz w:val="24"/>
        </w:rPr>
      </w:pPr>
    </w:p>
    <w:tbl>
      <w:tblPr>
        <w:tblpPr w:leftFromText="180" w:rightFromText="180" w:vertAnchor="page" w:horzAnchor="margin" w:tblpY="2638"/>
        <w:tblW w:w="9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3075"/>
        <w:gridCol w:w="2770"/>
      </w:tblGrid>
      <w:tr w:rsidR="00F82383" w14:paraId="55A05BC5" w14:textId="77777777">
        <w:trPr>
          <w:trHeight w:val="478"/>
        </w:trPr>
        <w:tc>
          <w:tcPr>
            <w:tcW w:w="3218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F8BDA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Target coverage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50636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70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BBFB31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82383" w14:paraId="26CE819B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6DA9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CTV4000</w:t>
            </w: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49EBF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100% (40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)</w:t>
            </w: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AE19F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&gt;95%</w:t>
            </w:r>
          </w:p>
        </w:tc>
      </w:tr>
      <w:tr w:rsidR="00F82383" w14:paraId="5EDF92C8" w14:textId="77777777">
        <w:trPr>
          <w:trHeight w:val="478"/>
        </w:trPr>
        <w:tc>
          <w:tcPr>
            <w:tcW w:w="3218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EDFEA" w14:textId="77777777" w:rsidR="00F82383" w:rsidRDefault="00714E38">
            <w:pPr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CTV</w:t>
            </w:r>
          </w:p>
        </w:tc>
        <w:tc>
          <w:tcPr>
            <w:tcW w:w="3075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0EE38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100% (36.25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)</w:t>
            </w:r>
          </w:p>
        </w:tc>
        <w:tc>
          <w:tcPr>
            <w:tcW w:w="2770" w:type="dxa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EFCEDB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&gt;95%</w:t>
            </w:r>
          </w:p>
        </w:tc>
      </w:tr>
      <w:tr w:rsidR="00F82383" w14:paraId="73602A93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ED9B9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36A98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95% (34.44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)</w:t>
            </w: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D21A3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&gt;99%</w:t>
            </w:r>
          </w:p>
        </w:tc>
      </w:tr>
      <w:tr w:rsidR="00F82383" w14:paraId="74FC4A73" w14:textId="77777777">
        <w:trPr>
          <w:trHeight w:val="478"/>
        </w:trPr>
        <w:tc>
          <w:tcPr>
            <w:tcW w:w="321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E4ABA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PTV</w:t>
            </w: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5AF31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100% (36.25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)</w:t>
            </w: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EBAAD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&gt;95%</w:t>
            </w:r>
          </w:p>
        </w:tc>
      </w:tr>
      <w:tr w:rsidR="00F82383" w14:paraId="2CA7AE47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1022F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D87D6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95% (34.44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)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0F083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&gt;98%</w:t>
            </w:r>
          </w:p>
        </w:tc>
      </w:tr>
      <w:tr w:rsidR="00F82383" w14:paraId="7BD07D85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5A7B8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OAR constrains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01417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5F6C75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F82383" w14:paraId="052A80ED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604A" w14:textId="092DC729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Rect</w:t>
            </w:r>
            <w:r w:rsidR="000B2EED">
              <w:rPr>
                <w:rFonts w:ascii="Times New Roman" w:hAnsi="Times New Roman" w:cs="Times New Roman"/>
                <w:sz w:val="24"/>
              </w:rPr>
              <w:t xml:space="preserve">al </w:t>
            </w:r>
            <w:r>
              <w:rPr>
                <w:rFonts w:ascii="Times New Roman" w:hAnsi="Times New Roman" w:cs="Times New Roman"/>
                <w:sz w:val="24"/>
              </w:rPr>
              <w:t>wall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B6ABDB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38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BDA82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&lt;0.1cc</w:t>
            </w:r>
          </w:p>
        </w:tc>
      </w:tr>
      <w:tr w:rsidR="00F82383" w14:paraId="577F6E51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0B374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13B31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max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8764E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&lt;40Gy</w:t>
            </w:r>
          </w:p>
        </w:tc>
      </w:tr>
      <w:tr w:rsidR="00F82383" w14:paraId="45E772B2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80D6A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77C3E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36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61D1C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&lt;1cc</w:t>
            </w:r>
          </w:p>
        </w:tc>
      </w:tr>
      <w:tr w:rsidR="00F82383" w14:paraId="6D77DC25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7E0FE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F514F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29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EFFCB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&lt;20%</w:t>
            </w:r>
          </w:p>
        </w:tc>
      </w:tr>
      <w:tr w:rsidR="00F82383" w14:paraId="5F41E3E7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569A2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3ECC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18.1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FF4DF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&lt;50%</w:t>
            </w:r>
          </w:p>
        </w:tc>
      </w:tr>
      <w:tr w:rsidR="00F82383" w14:paraId="2C9E7831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10D66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Rectum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C0541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36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26A8C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&lt;1cc</w:t>
            </w:r>
          </w:p>
        </w:tc>
      </w:tr>
      <w:tr w:rsidR="00F82383" w14:paraId="53CBCA41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5C90A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E6B48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6A383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&lt;20%</w:t>
            </w:r>
          </w:p>
        </w:tc>
      </w:tr>
      <w:tr w:rsidR="00F82383" w14:paraId="0EF6C3D9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B0E82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86479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18.1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3483A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&lt;50%</w:t>
            </w:r>
          </w:p>
        </w:tc>
      </w:tr>
      <w:tr w:rsidR="00F82383" w14:paraId="20A28F85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C4092A" w14:textId="3C3E3521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Bladder</w:t>
            </w:r>
            <w:r w:rsidR="000B2E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wall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065FA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37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4F9DF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&lt;10cc</w:t>
            </w:r>
          </w:p>
        </w:tc>
      </w:tr>
      <w:tr w:rsidR="00F82383" w14:paraId="35396C31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89AF0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CB6D1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18.1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CE2A4C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&lt;40%</w:t>
            </w:r>
          </w:p>
        </w:tc>
      </w:tr>
      <w:tr w:rsidR="00F82383" w14:paraId="7EF46AC0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871AF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Bladder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E3744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37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B0CBC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&lt;10cc</w:t>
            </w:r>
          </w:p>
        </w:tc>
      </w:tr>
      <w:tr w:rsidR="00F82383" w14:paraId="26546302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3BAB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DC298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18.1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F3942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&lt;40%</w:t>
            </w:r>
          </w:p>
        </w:tc>
      </w:tr>
      <w:tr w:rsidR="00F82383" w14:paraId="49869F78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708E4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Urethra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CB90B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50%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3A6E6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&lt;41Gy</w:t>
            </w:r>
          </w:p>
        </w:tc>
      </w:tr>
      <w:tr w:rsidR="00F82383" w14:paraId="6F1EEA85" w14:textId="77777777">
        <w:trPr>
          <w:trHeight w:val="478"/>
        </w:trPr>
        <w:tc>
          <w:tcPr>
            <w:tcW w:w="32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0973C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Femur R/L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6AE11" w14:textId="77777777" w:rsidR="00F82383" w:rsidRDefault="00714E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 xml:space="preserve">14.5 </w:t>
            </w:r>
            <w:proofErr w:type="spellStart"/>
            <w:r w:rsidRPr="00714E38">
              <w:rPr>
                <w:rFonts w:ascii="Times New Roman" w:hAnsi="Times New Roman" w:cs="Times New Roman"/>
                <w:sz w:val="24"/>
                <w:vertAlign w:val="subscript"/>
              </w:rPr>
              <w:t>Gy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090C7" w14:textId="77777777" w:rsidR="00F82383" w:rsidRDefault="00714E38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&lt;5%</w:t>
            </w:r>
          </w:p>
        </w:tc>
      </w:tr>
    </w:tbl>
    <w:p w14:paraId="1017F46B" w14:textId="77777777" w:rsidR="00F82383" w:rsidRDefault="00F82383"/>
    <w:p w14:paraId="02086958" w14:textId="77777777" w:rsidR="00F82383" w:rsidRDefault="00F82383"/>
    <w:p w14:paraId="17BDF87D" w14:textId="77777777" w:rsidR="00F82383" w:rsidRDefault="00F82383"/>
    <w:p w14:paraId="6DF28AA2" w14:textId="77777777" w:rsidR="00F82383" w:rsidRDefault="00F82383"/>
    <w:p w14:paraId="0CBD54AD" w14:textId="77777777" w:rsidR="00F82383" w:rsidRDefault="00F82383"/>
    <w:p w14:paraId="56663302" w14:textId="77777777" w:rsidR="00F82383" w:rsidRDefault="00F82383"/>
    <w:p w14:paraId="29BFBC7A" w14:textId="77777777" w:rsidR="00F82383" w:rsidRDefault="00F82383"/>
    <w:p w14:paraId="3BAE6B9D" w14:textId="77777777" w:rsidR="00F82383" w:rsidRDefault="00F82383"/>
    <w:p w14:paraId="2D6330F7" w14:textId="77777777" w:rsidR="00F82383" w:rsidRDefault="00F82383"/>
    <w:p w14:paraId="515A3FC8" w14:textId="77777777" w:rsidR="00F82383" w:rsidRDefault="00F82383"/>
    <w:p w14:paraId="0E4DC383" w14:textId="77777777" w:rsidR="00F82383" w:rsidRDefault="00F82383">
      <w:pPr>
        <w:jc w:val="left"/>
      </w:pPr>
    </w:p>
    <w:p w14:paraId="585222A0" w14:textId="77777777" w:rsidR="00F82383" w:rsidRDefault="00F82383">
      <w:pPr>
        <w:ind w:firstLineChars="200" w:firstLine="420"/>
      </w:pPr>
    </w:p>
    <w:p w14:paraId="62072A24" w14:textId="77777777" w:rsidR="00F82383" w:rsidRDefault="00714E38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47E894FF" w14:textId="77777777" w:rsidR="00F82383" w:rsidRDefault="00714E38">
      <w:pPr>
        <w:widowControl/>
        <w:jc w:val="left"/>
        <w:rPr>
          <w:rFonts w:ascii="Times New Roman" w:eastAsia="DengXian" w:hAnsi="Times New Roman" w:cs="Times New Roman"/>
          <w:b/>
          <w:bCs/>
          <w:sz w:val="24"/>
        </w:rPr>
      </w:pPr>
      <w:r>
        <w:rPr>
          <w:rFonts w:ascii="Times New Roman" w:eastAsia="DengXian" w:hAnsi="Times New Roman" w:cs="Times New Roman"/>
          <w:b/>
          <w:bCs/>
          <w:sz w:val="24"/>
        </w:rPr>
        <w:lastRenderedPageBreak/>
        <w:t xml:space="preserve">Table </w:t>
      </w:r>
      <w:r>
        <w:rPr>
          <w:rFonts w:ascii="Times New Roman" w:eastAsia="DengXian" w:hAnsi="Times New Roman" w:cs="Times New Roman" w:hint="eastAsia"/>
          <w:b/>
          <w:bCs/>
          <w:sz w:val="24"/>
        </w:rPr>
        <w:t>S</w:t>
      </w:r>
      <w:proofErr w:type="gramStart"/>
      <w:r>
        <w:rPr>
          <w:rFonts w:ascii="Times New Roman" w:eastAsia="DengXian" w:hAnsi="Times New Roman" w:cs="Times New Roman" w:hint="eastAsia"/>
          <w:b/>
          <w:bCs/>
          <w:sz w:val="24"/>
        </w:rPr>
        <w:t xml:space="preserve">3 </w:t>
      </w:r>
      <w:r>
        <w:rPr>
          <w:rFonts w:ascii="Times New Roman" w:eastAsia="DengXian" w:hAnsi="Times New Roman" w:cs="Times New Roman"/>
          <w:b/>
          <w:bCs/>
          <w:sz w:val="24"/>
        </w:rPr>
        <w:t xml:space="preserve"> </w:t>
      </w:r>
      <w:r>
        <w:rPr>
          <w:rFonts w:ascii="Times New Roman" w:eastAsia="DengXian" w:hAnsi="Times New Roman" w:cs="Times New Roman" w:hint="eastAsia"/>
          <w:b/>
          <w:bCs/>
          <w:sz w:val="24"/>
        </w:rPr>
        <w:t>Volumes</w:t>
      </w:r>
      <w:proofErr w:type="gramEnd"/>
      <w:r>
        <w:rPr>
          <w:rFonts w:ascii="Times New Roman" w:eastAsia="DengXian" w:hAnsi="Times New Roman" w:cs="Times New Roman" w:hint="eastAsia"/>
          <w:b/>
          <w:bCs/>
          <w:sz w:val="24"/>
        </w:rPr>
        <w:t xml:space="preserve"> of all </w:t>
      </w:r>
      <w:r>
        <w:rPr>
          <w:rFonts w:ascii="Times New Roman" w:eastAsia="DengXian" w:hAnsi="Times New Roman" w:cs="Times New Roman"/>
          <w:b/>
          <w:bCs/>
          <w:sz w:val="24"/>
        </w:rPr>
        <w:t>Target</w:t>
      </w:r>
      <w:r>
        <w:rPr>
          <w:rFonts w:ascii="Times New Roman" w:eastAsia="DengXian" w:hAnsi="Times New Roman" w:cs="Times New Roman" w:hint="eastAsia"/>
          <w:b/>
          <w:bCs/>
          <w:sz w:val="24"/>
        </w:rPr>
        <w:t>s</w:t>
      </w:r>
      <w:r>
        <w:rPr>
          <w:rFonts w:ascii="Times New Roman" w:eastAsia="DengXian" w:hAnsi="Times New Roman" w:cs="Times New Roman"/>
          <w:b/>
          <w:bCs/>
          <w:sz w:val="24"/>
        </w:rPr>
        <w:t xml:space="preserve"> and organ</w:t>
      </w:r>
      <w:r>
        <w:rPr>
          <w:rFonts w:ascii="Times New Roman" w:eastAsia="DengXian" w:hAnsi="Times New Roman" w:cs="Times New Roman" w:hint="eastAsia"/>
          <w:b/>
          <w:bCs/>
          <w:sz w:val="24"/>
        </w:rPr>
        <w:t>s</w:t>
      </w:r>
      <w:r>
        <w:rPr>
          <w:rFonts w:ascii="Times New Roman" w:eastAsia="DengXian" w:hAnsi="Times New Roman" w:cs="Times New Roman"/>
          <w:b/>
          <w:bCs/>
          <w:sz w:val="24"/>
        </w:rPr>
        <w:t xml:space="preserve"> at risk</w:t>
      </w:r>
      <w:r>
        <w:rPr>
          <w:rFonts w:ascii="Times New Roman" w:eastAsia="DengXian" w:hAnsi="Times New Roman" w:cs="Times New Roman" w:hint="eastAsia"/>
          <w:b/>
          <w:bCs/>
          <w:sz w:val="24"/>
        </w:rPr>
        <w:t xml:space="preserve"> on each scan</w:t>
      </w:r>
    </w:p>
    <w:tbl>
      <w:tblPr>
        <w:tblW w:w="15588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973"/>
        <w:gridCol w:w="2020"/>
        <w:gridCol w:w="973"/>
        <w:gridCol w:w="2029"/>
        <w:gridCol w:w="1101"/>
        <w:gridCol w:w="2047"/>
        <w:gridCol w:w="1101"/>
        <w:gridCol w:w="2050"/>
      </w:tblGrid>
      <w:tr w:rsidR="00F82383" w14:paraId="2CEA189C" w14:textId="77777777">
        <w:trPr>
          <w:trHeight w:val="732"/>
          <w:jc w:val="center"/>
        </w:trPr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8E662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B1F1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ATS Plan (n=85)</w:t>
            </w:r>
          </w:p>
          <w:p w14:paraId="1C044E89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Median (range)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45927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PV scan (n=85)</w:t>
            </w:r>
          </w:p>
          <w:p w14:paraId="440FED7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Median (range)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16B8B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Beam-on scan (n=49)</w:t>
            </w:r>
          </w:p>
          <w:p w14:paraId="2CBA0CD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Median (range)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8A85D0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Post scan (n=71)</w:t>
            </w:r>
          </w:p>
          <w:p w14:paraId="753C7F3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Median (range)</w:t>
            </w:r>
          </w:p>
        </w:tc>
      </w:tr>
      <w:tr w:rsidR="00F82383" w14:paraId="1B62AFA0" w14:textId="77777777">
        <w:trPr>
          <w:trHeight w:val="732"/>
          <w:jc w:val="center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BEDD3C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PTV volume (cc)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3A01F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91.45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6B33C8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(57.25—137.52)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AE5693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91.67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3C13DB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(56.29—138.98)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D272DA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90.74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8CFB2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(57.10—138.91)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8CA8F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90.71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3BE23B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(58.45—134.86)</w:t>
            </w:r>
          </w:p>
        </w:tc>
      </w:tr>
      <w:tr w:rsidR="00F82383" w14:paraId="19A8D149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85DD3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Δ PTV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4332E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C4926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FDB0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0.22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71C55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(-4.0—6.22)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6C917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0.18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338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(-3.12—3.47)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E700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-0.44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6A6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(-3.06—-2.70)</w:t>
            </w:r>
          </w:p>
        </w:tc>
      </w:tr>
      <w:tr w:rsidR="00F82383" w14:paraId="181F7F3C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19064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CTV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D5958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58.29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591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(34.89—94.95)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C86B3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58.60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860B7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(34.21—95.94)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FE3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58.67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00EA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(34.73—94.66)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EE1C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58.11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76EBA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(35.26—94.61)</w:t>
            </w:r>
          </w:p>
        </w:tc>
      </w:tr>
      <w:tr w:rsidR="00F82383" w14:paraId="0C030179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0D3FA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Δ CTV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0DF1F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7A6C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14E6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0.31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87F75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(-2.96—2.94)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E8963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0.25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98BA8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(-1.70—2.71)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8D10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0.10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38144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(-2.07—2.61)</w:t>
            </w:r>
          </w:p>
        </w:tc>
      </w:tr>
      <w:tr w:rsidR="00F82383" w14:paraId="7D7C0C9A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C247E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Prostate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0F60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39.25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295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(22.98—66.71)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BAA2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39.39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898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(22.41—67.99)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BF70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40.75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1D88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(22.78—67.56)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DC530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38.72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70B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(22.85—65.75)</w:t>
            </w:r>
          </w:p>
        </w:tc>
      </w:tr>
      <w:tr w:rsidR="00F82383" w14:paraId="3A768D07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C7026" w14:textId="11329135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Δ</w:t>
            </w:r>
            <w:r w:rsidR="000B2EED">
              <w:rPr>
                <w:rFonts w:ascii="Times New Roman" w:eastAsia="DengXian" w:hAnsi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Prostate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7338D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8894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863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0.14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777E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(-1.22—2.04)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878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0.10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D1ED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(-1.49—2.33)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5DAA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0.10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3093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(-1.85—1.92)</w:t>
            </w:r>
          </w:p>
        </w:tc>
      </w:tr>
      <w:tr w:rsidR="00F82383" w14:paraId="75F8F4D3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D28E5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CTV4000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6D3DA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30.81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A1302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(17.47—55.36)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81222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30.91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C9D7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(16.97—56.46)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17C0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31.71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0E3C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(17.28—55.87)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00A97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30.55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2F188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(17.32—56.10)</w:t>
            </w:r>
          </w:p>
        </w:tc>
      </w:tr>
      <w:tr w:rsidR="00F82383" w14:paraId="22461B60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D53DC2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Δ CTV4000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F261A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57935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79DD9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0.10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F857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(-3.06—3.03)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10FC3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0.09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66F47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(-1.75—1.79)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7BC8D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0.30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4B2F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(-3.32—4.94)</w:t>
            </w:r>
          </w:p>
        </w:tc>
      </w:tr>
      <w:tr w:rsidR="00F82383" w14:paraId="6EA12E1C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4E86B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Rectum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55A1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39.94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082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(19.15—84.33)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DBE8B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41.65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AB32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(21.38—85.47)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68B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43.23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C2BB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(27.73—84.18)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6B88A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42.07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7FE5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(25.05—79.31)</w:t>
            </w:r>
          </w:p>
        </w:tc>
      </w:tr>
      <w:tr w:rsidR="00F82383" w14:paraId="2B2BC781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2D1AC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lastRenderedPageBreak/>
              <w:t>Δ Rectum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283BC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48B61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D809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1.59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3BC44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(-7.39—34.41)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A653B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2.37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A4AD3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(-22.58—40.10)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53195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1.37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BEC0E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(-25.03—34.20)</w:t>
            </w:r>
          </w:p>
        </w:tc>
      </w:tr>
      <w:tr w:rsidR="00F82383" w14:paraId="349A8EC6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1616D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Bladder volume (cc)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369F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172.74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4FAA1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(58.55—420.45)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FBA6A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256.55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8319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(74.89—592.38)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52309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312.34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DD8A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(81.50—630.13)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43FA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310.27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5A869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(91.93—650.67)</w:t>
            </w:r>
          </w:p>
        </w:tc>
      </w:tr>
      <w:tr w:rsidR="00F82383" w14:paraId="0FECB6F4" w14:textId="77777777">
        <w:trPr>
          <w:trHeight w:val="732"/>
          <w:jc w:val="center"/>
        </w:trPr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641879" w14:textId="77777777" w:rsidR="00F82383" w:rsidRDefault="00714E38">
            <w:pPr>
              <w:widowControl/>
              <w:jc w:val="left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</w:rPr>
              <w:t>Δ Bladder volume (cc)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0BABEE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F985D" w14:textId="77777777" w:rsidR="00F82383" w:rsidRDefault="00F82383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14E586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83.96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B6394C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(4.11—343.02)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C0D680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136.75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1C7B0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(19.18—363.88)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686F4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140.36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F3F437" w14:textId="77777777" w:rsidR="00F82383" w:rsidRDefault="00714E38">
            <w:pPr>
              <w:widowControl/>
              <w:jc w:val="center"/>
              <w:rPr>
                <w:rFonts w:ascii="Times New Roman" w:eastAsia="DengXian" w:hAnsi="Times New Roman" w:cs="Times New Roman"/>
                <w:sz w:val="24"/>
              </w:rPr>
            </w:pPr>
            <w:r>
              <w:rPr>
                <w:rFonts w:ascii="Times New Roman" w:eastAsia="DengXian" w:hAnsi="Times New Roman" w:cs="Times New Roman"/>
                <w:sz w:val="24"/>
              </w:rPr>
              <w:t>(-0.91—405.83)</w:t>
            </w:r>
          </w:p>
        </w:tc>
      </w:tr>
    </w:tbl>
    <w:p w14:paraId="0733615F" w14:textId="77777777" w:rsidR="00F82383" w:rsidRDefault="00714E38">
      <w:pPr>
        <w:widowControl/>
        <w:jc w:val="left"/>
        <w:rPr>
          <w:rFonts w:ascii="Times New Roman" w:eastAsia="DengXian" w:hAnsi="Times New Roman" w:cs="Times New Roman"/>
          <w:b/>
          <w:bCs/>
          <w:sz w:val="24"/>
        </w:rPr>
      </w:pPr>
      <w:r>
        <w:rPr>
          <w:rFonts w:ascii="Times New Roman" w:eastAsia="DengXian" w:hAnsi="Times New Roman" w:cs="Times New Roman" w:hint="eastAsia"/>
          <w:b/>
          <w:bCs/>
          <w:sz w:val="24"/>
        </w:rPr>
        <w:t xml:space="preserve"> </w:t>
      </w:r>
    </w:p>
    <w:p w14:paraId="592B2BDD" w14:textId="77777777" w:rsidR="00F82383" w:rsidRDefault="00714E38">
      <w:pPr>
        <w:rPr>
          <w:rFonts w:ascii="DengXian" w:eastAsia="DengXian" w:hAnsi="DengXian" w:cs="Times New Roman"/>
          <w:szCs w:val="21"/>
        </w:rPr>
      </w:pPr>
      <w:r>
        <w:rPr>
          <w:rFonts w:ascii="Times New Roman" w:eastAsia="DengXian" w:hAnsi="Times New Roman" w:cs="Times New Roman"/>
          <w:b/>
          <w:bCs/>
          <w:sz w:val="24"/>
        </w:rPr>
        <w:t xml:space="preserve">Δ: Volume Differences compared to </w:t>
      </w:r>
      <w:r>
        <w:rPr>
          <w:rFonts w:ascii="Times New Roman" w:eastAsia="DengXian" w:hAnsi="Times New Roman" w:cs="Times New Roman" w:hint="eastAsia"/>
          <w:b/>
          <w:bCs/>
          <w:sz w:val="24"/>
        </w:rPr>
        <w:t>The Corresponding Original</w:t>
      </w:r>
      <w:r>
        <w:rPr>
          <w:rFonts w:ascii="Times New Roman" w:eastAsia="DengXian" w:hAnsi="Times New Roman" w:cs="Times New Roman"/>
          <w:b/>
          <w:bCs/>
          <w:sz w:val="24"/>
        </w:rPr>
        <w:t xml:space="preserve"> ATS Plan</w:t>
      </w:r>
    </w:p>
    <w:p w14:paraId="683E9985" w14:textId="77777777" w:rsidR="00F82383" w:rsidRDefault="00714E38">
      <w:pPr>
        <w:rPr>
          <w:rFonts w:ascii="Times New Roman" w:eastAsia="DengXian" w:hAnsi="Times New Roman" w:cs="Times New Roman"/>
          <w:b/>
          <w:bCs/>
          <w:sz w:val="24"/>
        </w:rPr>
      </w:pPr>
      <w:r>
        <w:rPr>
          <w:rFonts w:ascii="Times New Roman" w:eastAsia="DengXian" w:hAnsi="Times New Roman" w:cs="Times New Roman"/>
          <w:b/>
          <w:bCs/>
          <w:sz w:val="24"/>
        </w:rPr>
        <w:t xml:space="preserve"> </w:t>
      </w:r>
    </w:p>
    <w:p w14:paraId="44947429" w14:textId="77777777" w:rsidR="00F82383" w:rsidRDefault="00F82383"/>
    <w:sectPr w:rsidR="00F82383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7A79" w14:textId="77777777" w:rsidR="00B057E4" w:rsidRDefault="00B057E4" w:rsidP="00C2784C">
      <w:r>
        <w:separator/>
      </w:r>
    </w:p>
  </w:endnote>
  <w:endnote w:type="continuationSeparator" w:id="0">
    <w:p w14:paraId="13925F0F" w14:textId="77777777" w:rsidR="00B057E4" w:rsidRDefault="00B057E4" w:rsidP="00C2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modern"/>
    <w:pitch w:val="fixed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771A" w14:textId="77777777" w:rsidR="00B057E4" w:rsidRDefault="00B057E4" w:rsidP="00C2784C">
      <w:r>
        <w:separator/>
      </w:r>
    </w:p>
  </w:footnote>
  <w:footnote w:type="continuationSeparator" w:id="0">
    <w:p w14:paraId="72D7C3B9" w14:textId="77777777" w:rsidR="00B057E4" w:rsidRDefault="00B057E4" w:rsidP="00C27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03"/>
    <w:rsid w:val="B9F731C5"/>
    <w:rsid w:val="BFFB6B26"/>
    <w:rsid w:val="00013ACF"/>
    <w:rsid w:val="000401A0"/>
    <w:rsid w:val="00043124"/>
    <w:rsid w:val="0005272B"/>
    <w:rsid w:val="000536C6"/>
    <w:rsid w:val="000624C5"/>
    <w:rsid w:val="00074B8B"/>
    <w:rsid w:val="000A6829"/>
    <w:rsid w:val="000B2EED"/>
    <w:rsid w:val="000C591C"/>
    <w:rsid w:val="000D0945"/>
    <w:rsid w:val="000D3554"/>
    <w:rsid w:val="000E799D"/>
    <w:rsid w:val="00100E45"/>
    <w:rsid w:val="00104606"/>
    <w:rsid w:val="00113A75"/>
    <w:rsid w:val="0012063B"/>
    <w:rsid w:val="00143D53"/>
    <w:rsid w:val="00153D28"/>
    <w:rsid w:val="00164440"/>
    <w:rsid w:val="001774A4"/>
    <w:rsid w:val="001846F1"/>
    <w:rsid w:val="001A5F8D"/>
    <w:rsid w:val="001D4ECB"/>
    <w:rsid w:val="00200D1B"/>
    <w:rsid w:val="00220FEB"/>
    <w:rsid w:val="00221802"/>
    <w:rsid w:val="002309F1"/>
    <w:rsid w:val="00242EA4"/>
    <w:rsid w:val="00286BB3"/>
    <w:rsid w:val="002A15D4"/>
    <w:rsid w:val="002A1736"/>
    <w:rsid w:val="002B0BCB"/>
    <w:rsid w:val="002D4A35"/>
    <w:rsid w:val="00324794"/>
    <w:rsid w:val="00334DC7"/>
    <w:rsid w:val="00363A23"/>
    <w:rsid w:val="00376003"/>
    <w:rsid w:val="003764A4"/>
    <w:rsid w:val="003A5BCA"/>
    <w:rsid w:val="003B3F27"/>
    <w:rsid w:val="003C4CA7"/>
    <w:rsid w:val="003C7225"/>
    <w:rsid w:val="003F671A"/>
    <w:rsid w:val="00444AB3"/>
    <w:rsid w:val="00453CC7"/>
    <w:rsid w:val="004557EB"/>
    <w:rsid w:val="00461E65"/>
    <w:rsid w:val="004A1107"/>
    <w:rsid w:val="004B75D5"/>
    <w:rsid w:val="004D474A"/>
    <w:rsid w:val="00500B50"/>
    <w:rsid w:val="005058FC"/>
    <w:rsid w:val="0052078A"/>
    <w:rsid w:val="00523204"/>
    <w:rsid w:val="00563A11"/>
    <w:rsid w:val="005850A6"/>
    <w:rsid w:val="00592D39"/>
    <w:rsid w:val="005A01F6"/>
    <w:rsid w:val="005C2086"/>
    <w:rsid w:val="005C4030"/>
    <w:rsid w:val="005C7803"/>
    <w:rsid w:val="005D255B"/>
    <w:rsid w:val="005E0ECA"/>
    <w:rsid w:val="005E4A8C"/>
    <w:rsid w:val="005E58C2"/>
    <w:rsid w:val="00640050"/>
    <w:rsid w:val="00670540"/>
    <w:rsid w:val="00691504"/>
    <w:rsid w:val="00696F14"/>
    <w:rsid w:val="006C6ED8"/>
    <w:rsid w:val="006C78D1"/>
    <w:rsid w:val="006D48EE"/>
    <w:rsid w:val="006F29EE"/>
    <w:rsid w:val="006F6F91"/>
    <w:rsid w:val="00705697"/>
    <w:rsid w:val="00710E16"/>
    <w:rsid w:val="00711C48"/>
    <w:rsid w:val="00714E38"/>
    <w:rsid w:val="007153FD"/>
    <w:rsid w:val="00723661"/>
    <w:rsid w:val="00753D37"/>
    <w:rsid w:val="007805E5"/>
    <w:rsid w:val="00787B0B"/>
    <w:rsid w:val="007A053F"/>
    <w:rsid w:val="007B2B16"/>
    <w:rsid w:val="007C593F"/>
    <w:rsid w:val="007C6B7E"/>
    <w:rsid w:val="007D4F7D"/>
    <w:rsid w:val="007E6721"/>
    <w:rsid w:val="00802FA0"/>
    <w:rsid w:val="00811770"/>
    <w:rsid w:val="00816D4F"/>
    <w:rsid w:val="0083304C"/>
    <w:rsid w:val="00836100"/>
    <w:rsid w:val="00837C64"/>
    <w:rsid w:val="00865315"/>
    <w:rsid w:val="008706FA"/>
    <w:rsid w:val="008A541E"/>
    <w:rsid w:val="008C7458"/>
    <w:rsid w:val="008D1FC5"/>
    <w:rsid w:val="008D4EED"/>
    <w:rsid w:val="008D547E"/>
    <w:rsid w:val="00923F92"/>
    <w:rsid w:val="00924B59"/>
    <w:rsid w:val="00952C70"/>
    <w:rsid w:val="009550D3"/>
    <w:rsid w:val="0095555C"/>
    <w:rsid w:val="00963541"/>
    <w:rsid w:val="00985A94"/>
    <w:rsid w:val="009B295E"/>
    <w:rsid w:val="009B65D9"/>
    <w:rsid w:val="009D1416"/>
    <w:rsid w:val="009E5209"/>
    <w:rsid w:val="009E78BC"/>
    <w:rsid w:val="009F769C"/>
    <w:rsid w:val="00A2662E"/>
    <w:rsid w:val="00A424FA"/>
    <w:rsid w:val="00A76063"/>
    <w:rsid w:val="00A94575"/>
    <w:rsid w:val="00AD0A84"/>
    <w:rsid w:val="00AE616E"/>
    <w:rsid w:val="00AF7922"/>
    <w:rsid w:val="00B03A92"/>
    <w:rsid w:val="00B057E4"/>
    <w:rsid w:val="00B15678"/>
    <w:rsid w:val="00B30B07"/>
    <w:rsid w:val="00B322F2"/>
    <w:rsid w:val="00B4360B"/>
    <w:rsid w:val="00B553E3"/>
    <w:rsid w:val="00B63326"/>
    <w:rsid w:val="00BA67C5"/>
    <w:rsid w:val="00BA7A7E"/>
    <w:rsid w:val="00BD3158"/>
    <w:rsid w:val="00BE0276"/>
    <w:rsid w:val="00BF1280"/>
    <w:rsid w:val="00C17282"/>
    <w:rsid w:val="00C2784C"/>
    <w:rsid w:val="00C32E13"/>
    <w:rsid w:val="00C37AE1"/>
    <w:rsid w:val="00C5053E"/>
    <w:rsid w:val="00C524A6"/>
    <w:rsid w:val="00C77B2D"/>
    <w:rsid w:val="00C927C3"/>
    <w:rsid w:val="00CC1C83"/>
    <w:rsid w:val="00CC317E"/>
    <w:rsid w:val="00CD3B03"/>
    <w:rsid w:val="00CF3E2C"/>
    <w:rsid w:val="00D10095"/>
    <w:rsid w:val="00D16FC1"/>
    <w:rsid w:val="00D25CF8"/>
    <w:rsid w:val="00D366DC"/>
    <w:rsid w:val="00D4509C"/>
    <w:rsid w:val="00D459D0"/>
    <w:rsid w:val="00D647F4"/>
    <w:rsid w:val="00D75098"/>
    <w:rsid w:val="00D77DD9"/>
    <w:rsid w:val="00D82075"/>
    <w:rsid w:val="00DC7847"/>
    <w:rsid w:val="00DD2826"/>
    <w:rsid w:val="00E00F79"/>
    <w:rsid w:val="00E0572A"/>
    <w:rsid w:val="00E169B3"/>
    <w:rsid w:val="00E2052B"/>
    <w:rsid w:val="00E53803"/>
    <w:rsid w:val="00E57F9C"/>
    <w:rsid w:val="00E60D9A"/>
    <w:rsid w:val="00E6112F"/>
    <w:rsid w:val="00E6606B"/>
    <w:rsid w:val="00E7185C"/>
    <w:rsid w:val="00E8056F"/>
    <w:rsid w:val="00EA3EA2"/>
    <w:rsid w:val="00EB4B68"/>
    <w:rsid w:val="00EB57FB"/>
    <w:rsid w:val="00EB68DA"/>
    <w:rsid w:val="00EC138C"/>
    <w:rsid w:val="00EE5877"/>
    <w:rsid w:val="00F028A4"/>
    <w:rsid w:val="00F02924"/>
    <w:rsid w:val="00F105BB"/>
    <w:rsid w:val="00F21055"/>
    <w:rsid w:val="00F31EA3"/>
    <w:rsid w:val="00F82383"/>
    <w:rsid w:val="00F85B8F"/>
    <w:rsid w:val="00FC14F5"/>
    <w:rsid w:val="00FD6D2B"/>
    <w:rsid w:val="00FE102B"/>
    <w:rsid w:val="00FE1E21"/>
    <w:rsid w:val="00FE6901"/>
    <w:rsid w:val="00FE7EAF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135B7"/>
  <w15:docId w15:val="{56B5BAA7-4FCD-6C4C-9318-30DB3870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1798</Characters>
  <Application>Microsoft Office Word</Application>
  <DocSecurity>0</DocSecurity>
  <Lines>256</Lines>
  <Paragraphs>215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Lin-rui Gao</dc:creator>
  <cp:lastModifiedBy>Uzoamaka Anyanwu</cp:lastModifiedBy>
  <cp:revision>2</cp:revision>
  <dcterms:created xsi:type="dcterms:W3CDTF">2023-01-03T17:33:00Z</dcterms:created>
  <dcterms:modified xsi:type="dcterms:W3CDTF">2023-01-03T17:33:00Z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