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88D5C" w14:textId="59C8AA52" w:rsidR="002756D2" w:rsidRDefault="00DF4044">
      <w:r>
        <w:rPr>
          <w:noProof/>
        </w:rPr>
        <w:drawing>
          <wp:inline distT="0" distB="0" distL="0" distR="0" wp14:anchorId="54DC83F7" wp14:editId="19BBEEE6">
            <wp:extent cx="5271135" cy="18599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1CDB" w14:textId="20D0ABC7" w:rsidR="00C23255" w:rsidRDefault="00631088" w:rsidP="00E250AE">
      <w:pPr>
        <w:spacing w:line="360" w:lineRule="auto"/>
      </w:pP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Supplementary 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1.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Transcriptome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changes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in petal AZ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identifi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ed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through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comparison of stage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s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3 and 5. 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(A) Numbers of </w:t>
      </w:r>
      <w:r>
        <w:rPr>
          <w:rFonts w:ascii="Arial" w:hAnsi="Arial" w:cs="Arial"/>
          <w:color w:val="0D0D0D" w:themeColor="text1" w:themeTint="F2"/>
          <w:sz w:val="24"/>
          <w:szCs w:val="24"/>
        </w:rPr>
        <w:t>differentially expressed genes (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DEGs</w:t>
      </w:r>
      <w:r>
        <w:rPr>
          <w:rFonts w:ascii="Arial" w:hAnsi="Arial" w:cs="Arial"/>
          <w:color w:val="0D0D0D" w:themeColor="text1" w:themeTint="F2"/>
          <w:sz w:val="24"/>
          <w:szCs w:val="24"/>
        </w:rPr>
        <w:t>)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. (B) </w:t>
      </w:r>
      <w:r>
        <w:rPr>
          <w:rFonts w:ascii="Arial" w:hAnsi="Arial" w:cs="Arial"/>
          <w:color w:val="0D0D0D" w:themeColor="text1" w:themeTint="F2"/>
          <w:sz w:val="24"/>
          <w:szCs w:val="24"/>
        </w:rPr>
        <w:t>C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luster</w:t>
      </w:r>
      <w:r>
        <w:rPr>
          <w:rFonts w:ascii="Arial" w:hAnsi="Arial" w:cs="Arial"/>
          <w:color w:val="0D0D0D" w:themeColor="text1" w:themeTint="F2"/>
          <w:sz w:val="24"/>
          <w:szCs w:val="24"/>
        </w:rPr>
        <w:t>ing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 of orthologous groups of proteins (COG) of DEGs. (C) KEGG enrichment of DEGs. </w:t>
      </w:r>
    </w:p>
    <w:p w14:paraId="25E3C072" w14:textId="08DC3C3A" w:rsidR="00C23255" w:rsidRDefault="00C23255">
      <w:pPr>
        <w:widowControl/>
        <w:jc w:val="left"/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br w:type="page"/>
      </w:r>
    </w:p>
    <w:p w14:paraId="03FF3A11" w14:textId="37A5BC00" w:rsidR="00C23255" w:rsidRDefault="00DF4044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62C5CA1B" wp14:editId="2DF6EFE5">
            <wp:extent cx="5271135" cy="357243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1135" cy="35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E3094" w14:textId="77777777" w:rsidR="00364E88" w:rsidRDefault="00364E88" w:rsidP="00364E88">
      <w:pPr>
        <w:spacing w:beforeLines="50" w:before="156" w:line="360" w:lineRule="auto"/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Supplementary 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2.</w:t>
      </w:r>
      <w:r w:rsidRPr="003938D7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31601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Gene Ontology (GO)-based enrichment analysis of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Proteome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and </w:t>
      </w:r>
      <w:proofErr w:type="spellStart"/>
      <w:r w:rsidRPr="000C06A9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Ubiquitome</w:t>
      </w:r>
      <w:proofErr w:type="spellEnd"/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.</w:t>
      </w:r>
      <w:r w:rsidRPr="00990C18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(</w:t>
      </w:r>
      <w:r>
        <w:rPr>
          <w:rFonts w:ascii="Arial" w:hAnsi="Arial" w:cs="Arial"/>
          <w:color w:val="0D0D0D" w:themeColor="text1" w:themeTint="F2"/>
          <w:sz w:val="24"/>
          <w:szCs w:val="24"/>
        </w:rPr>
        <w:t>A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 and </w:t>
      </w:r>
      <w:r>
        <w:rPr>
          <w:rFonts w:ascii="Arial" w:hAnsi="Arial" w:cs="Arial"/>
          <w:color w:val="0D0D0D" w:themeColor="text1" w:themeTint="F2"/>
          <w:sz w:val="24"/>
          <w:szCs w:val="24"/>
        </w:rPr>
        <w:t>B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) GO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enrichment analysis of proteins </w:t>
      </w:r>
      <w:r>
        <w:rPr>
          <w:rFonts w:ascii="Arial" w:hAnsi="Arial" w:cs="Arial"/>
          <w:color w:val="0D0D0D" w:themeColor="text1" w:themeTint="F2"/>
          <w:sz w:val="24"/>
          <w:szCs w:val="24"/>
        </w:rPr>
        <w:t>showing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 significantly </w:t>
      </w:r>
      <w:r>
        <w:rPr>
          <w:rFonts w:ascii="Arial" w:hAnsi="Arial" w:cs="Arial"/>
          <w:color w:val="0D0D0D" w:themeColor="text1" w:themeTint="F2"/>
          <w:sz w:val="24"/>
          <w:szCs w:val="24"/>
        </w:rPr>
        <w:t>alter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 xml:space="preserve">ed abundance in 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the 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cellular component class (</w:t>
      </w:r>
      <w:r>
        <w:rPr>
          <w:rFonts w:ascii="Arial" w:hAnsi="Arial" w:cs="Arial"/>
          <w:color w:val="0D0D0D" w:themeColor="text1" w:themeTint="F2"/>
          <w:sz w:val="24"/>
          <w:szCs w:val="24"/>
        </w:rPr>
        <w:t>A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) and biological process class (</w:t>
      </w:r>
      <w:r>
        <w:rPr>
          <w:rFonts w:ascii="Arial" w:hAnsi="Arial" w:cs="Arial"/>
          <w:color w:val="0D0D0D" w:themeColor="text1" w:themeTint="F2"/>
          <w:sz w:val="24"/>
          <w:szCs w:val="24"/>
        </w:rPr>
        <w:t>B</w:t>
      </w:r>
      <w:r w:rsidRPr="00990C18">
        <w:rPr>
          <w:rFonts w:ascii="Arial" w:hAnsi="Arial" w:cs="Arial"/>
          <w:color w:val="0D0D0D" w:themeColor="text1" w:themeTint="F2"/>
          <w:sz w:val="24"/>
          <w:szCs w:val="24"/>
        </w:rPr>
        <w:t>).</w:t>
      </w:r>
      <w:r w:rsidRPr="00B20EFB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>(C and D) GO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 xml:space="preserve">enrichment analysis of 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sites with 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>significant change</w:t>
      </w:r>
      <w:r>
        <w:rPr>
          <w:rFonts w:ascii="Arial" w:hAnsi="Arial" w:cs="Arial"/>
          <w:color w:val="0D0D0D" w:themeColor="text1" w:themeTint="F2"/>
          <w:sz w:val="24"/>
          <w:szCs w:val="24"/>
        </w:rPr>
        <w:t>s in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 xml:space="preserve"> ubiquitination in </w:t>
      </w: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the 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>cellular component class (C) and biological process class (</w:t>
      </w:r>
      <w:r>
        <w:rPr>
          <w:rFonts w:ascii="Arial" w:hAnsi="Arial" w:cs="Arial"/>
          <w:color w:val="0D0D0D" w:themeColor="text1" w:themeTint="F2"/>
          <w:sz w:val="24"/>
          <w:szCs w:val="24"/>
        </w:rPr>
        <w:t>D</w:t>
      </w:r>
      <w:r w:rsidRPr="000C06A9">
        <w:rPr>
          <w:rFonts w:ascii="Arial" w:hAnsi="Arial" w:cs="Arial"/>
          <w:color w:val="0D0D0D" w:themeColor="text1" w:themeTint="F2"/>
          <w:sz w:val="24"/>
          <w:szCs w:val="24"/>
        </w:rPr>
        <w:t>).</w:t>
      </w:r>
    </w:p>
    <w:p w14:paraId="7CCF42F7" w14:textId="3648E92E" w:rsidR="00631088" w:rsidRPr="00364E88" w:rsidRDefault="00631088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</w:p>
    <w:p w14:paraId="26264F79" w14:textId="26C38C8E" w:rsidR="00631088" w:rsidRDefault="00631088">
      <w:pPr>
        <w:widowControl/>
        <w:jc w:val="left"/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br w:type="page"/>
      </w:r>
    </w:p>
    <w:p w14:paraId="06DD7203" w14:textId="115533DB" w:rsidR="00C23255" w:rsidRDefault="00164FA7">
      <w:pPr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925488" wp14:editId="18585F85">
            <wp:extent cx="5269947" cy="21240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0500" cy="21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79C0A" w14:textId="6E7437AF" w:rsidR="00FC68B6" w:rsidRDefault="00FC68B6" w:rsidP="00361BB1">
      <w:pPr>
        <w:spacing w:line="360" w:lineRule="auto"/>
        <w:rPr>
          <w:rFonts w:ascii="Arial" w:hAnsi="Arial" w:cs="Arial"/>
          <w:color w:val="0D0D0D" w:themeColor="text1" w:themeTint="F2"/>
          <w:sz w:val="24"/>
          <w:szCs w:val="24"/>
        </w:rPr>
      </w:pP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Supplementary Figure </w:t>
      </w:r>
      <w:r w:rsidR="00153809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3</w:t>
      </w: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. Motif analysis of all K</w:t>
      </w:r>
      <w:r w:rsidRPr="002E2477">
        <w:rPr>
          <w:rFonts w:ascii="Arial" w:hAnsi="Arial" w:cs="Arial"/>
          <w:b/>
          <w:bCs/>
          <w:color w:val="0D0D0D" w:themeColor="text1" w:themeTint="F2"/>
          <w:sz w:val="24"/>
          <w:szCs w:val="24"/>
          <w:vertAlign w:val="superscript"/>
        </w:rPr>
        <w:t>ub</w:t>
      </w: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sites identified in petal abscission zone. </w:t>
      </w:r>
      <w:r w:rsidRPr="00867CF9">
        <w:rPr>
          <w:rFonts w:ascii="Arial" w:hAnsi="Arial" w:cs="Arial"/>
          <w:color w:val="0D0D0D" w:themeColor="text1" w:themeTint="F2"/>
          <w:sz w:val="24"/>
          <w:szCs w:val="24"/>
        </w:rPr>
        <w:t>(A) Number of identified peptides containing ubiquitinated lysine in each motif. (B) Amino acid sequence properties of ubiquitination sites. The heatmap shows significant position-specific amino acids flanking the ubiquitination sites.</w:t>
      </w:r>
      <w:r w:rsidR="00AE4DEA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</w:p>
    <w:p w14:paraId="261A41E1" w14:textId="56679A5A" w:rsidR="00A53990" w:rsidRDefault="00A53990">
      <w:pPr>
        <w:widowControl/>
        <w:jc w:val="left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br w:type="page"/>
      </w:r>
    </w:p>
    <w:p w14:paraId="5F994BAE" w14:textId="26308D72" w:rsidR="001F58BB" w:rsidRDefault="00DF4044" w:rsidP="00CF38D0">
      <w:pPr>
        <w:jc w:val="center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1B036BD3" wp14:editId="7CB0D035">
            <wp:extent cx="3599180" cy="18783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7156" w14:textId="37FC0AE5" w:rsidR="00A53990" w:rsidRPr="00A64DAE" w:rsidRDefault="00A64DAE" w:rsidP="00E067C3">
      <w:pPr>
        <w:spacing w:line="360" w:lineRule="auto"/>
        <w:jc w:val="left"/>
        <w:rPr>
          <w:rFonts w:ascii="Arial" w:hAnsi="Arial" w:cs="Arial"/>
          <w:color w:val="0D0D0D" w:themeColor="text1" w:themeTint="F2"/>
          <w:sz w:val="24"/>
          <w:szCs w:val="24"/>
        </w:rPr>
      </w:pP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Supplementary Figure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4</w:t>
      </w: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Validation of RNA-seq results by </w:t>
      </w:r>
      <w:r w:rsidR="00D43A1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RT-qPCR</w:t>
      </w:r>
      <w:r w:rsidRPr="00C537A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.</w:t>
      </w:r>
      <w:r w:rsidR="007C6565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</w:t>
      </w:r>
      <w:r w:rsidR="00F665E6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RhUBI2</w:t>
      </w:r>
      <w:r w:rsidR="00F665E6" w:rsidRPr="000E780D">
        <w:rPr>
          <w:rFonts w:ascii="Arial" w:hAnsi="Arial" w:cs="Arial"/>
          <w:color w:val="0D0D0D" w:themeColor="text1" w:themeTint="F2"/>
          <w:sz w:val="24"/>
          <w:szCs w:val="24"/>
        </w:rPr>
        <w:t xml:space="preserve"> was used as the internal control. </w:t>
      </w:r>
      <w:r w:rsidR="000E780D">
        <w:rPr>
          <w:rFonts w:ascii="Arial" w:hAnsi="Arial" w:cs="Arial"/>
          <w:color w:val="0D0D0D" w:themeColor="text1" w:themeTint="F2"/>
          <w:sz w:val="24"/>
          <w:szCs w:val="24"/>
        </w:rPr>
        <w:t xml:space="preserve">Asterisks indicate statistically significant </w:t>
      </w:r>
      <w:r w:rsidR="00862AB0">
        <w:rPr>
          <w:rFonts w:ascii="Arial" w:hAnsi="Arial" w:cs="Arial"/>
          <w:color w:val="0D0D0D" w:themeColor="text1" w:themeTint="F2"/>
          <w:sz w:val="24"/>
          <w:szCs w:val="24"/>
        </w:rPr>
        <w:t>differences between stage 3 and stage 5, determined using a two-tailed Stu</w:t>
      </w:r>
      <w:r w:rsidR="009F5FDC">
        <w:rPr>
          <w:rFonts w:ascii="Arial" w:hAnsi="Arial" w:cs="Arial"/>
          <w:color w:val="0D0D0D" w:themeColor="text1" w:themeTint="F2"/>
          <w:sz w:val="24"/>
          <w:szCs w:val="24"/>
        </w:rPr>
        <w:t xml:space="preserve">dent’s </w:t>
      </w:r>
      <w:r w:rsidR="009F5FDC" w:rsidRPr="009F5FDC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t</w:t>
      </w:r>
      <w:r w:rsidR="009F5FDC">
        <w:rPr>
          <w:rFonts w:ascii="Arial" w:hAnsi="Arial" w:cs="Arial"/>
          <w:color w:val="0D0D0D" w:themeColor="text1" w:themeTint="F2"/>
          <w:sz w:val="24"/>
          <w:szCs w:val="24"/>
        </w:rPr>
        <w:t xml:space="preserve"> test (**P&lt;0.01)</w:t>
      </w:r>
      <w:r w:rsidR="002A0A59">
        <w:rPr>
          <w:rFonts w:ascii="Arial" w:hAnsi="Arial" w:cs="Arial"/>
          <w:color w:val="0D0D0D" w:themeColor="text1" w:themeTint="F2"/>
          <w:sz w:val="24"/>
          <w:szCs w:val="24"/>
        </w:rPr>
        <w:t xml:space="preserve">.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CYP98A3</w:t>
      </w:r>
      <w:r w:rsidR="002A0A59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(RchiOBHmChr3g0494961)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CYP716A1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(RchiOBHmChr5g0018521)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CYP72A15</w:t>
      </w:r>
      <w:r w:rsidR="003406DE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(RchiOBHmChr5g0028621)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COMT1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(RchiOBHmChr6g0296031)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PRX52-1</w:t>
      </w:r>
      <w:r w:rsidR="003406DE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(RchiOBHmChr1g0371621)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PRXR1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(RchiOBHmChr5g0003181)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PRX52-2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(RchiOBHmChr5g0072371)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PRX52-3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(RchiOBHmChr3g0461001)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,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BGLU17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(RchiOBHmChr1g0313741)</w:t>
      </w:r>
      <w:r w:rsidR="003406DE">
        <w:rPr>
          <w:rFonts w:ascii="Arial" w:hAnsi="Arial" w:cs="Arial"/>
          <w:color w:val="0D0D0D" w:themeColor="text1" w:themeTint="F2"/>
          <w:sz w:val="24"/>
          <w:szCs w:val="24"/>
        </w:rPr>
        <w:t>,</w:t>
      </w:r>
      <w:r w:rsidR="00B85935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81293D">
        <w:rPr>
          <w:rFonts w:ascii="Arial" w:hAnsi="Arial" w:cs="Arial"/>
          <w:i/>
          <w:iCs/>
          <w:color w:val="0D0D0D" w:themeColor="text1" w:themeTint="F2"/>
          <w:sz w:val="24"/>
          <w:szCs w:val="24"/>
        </w:rPr>
        <w:t>BGLU14</w:t>
      </w:r>
      <w:r w:rsidR="00B85935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2A0A59" w:rsidRPr="002A0A59">
        <w:rPr>
          <w:rFonts w:ascii="Arial" w:hAnsi="Arial" w:cs="Arial"/>
          <w:color w:val="0D0D0D" w:themeColor="text1" w:themeTint="F2"/>
          <w:sz w:val="24"/>
          <w:szCs w:val="24"/>
        </w:rPr>
        <w:t>(RchiOBHmChr1g0369251)</w:t>
      </w:r>
      <w:r w:rsidR="00B85935">
        <w:rPr>
          <w:rFonts w:ascii="Arial" w:hAnsi="Arial" w:cs="Arial"/>
          <w:color w:val="0D0D0D" w:themeColor="text1" w:themeTint="F2"/>
          <w:sz w:val="24"/>
          <w:szCs w:val="24"/>
        </w:rPr>
        <w:t>.</w:t>
      </w:r>
      <w:r w:rsidR="006618F3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</w:p>
    <w:p w14:paraId="51572913" w14:textId="73828A57" w:rsidR="001F58BB" w:rsidRPr="00FD19A0" w:rsidRDefault="001F58BB" w:rsidP="00FD19A0">
      <w:pPr>
        <w:widowControl/>
        <w:jc w:val="left"/>
        <w:rPr>
          <w:rFonts w:ascii="Arial" w:hAnsi="Arial" w:cs="Arial"/>
          <w:color w:val="0D0D0D" w:themeColor="text1" w:themeTint="F2"/>
          <w:sz w:val="24"/>
          <w:szCs w:val="24"/>
        </w:rPr>
      </w:pPr>
    </w:p>
    <w:sectPr w:rsidR="001F58BB" w:rsidRPr="00FD19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3042" w14:textId="77777777" w:rsidR="002E51A9" w:rsidRDefault="002E51A9" w:rsidP="00FC68B6">
      <w:r>
        <w:separator/>
      </w:r>
    </w:p>
  </w:endnote>
  <w:endnote w:type="continuationSeparator" w:id="0">
    <w:p w14:paraId="5CD77B9E" w14:textId="77777777" w:rsidR="002E51A9" w:rsidRDefault="002E51A9" w:rsidP="00FC6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C035F" w14:textId="77777777" w:rsidR="002E51A9" w:rsidRDefault="002E51A9" w:rsidP="00FC68B6">
      <w:r>
        <w:separator/>
      </w:r>
    </w:p>
  </w:footnote>
  <w:footnote w:type="continuationSeparator" w:id="0">
    <w:p w14:paraId="6FB73ED0" w14:textId="77777777" w:rsidR="002E51A9" w:rsidRDefault="002E51A9" w:rsidP="00FC6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96"/>
    <w:rsid w:val="000E780D"/>
    <w:rsid w:val="00153809"/>
    <w:rsid w:val="00164FA7"/>
    <w:rsid w:val="00176E07"/>
    <w:rsid w:val="001F58BB"/>
    <w:rsid w:val="002756D2"/>
    <w:rsid w:val="002A0A59"/>
    <w:rsid w:val="002E51A9"/>
    <w:rsid w:val="003406DE"/>
    <w:rsid w:val="00361BB1"/>
    <w:rsid w:val="00364E88"/>
    <w:rsid w:val="00631088"/>
    <w:rsid w:val="006618F3"/>
    <w:rsid w:val="007034BC"/>
    <w:rsid w:val="00715836"/>
    <w:rsid w:val="0072212C"/>
    <w:rsid w:val="00753A1A"/>
    <w:rsid w:val="007565A0"/>
    <w:rsid w:val="00797B32"/>
    <w:rsid w:val="007C6565"/>
    <w:rsid w:val="0081293D"/>
    <w:rsid w:val="00862AB0"/>
    <w:rsid w:val="008911B1"/>
    <w:rsid w:val="0098572B"/>
    <w:rsid w:val="00986B33"/>
    <w:rsid w:val="009F5FDC"/>
    <w:rsid w:val="00A53990"/>
    <w:rsid w:val="00A64609"/>
    <w:rsid w:val="00A64DAE"/>
    <w:rsid w:val="00AA7244"/>
    <w:rsid w:val="00AE4DEA"/>
    <w:rsid w:val="00B85935"/>
    <w:rsid w:val="00B91BB0"/>
    <w:rsid w:val="00BA30C2"/>
    <w:rsid w:val="00C23255"/>
    <w:rsid w:val="00CA34DF"/>
    <w:rsid w:val="00CF38D0"/>
    <w:rsid w:val="00D43A1A"/>
    <w:rsid w:val="00DF4044"/>
    <w:rsid w:val="00E067C3"/>
    <w:rsid w:val="00E250AE"/>
    <w:rsid w:val="00E34F96"/>
    <w:rsid w:val="00F57510"/>
    <w:rsid w:val="00F665E6"/>
    <w:rsid w:val="00FC68B6"/>
    <w:rsid w:val="00FD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6FB5C0"/>
  <w14:discardImageEditingData/>
  <w14:defaultImageDpi w14:val="32767"/>
  <w15:chartTrackingRefBased/>
  <w15:docId w15:val="{75157461-E959-4815-94FE-7F7EF31D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8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C68B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C68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C68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Ma</dc:creator>
  <cp:keywords/>
  <dc:description/>
  <cp:lastModifiedBy>Hima Bhatt</cp:lastModifiedBy>
  <cp:revision>2</cp:revision>
  <dcterms:created xsi:type="dcterms:W3CDTF">2022-10-04T15:24:00Z</dcterms:created>
  <dcterms:modified xsi:type="dcterms:W3CDTF">2022-10-04T15:24:00Z</dcterms:modified>
</cp:coreProperties>
</file>