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091C6" w14:textId="542B981B" w:rsidR="009E7EB1" w:rsidRPr="009E7EB1" w:rsidRDefault="005B2D9E" w:rsidP="009E7EB1">
      <w:pPr>
        <w:spacing w:before="100" w:beforeAutospacing="1" w:after="100" w:afterAutospacing="1"/>
        <w:jc w:val="center"/>
        <w:rPr>
          <w:rFonts w:ascii="Times New Roman" w:hAnsi="Times New Roman" w:cs="Times New Roman"/>
          <w:i/>
          <w:sz w:val="22"/>
        </w:rPr>
      </w:pPr>
      <w:r w:rsidRPr="009E7EB1">
        <w:rPr>
          <w:rFonts w:ascii="Times New Roman" w:hAnsi="Times New Roman" w:cs="Times New Roman"/>
          <w:i/>
          <w:sz w:val="22"/>
        </w:rPr>
        <w:t xml:space="preserve"> </w:t>
      </w:r>
      <w:r w:rsidR="009E7EB1" w:rsidRPr="009E7EB1">
        <w:rPr>
          <w:rFonts w:ascii="Times New Roman" w:hAnsi="Times New Roman" w:cs="Times New Roman"/>
          <w:i/>
          <w:sz w:val="22"/>
        </w:rPr>
        <w:t>[</w:t>
      </w:r>
      <w:r w:rsidR="00DF37EA" w:rsidRPr="00DF37EA">
        <w:rPr>
          <w:rFonts w:ascii="Times New Roman" w:hAnsi="Times New Roman" w:cs="Times New Roman"/>
          <w:i/>
          <w:sz w:val="24"/>
        </w:rPr>
        <w:t>Frontiers in Marine Science</w:t>
      </w:r>
      <w:r w:rsidR="009E7EB1" w:rsidRPr="009E7EB1">
        <w:rPr>
          <w:rFonts w:ascii="Times New Roman" w:hAnsi="Times New Roman" w:cs="Times New Roman"/>
          <w:i/>
          <w:sz w:val="22"/>
        </w:rPr>
        <w:t>]</w:t>
      </w:r>
    </w:p>
    <w:p w14:paraId="38B509A2" w14:textId="77777777" w:rsidR="009E7EB1" w:rsidRPr="009E7EB1" w:rsidRDefault="009E7EB1" w:rsidP="009E7EB1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2"/>
        </w:rPr>
      </w:pPr>
      <w:r w:rsidRPr="009E7EB1">
        <w:rPr>
          <w:rFonts w:ascii="Times New Roman" w:hAnsi="Times New Roman" w:cs="Times New Roman"/>
          <w:sz w:val="22"/>
        </w:rPr>
        <w:t>Supporting Information for</w:t>
      </w:r>
    </w:p>
    <w:p w14:paraId="0F82F68D" w14:textId="6A851A5C" w:rsidR="009E7EB1" w:rsidRPr="009E7EB1" w:rsidRDefault="009E7EB1" w:rsidP="009E7EB1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9E7EB1">
        <w:rPr>
          <w:rFonts w:ascii="Times New Roman" w:hAnsi="Times New Roman" w:cs="Times New Roman"/>
          <w:b/>
          <w:bCs/>
          <w:noProof/>
          <w:color w:val="000000"/>
          <w:sz w:val="22"/>
        </w:rPr>
        <w:t>[</w:t>
      </w:r>
      <w:r w:rsidR="00C57998" w:rsidRPr="00C57998">
        <w:rPr>
          <w:rFonts w:ascii="Times New Roman" w:hAnsi="Times New Roman" w:cs="Times New Roman"/>
          <w:b/>
          <w:bCs/>
          <w:noProof/>
          <w:color w:val="000000"/>
          <w:sz w:val="22"/>
        </w:rPr>
        <w:t>Assessing the sources and dynamics of organic matter in a high human impact bay in the northern Beibu Gulf: insights from stable isotopes and optical properties</w:t>
      </w:r>
      <w:r w:rsidRPr="009E7EB1">
        <w:rPr>
          <w:rFonts w:ascii="Times New Roman" w:hAnsi="Times New Roman" w:cs="Times New Roman"/>
          <w:b/>
          <w:bCs/>
          <w:noProof/>
          <w:color w:val="000000"/>
          <w:sz w:val="22"/>
        </w:rPr>
        <w:t>]</w:t>
      </w:r>
    </w:p>
    <w:p w14:paraId="66154F45" w14:textId="6D845BF6" w:rsidR="009E7EB1" w:rsidRPr="009E7EB1" w:rsidRDefault="009E7EB1">
      <w:pPr>
        <w:rPr>
          <w:rFonts w:ascii="Times New Roman" w:hAnsi="Times New Roman" w:cs="Times New Roman"/>
          <w:noProof/>
          <w:color w:val="000000"/>
          <w:szCs w:val="21"/>
        </w:rPr>
      </w:pPr>
    </w:p>
    <w:p w14:paraId="09C8F138" w14:textId="3147C716" w:rsidR="009E7EB1" w:rsidRPr="009E7EB1" w:rsidRDefault="009E7EB1" w:rsidP="004D4658">
      <w:pPr>
        <w:spacing w:before="120" w:line="360" w:lineRule="auto"/>
        <w:jc w:val="center"/>
        <w:rPr>
          <w:rFonts w:ascii="Times New Roman" w:hAnsi="Times New Roman" w:cs="Times New Roman"/>
          <w:noProof/>
          <w:color w:val="000000"/>
          <w:sz w:val="22"/>
        </w:rPr>
      </w:pPr>
      <w:r w:rsidRPr="009E7EB1">
        <w:rPr>
          <w:rFonts w:ascii="Times New Roman" w:hAnsi="Times New Roman" w:cs="Times New Roman"/>
          <w:noProof/>
          <w:color w:val="000000"/>
          <w:sz w:val="22"/>
        </w:rPr>
        <w:t>[</w:t>
      </w:r>
      <w:r w:rsidR="004D4658" w:rsidRPr="004D4658">
        <w:rPr>
          <w:rFonts w:ascii="Times New Roman" w:hAnsi="Times New Roman" w:cs="Times New Roman"/>
          <w:sz w:val="22"/>
        </w:rPr>
        <w:t>Xuan Lu</w:t>
      </w:r>
      <w:r w:rsidR="004D4658" w:rsidRPr="004D4658">
        <w:rPr>
          <w:rFonts w:ascii="Times New Roman" w:hAnsi="Times New Roman" w:cs="Times New Roman"/>
          <w:sz w:val="22"/>
          <w:vertAlign w:val="superscript"/>
        </w:rPr>
        <w:t>1, 2, 3</w:t>
      </w:r>
      <w:r w:rsidR="004D4658" w:rsidRPr="004D4658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4D4658" w:rsidRPr="004D4658">
        <w:rPr>
          <w:rFonts w:ascii="Times New Roman" w:hAnsi="Times New Roman" w:cs="Times New Roman"/>
          <w:sz w:val="22"/>
        </w:rPr>
        <w:t>Qibin</w:t>
      </w:r>
      <w:proofErr w:type="spellEnd"/>
      <w:r w:rsidR="004D4658" w:rsidRPr="004D4658">
        <w:rPr>
          <w:rFonts w:ascii="Times New Roman" w:hAnsi="Times New Roman" w:cs="Times New Roman"/>
          <w:sz w:val="22"/>
        </w:rPr>
        <w:t xml:space="preserve"> Lao</w:t>
      </w:r>
      <w:r w:rsidR="004D4658" w:rsidRPr="004D4658">
        <w:rPr>
          <w:rFonts w:ascii="Times New Roman" w:hAnsi="Times New Roman" w:cs="Times New Roman"/>
          <w:sz w:val="22"/>
          <w:vertAlign w:val="superscript"/>
        </w:rPr>
        <w:t>1, 2, 3</w:t>
      </w:r>
      <w:r w:rsidR="004D4658" w:rsidRPr="004D4658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4D4658" w:rsidRPr="004D4658">
        <w:rPr>
          <w:rFonts w:ascii="Times New Roman" w:hAnsi="Times New Roman" w:cs="Times New Roman"/>
          <w:sz w:val="22"/>
        </w:rPr>
        <w:t>Fajin</w:t>
      </w:r>
      <w:proofErr w:type="spellEnd"/>
      <w:r w:rsidR="004D4658" w:rsidRPr="004D4658">
        <w:rPr>
          <w:rFonts w:ascii="Times New Roman" w:hAnsi="Times New Roman" w:cs="Times New Roman"/>
          <w:sz w:val="22"/>
        </w:rPr>
        <w:t xml:space="preserve"> Chen</w:t>
      </w:r>
      <w:r w:rsidR="004D4658" w:rsidRPr="004D4658">
        <w:rPr>
          <w:rFonts w:ascii="Times New Roman" w:hAnsi="Times New Roman" w:cs="Times New Roman"/>
          <w:sz w:val="22"/>
          <w:vertAlign w:val="superscript"/>
        </w:rPr>
        <w:t>1, 2, 3*</w:t>
      </w:r>
      <w:r w:rsidR="004D4658" w:rsidRPr="004D4658">
        <w:rPr>
          <w:rFonts w:ascii="Times New Roman" w:hAnsi="Times New Roman" w:cs="Times New Roman"/>
          <w:sz w:val="22"/>
        </w:rPr>
        <w:t>, Xin Zhou</w:t>
      </w:r>
      <w:r w:rsidR="004D4658" w:rsidRPr="004D4658">
        <w:rPr>
          <w:rFonts w:ascii="Times New Roman" w:hAnsi="Times New Roman" w:cs="Times New Roman"/>
          <w:sz w:val="22"/>
          <w:vertAlign w:val="superscript"/>
        </w:rPr>
        <w:t>1, 2, 3</w:t>
      </w:r>
      <w:r w:rsidR="004D4658" w:rsidRPr="004D4658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4D4658" w:rsidRPr="004D4658">
        <w:rPr>
          <w:rFonts w:ascii="Times New Roman" w:hAnsi="Times New Roman" w:cs="Times New Roman"/>
          <w:sz w:val="22"/>
        </w:rPr>
        <w:t>Chunqing</w:t>
      </w:r>
      <w:proofErr w:type="spellEnd"/>
      <w:r w:rsidR="004D4658" w:rsidRPr="004D4658">
        <w:rPr>
          <w:rFonts w:ascii="Times New Roman" w:hAnsi="Times New Roman" w:cs="Times New Roman"/>
          <w:sz w:val="22"/>
        </w:rPr>
        <w:t xml:space="preserve"> Chen</w:t>
      </w:r>
      <w:r w:rsidR="004D4658" w:rsidRPr="004D4658">
        <w:rPr>
          <w:rFonts w:ascii="Times New Roman" w:hAnsi="Times New Roman" w:cs="Times New Roman"/>
          <w:sz w:val="22"/>
          <w:vertAlign w:val="superscript"/>
        </w:rPr>
        <w:t>1, 2, 3</w:t>
      </w:r>
      <w:r w:rsidR="004D4658" w:rsidRPr="004D4658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4D4658" w:rsidRPr="004D4658">
        <w:rPr>
          <w:rFonts w:ascii="Times New Roman" w:hAnsi="Times New Roman" w:cs="Times New Roman"/>
          <w:sz w:val="22"/>
        </w:rPr>
        <w:t>Qingmei</w:t>
      </w:r>
      <w:proofErr w:type="spellEnd"/>
      <w:r w:rsidR="004D4658" w:rsidRPr="004D4658">
        <w:rPr>
          <w:rFonts w:ascii="Times New Roman" w:hAnsi="Times New Roman" w:cs="Times New Roman"/>
          <w:sz w:val="22"/>
        </w:rPr>
        <w:t xml:space="preserve"> Zhu</w:t>
      </w:r>
      <w:r w:rsidR="004D4658" w:rsidRPr="004D4658">
        <w:rPr>
          <w:rFonts w:ascii="Times New Roman" w:hAnsi="Times New Roman" w:cs="Times New Roman"/>
          <w:sz w:val="22"/>
          <w:vertAlign w:val="superscript"/>
        </w:rPr>
        <w:t>1, 2, 3</w:t>
      </w:r>
      <w:r w:rsidRPr="009E7EB1">
        <w:rPr>
          <w:rFonts w:ascii="Times New Roman" w:hAnsi="Times New Roman" w:cs="Times New Roman"/>
          <w:noProof/>
          <w:color w:val="000000"/>
          <w:sz w:val="22"/>
        </w:rPr>
        <w:t>]</w:t>
      </w:r>
    </w:p>
    <w:p w14:paraId="41F4E801" w14:textId="6B753638" w:rsidR="009E7EB1" w:rsidRPr="009E7EB1" w:rsidRDefault="009E7EB1" w:rsidP="009E7EB1">
      <w:pPr>
        <w:rPr>
          <w:rFonts w:ascii="Times New Roman" w:hAnsi="Times New Roman" w:cs="Times New Roman"/>
          <w:noProof/>
          <w:color w:val="000000"/>
          <w:szCs w:val="21"/>
        </w:rPr>
      </w:pPr>
    </w:p>
    <w:p w14:paraId="0AADE39B" w14:textId="2A1EA83E" w:rsidR="009E7EB1" w:rsidRPr="009E7EB1" w:rsidRDefault="009E7EB1" w:rsidP="009E7EB1">
      <w:pPr>
        <w:spacing w:line="36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9E7EB1">
        <w:rPr>
          <w:rFonts w:ascii="Times New Roman" w:hAnsi="Times New Roman" w:cs="Times New Roman"/>
          <w:noProof/>
          <w:color w:val="000000"/>
          <w:sz w:val="18"/>
          <w:szCs w:val="18"/>
        </w:rPr>
        <w:t>[</w:t>
      </w:r>
      <w:r w:rsidRPr="009E7EB1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9E7EB1">
        <w:rPr>
          <w:rFonts w:ascii="Times New Roman" w:hAnsi="Times New Roman" w:cs="Times New Roman"/>
          <w:sz w:val="18"/>
          <w:szCs w:val="18"/>
        </w:rPr>
        <w:t xml:space="preserve"> College of Ocean and Meteorology, Guangdong Ocean University, Zhanjiang 524088, China</w:t>
      </w:r>
      <w:r>
        <w:rPr>
          <w:rFonts w:ascii="Times New Roman" w:hAnsi="Times New Roman" w:cs="Times New Roman"/>
          <w:sz w:val="18"/>
          <w:szCs w:val="18"/>
        </w:rPr>
        <w:t>;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9E7EB1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9E7EB1">
        <w:rPr>
          <w:rFonts w:ascii="Times New Roman" w:hAnsi="Times New Roman" w:cs="Times New Roman"/>
          <w:sz w:val="18"/>
          <w:szCs w:val="18"/>
        </w:rPr>
        <w:t xml:space="preserve"> Key Laboratory for Coastal Ocean Variation and Disaster Prediction, Guangdong Ocean University, Zhanjiang 524088, China</w:t>
      </w:r>
      <w:r>
        <w:rPr>
          <w:rFonts w:ascii="Times New Roman" w:hAnsi="Times New Roman" w:cs="Times New Roman"/>
          <w:sz w:val="18"/>
          <w:szCs w:val="18"/>
        </w:rPr>
        <w:t xml:space="preserve">; </w:t>
      </w:r>
      <w:r w:rsidRPr="009E7EB1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9E7EB1">
        <w:rPr>
          <w:rFonts w:ascii="Times New Roman" w:hAnsi="Times New Roman" w:cs="Times New Roman"/>
          <w:sz w:val="18"/>
          <w:szCs w:val="18"/>
        </w:rPr>
        <w:t>Key Laboratory of Climate, Resources and Environment in Continental Shelf Sea and Deep Sea of Department of Education of Guangdong Province, Guangdong Ocean University, Zhanjiang 524088, China</w:t>
      </w:r>
      <w:r w:rsidRPr="009E7EB1">
        <w:rPr>
          <w:rFonts w:ascii="Times New Roman" w:hAnsi="Times New Roman" w:cs="Times New Roman"/>
          <w:noProof/>
          <w:color w:val="000000"/>
          <w:sz w:val="18"/>
          <w:szCs w:val="18"/>
        </w:rPr>
        <w:t>]</w:t>
      </w:r>
    </w:p>
    <w:p w14:paraId="3BE0325E" w14:textId="77777777" w:rsidR="009E7EB1" w:rsidRPr="009E7EB1" w:rsidRDefault="009E7EB1">
      <w:pPr>
        <w:rPr>
          <w:rFonts w:ascii="Times New Roman" w:hAnsi="Times New Roman" w:cs="Times New Roman"/>
          <w:noProof/>
          <w:color w:val="000000"/>
          <w:szCs w:val="21"/>
        </w:rPr>
      </w:pPr>
    </w:p>
    <w:p w14:paraId="4B46DAFC" w14:textId="45B83A52" w:rsidR="009E7EB1" w:rsidRPr="009E7EB1" w:rsidRDefault="009E7EB1">
      <w:pPr>
        <w:rPr>
          <w:rFonts w:ascii="Times New Roman" w:hAnsi="Times New Roman" w:cs="Times New Roman"/>
          <w:noProof/>
          <w:color w:val="000000"/>
          <w:szCs w:val="21"/>
        </w:rPr>
      </w:pPr>
    </w:p>
    <w:p w14:paraId="47A240F1" w14:textId="77777777" w:rsidR="009E7EB1" w:rsidRPr="009E7EB1" w:rsidRDefault="009E7EB1">
      <w:pPr>
        <w:rPr>
          <w:rFonts w:ascii="Times New Roman" w:hAnsi="Times New Roman" w:cs="Times New Roman"/>
          <w:noProof/>
          <w:color w:val="000000"/>
          <w:szCs w:val="21"/>
        </w:rPr>
      </w:pPr>
    </w:p>
    <w:p w14:paraId="5B12E226" w14:textId="77777777" w:rsidR="009E7EB1" w:rsidRPr="009E7EB1" w:rsidRDefault="009E7EB1" w:rsidP="009E7EB1">
      <w:pPr>
        <w:rPr>
          <w:rFonts w:ascii="Times New Roman" w:hAnsi="Times New Roman" w:cs="Times New Roman"/>
          <w:b/>
          <w:sz w:val="24"/>
          <w:szCs w:val="24"/>
        </w:rPr>
      </w:pPr>
      <w:r w:rsidRPr="009E7EB1">
        <w:rPr>
          <w:rFonts w:ascii="Times New Roman" w:hAnsi="Times New Roman" w:cs="Times New Roman"/>
          <w:b/>
          <w:sz w:val="24"/>
          <w:szCs w:val="24"/>
        </w:rPr>
        <w:t xml:space="preserve">Contents of this file </w:t>
      </w:r>
    </w:p>
    <w:p w14:paraId="7E7AB813" w14:textId="77777777" w:rsidR="009E7EB1" w:rsidRPr="009E7EB1" w:rsidRDefault="009E7EB1" w:rsidP="009E7EB1">
      <w:pPr>
        <w:rPr>
          <w:rFonts w:ascii="Times New Roman" w:hAnsi="Times New Roman" w:cs="Times New Roman"/>
          <w:sz w:val="22"/>
        </w:rPr>
      </w:pPr>
    </w:p>
    <w:p w14:paraId="4EBD5579" w14:textId="00687047" w:rsidR="009E7EB1" w:rsidRPr="00652B7A" w:rsidRDefault="009E7EB1" w:rsidP="00415F5A">
      <w:pPr>
        <w:rPr>
          <w:rFonts w:ascii="Times New Roman" w:hAnsi="Times New Roman" w:cs="Times New Roman"/>
          <w:sz w:val="22"/>
        </w:rPr>
      </w:pPr>
      <w:r w:rsidRPr="009E7EB1">
        <w:rPr>
          <w:rFonts w:ascii="Times New Roman" w:hAnsi="Times New Roman" w:cs="Times New Roman"/>
          <w:sz w:val="22"/>
        </w:rPr>
        <w:t xml:space="preserve">Figures S1 </w:t>
      </w:r>
    </w:p>
    <w:p w14:paraId="6331FADA" w14:textId="77777777" w:rsidR="009E7EB1" w:rsidRPr="009E7EB1" w:rsidRDefault="009E7EB1" w:rsidP="009E7EB1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9E7EB1">
        <w:rPr>
          <w:rFonts w:ascii="Times New Roman" w:hAnsi="Times New Roman" w:cs="Times New Roman"/>
          <w:b/>
          <w:bCs/>
          <w:sz w:val="24"/>
          <w:szCs w:val="24"/>
        </w:rPr>
        <w:t>Introduction</w:t>
      </w:r>
      <w:r w:rsidRPr="009E7E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FC857D" w14:textId="5270EFED" w:rsidR="009E7EB1" w:rsidRDefault="009E7EB1" w:rsidP="00EA5645">
      <w:pPr>
        <w:spacing w:line="360" w:lineRule="auto"/>
        <w:rPr>
          <w:rFonts w:ascii="Times New Roman" w:hAnsi="Times New Roman" w:cs="Times New Roman"/>
          <w:szCs w:val="21"/>
        </w:rPr>
      </w:pPr>
      <w:r w:rsidRPr="009E7EB1">
        <w:rPr>
          <w:rFonts w:ascii="Times New Roman" w:hAnsi="Times New Roman" w:cs="Times New Roman"/>
          <w:sz w:val="22"/>
        </w:rPr>
        <w:t xml:space="preserve">The supporting information include </w:t>
      </w:r>
      <w:r w:rsidR="00531A0E">
        <w:rPr>
          <w:rFonts w:ascii="Times New Roman" w:hAnsi="Times New Roman" w:cs="Times New Roman" w:hint="eastAsia"/>
          <w:sz w:val="22"/>
        </w:rPr>
        <w:t>one</w:t>
      </w:r>
      <w:r w:rsidRPr="009E7EB1">
        <w:rPr>
          <w:rFonts w:ascii="Times New Roman" w:hAnsi="Times New Roman" w:cs="Times New Roman"/>
          <w:sz w:val="22"/>
        </w:rPr>
        <w:t xml:space="preserve"> figures. Figure S1 was PARAFAC model results for EEMs data interpretation.</w:t>
      </w:r>
    </w:p>
    <w:p w14:paraId="670B24C7" w14:textId="507B1C4E" w:rsidR="00365761" w:rsidRPr="00531A0E" w:rsidRDefault="00531A0E" w:rsidP="00531A0E">
      <w:pPr>
        <w:spacing w:line="360" w:lineRule="auto"/>
        <w:rPr>
          <w:rFonts w:ascii="Times New Roman" w:hAnsi="Times New Roman" w:cs="Times New Roman"/>
          <w:noProof/>
          <w:color w:val="000000"/>
          <w:szCs w:val="21"/>
        </w:rPr>
      </w:pPr>
      <w:r w:rsidRPr="00531A0E">
        <w:rPr>
          <w:rFonts w:ascii="Times New Roman" w:hAnsi="Times New Roman" w:cs="Times New Roman"/>
          <w:noProof/>
          <w:color w:val="000000"/>
          <w:szCs w:val="21"/>
        </w:rPr>
        <w:drawing>
          <wp:inline distT="0" distB="0" distL="0" distR="0" wp14:anchorId="69DEF6D4" wp14:editId="20573289">
            <wp:extent cx="5274310" cy="2400360"/>
            <wp:effectExtent l="0" t="0" r="2540" b="0"/>
            <wp:docPr id="1" name="图片 1" descr="C:\Users\1\Desktop\防城港\FDOM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防城港\FDOM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0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270A9" w14:textId="29AD5CC1" w:rsidR="006C0951" w:rsidRDefault="009E7EB1" w:rsidP="00531A0E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9E7EB1">
        <w:rPr>
          <w:rFonts w:ascii="Times New Roman" w:hAnsi="Times New Roman" w:cs="Times New Roman"/>
          <w:b/>
          <w:bCs/>
          <w:kern w:val="32"/>
          <w:sz w:val="22"/>
        </w:rPr>
        <w:t>Figure S1</w:t>
      </w:r>
      <w:r w:rsidR="001076B8" w:rsidRPr="009E7EB1">
        <w:rPr>
          <w:rFonts w:ascii="Times New Roman" w:hAnsi="Times New Roman" w:cs="Times New Roman"/>
          <w:color w:val="000000"/>
          <w:szCs w:val="21"/>
        </w:rPr>
        <w:t>. EEM contours of fluorescent components C1 – C3 identified using PARAFAC</w:t>
      </w:r>
    </w:p>
    <w:p w14:paraId="7ACC0FB5" w14:textId="39798739" w:rsidR="000221CD" w:rsidRDefault="000221CD" w:rsidP="000221CD">
      <w:pPr>
        <w:spacing w:line="360" w:lineRule="auto"/>
        <w:jc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noProof/>
          <w:color w:val="000000"/>
          <w:szCs w:val="21"/>
        </w:rPr>
        <w:lastRenderedPageBreak/>
        <w:drawing>
          <wp:inline distT="0" distB="0" distL="0" distR="0" wp14:anchorId="7C148892" wp14:editId="3302CF8D">
            <wp:extent cx="2529444" cy="2412199"/>
            <wp:effectExtent l="0" t="0" r="444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219" cy="241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55866" w14:textId="6E11F502" w:rsidR="000221CD" w:rsidRDefault="000221CD" w:rsidP="000221CD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 xml:space="preserve">Fig. 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S</w:t>
      </w:r>
      <w:r>
        <w:rPr>
          <w:rFonts w:ascii="Times New Roman" w:eastAsia="宋体" w:hAnsi="Times New Roman" w:cs="Times New Roman"/>
          <w:color w:val="000000"/>
          <w:szCs w:val="21"/>
        </w:rPr>
        <w:t>2. Spatial distributions of DO in Xi Bay. Black dots represent sampling sites.</w:t>
      </w:r>
    </w:p>
    <w:p w14:paraId="41F13A26" w14:textId="77777777" w:rsidR="00493911" w:rsidRDefault="00493911" w:rsidP="000221CD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Cs w:val="21"/>
        </w:rPr>
      </w:pPr>
    </w:p>
    <w:p w14:paraId="54308B9B" w14:textId="7AB36A03" w:rsidR="00493911" w:rsidRPr="00493911" w:rsidRDefault="00493911" w:rsidP="00493911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noProof/>
          <w:color w:val="000000"/>
          <w:szCs w:val="21"/>
        </w:rPr>
        <w:drawing>
          <wp:inline distT="0" distB="0" distL="0" distR="0" wp14:anchorId="4FF6F644" wp14:editId="095FF419">
            <wp:extent cx="3449782" cy="2690963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8851" cy="2698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8064A" w14:textId="251749AA" w:rsidR="00A01AAC" w:rsidRDefault="00493911" w:rsidP="00493911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493911">
        <w:rPr>
          <w:rFonts w:ascii="Times New Roman" w:eastAsia="宋体" w:hAnsi="Times New Roman" w:cs="Times New Roman"/>
          <w:color w:val="000000"/>
          <w:szCs w:val="21"/>
        </w:rPr>
        <w:t xml:space="preserve">Fig. </w:t>
      </w:r>
      <w:r w:rsidR="007A177E">
        <w:rPr>
          <w:rFonts w:ascii="Times New Roman" w:eastAsia="宋体" w:hAnsi="Times New Roman" w:cs="Times New Roman"/>
          <w:color w:val="000000"/>
          <w:szCs w:val="21"/>
        </w:rPr>
        <w:t>S3</w:t>
      </w:r>
      <w:r w:rsidRPr="00493911">
        <w:rPr>
          <w:rFonts w:ascii="Times New Roman" w:eastAsia="宋体" w:hAnsi="Times New Roman" w:cs="Times New Roman"/>
          <w:color w:val="000000"/>
          <w:szCs w:val="21"/>
        </w:rPr>
        <w:t xml:space="preserve">. Mixing plots of the </w:t>
      </w:r>
      <w:r w:rsidR="000145F0" w:rsidRPr="00493911">
        <w:rPr>
          <w:rFonts w:ascii="Times New Roman" w:eastAsia="宋体" w:hAnsi="Times New Roman" w:cs="Times New Roman"/>
          <w:color w:val="000000"/>
          <w:szCs w:val="21"/>
        </w:rPr>
        <w:t>δ</w:t>
      </w:r>
      <w:r w:rsidR="000145F0" w:rsidRPr="00493911">
        <w:rPr>
          <w:rFonts w:ascii="Times New Roman" w:eastAsia="宋体" w:hAnsi="Times New Roman" w:cs="Times New Roman"/>
          <w:color w:val="000000"/>
          <w:szCs w:val="21"/>
          <w:vertAlign w:val="superscript"/>
        </w:rPr>
        <w:t>13</w:t>
      </w:r>
      <w:r w:rsidR="000145F0" w:rsidRPr="00493911">
        <w:rPr>
          <w:rFonts w:ascii="Times New Roman" w:eastAsia="宋体" w:hAnsi="Times New Roman" w:cs="Times New Roman"/>
          <w:color w:val="000000"/>
          <w:szCs w:val="21"/>
        </w:rPr>
        <w:t>C</w:t>
      </w:r>
      <w:r w:rsidR="000145F0">
        <w:rPr>
          <w:rFonts w:ascii="Times New Roman" w:eastAsia="宋体" w:hAnsi="Times New Roman" w:cs="Times New Roman"/>
          <w:color w:val="000000"/>
          <w:szCs w:val="21"/>
        </w:rPr>
        <w:t xml:space="preserve"> and </w:t>
      </w:r>
      <w:r w:rsidRPr="00493911">
        <w:rPr>
          <w:rFonts w:ascii="Times New Roman" w:eastAsia="宋体" w:hAnsi="Times New Roman" w:cs="Times New Roman"/>
          <w:color w:val="000000"/>
          <w:szCs w:val="21"/>
        </w:rPr>
        <w:t>δ</w:t>
      </w:r>
      <w:r w:rsidRPr="00493911">
        <w:rPr>
          <w:rFonts w:ascii="Times New Roman" w:eastAsia="宋体" w:hAnsi="Times New Roman" w:cs="Times New Roman"/>
          <w:color w:val="000000"/>
          <w:szCs w:val="21"/>
          <w:vertAlign w:val="superscript"/>
        </w:rPr>
        <w:t>15</w:t>
      </w:r>
      <w:r w:rsidRPr="00493911">
        <w:rPr>
          <w:rFonts w:ascii="Times New Roman" w:eastAsia="宋体" w:hAnsi="Times New Roman" w:cs="Times New Roman"/>
          <w:color w:val="000000"/>
          <w:szCs w:val="21"/>
        </w:rPr>
        <w:t>N values of the three potential POM</w:t>
      </w:r>
      <w:r>
        <w:rPr>
          <w:rFonts w:ascii="Times New Roman" w:eastAsia="宋体" w:hAnsi="Times New Roman" w:cs="Times New Roman"/>
          <w:color w:val="000000"/>
          <w:szCs w:val="21"/>
        </w:rPr>
        <w:t xml:space="preserve"> </w:t>
      </w:r>
      <w:r w:rsidRPr="00493911">
        <w:rPr>
          <w:rFonts w:ascii="Times New Roman" w:eastAsia="宋体" w:hAnsi="Times New Roman" w:cs="Times New Roman"/>
          <w:color w:val="000000"/>
          <w:szCs w:val="21"/>
        </w:rPr>
        <w:t xml:space="preserve">sources for the different areas </w:t>
      </w:r>
      <w:r w:rsidR="000145F0">
        <w:rPr>
          <w:rFonts w:ascii="Times New Roman" w:eastAsia="宋体" w:hAnsi="Times New Roman" w:cs="Times New Roman"/>
          <w:color w:val="000000"/>
          <w:szCs w:val="21"/>
        </w:rPr>
        <w:t>in Xi Bay</w:t>
      </w:r>
      <w:r w:rsidRPr="00493911">
        <w:rPr>
          <w:rFonts w:ascii="Times New Roman" w:eastAsia="宋体" w:hAnsi="Times New Roman" w:cs="Times New Roman"/>
          <w:color w:val="000000"/>
          <w:szCs w:val="21"/>
        </w:rPr>
        <w:t>. The</w:t>
      </w:r>
      <w:r>
        <w:rPr>
          <w:rFonts w:ascii="Times New Roman" w:eastAsia="宋体" w:hAnsi="Times New Roman" w:cs="Times New Roman"/>
          <w:color w:val="000000"/>
          <w:szCs w:val="21"/>
        </w:rPr>
        <w:t xml:space="preserve"> </w:t>
      </w:r>
      <w:r w:rsidRPr="00493911">
        <w:rPr>
          <w:rFonts w:ascii="Times New Roman" w:eastAsia="宋体" w:hAnsi="Times New Roman" w:cs="Times New Roman"/>
          <w:color w:val="000000"/>
          <w:szCs w:val="21"/>
        </w:rPr>
        <w:t>potential POM sources were marine and terrestrial organic matter sources</w:t>
      </w:r>
      <w:r w:rsidR="000145F0">
        <w:rPr>
          <w:rFonts w:ascii="Times New Roman" w:eastAsia="宋体" w:hAnsi="Times New Roman" w:cs="Times New Roman"/>
          <w:color w:val="000000"/>
          <w:szCs w:val="21"/>
        </w:rPr>
        <w:t xml:space="preserve"> (</w:t>
      </w:r>
      <w:r w:rsidR="007F3C04" w:rsidRPr="007F3C04">
        <w:rPr>
          <w:rFonts w:ascii="Times New Roman" w:eastAsia="宋体" w:hAnsi="Times New Roman" w:cs="Times New Roman"/>
          <w:color w:val="000000"/>
          <w:szCs w:val="21"/>
        </w:rPr>
        <w:t>Meyers,1994</w:t>
      </w:r>
      <w:r w:rsidR="0098688C">
        <w:rPr>
          <w:rFonts w:ascii="Times New Roman" w:eastAsia="宋体" w:hAnsi="Times New Roman" w:cs="Times New Roman"/>
          <w:color w:val="000000"/>
          <w:szCs w:val="21"/>
        </w:rPr>
        <w:t>, 1997</w:t>
      </w:r>
      <w:r w:rsidR="000145F0">
        <w:rPr>
          <w:rFonts w:ascii="Times New Roman" w:eastAsia="宋体" w:hAnsi="Times New Roman" w:cs="Times New Roman"/>
          <w:color w:val="000000"/>
          <w:szCs w:val="21"/>
        </w:rPr>
        <w:t>)</w:t>
      </w:r>
      <w:r w:rsidRPr="00493911">
        <w:rPr>
          <w:rFonts w:ascii="Times New Roman" w:eastAsia="宋体" w:hAnsi="Times New Roman" w:cs="Times New Roman"/>
          <w:color w:val="000000"/>
          <w:szCs w:val="21"/>
        </w:rPr>
        <w:t xml:space="preserve"> and</w:t>
      </w:r>
      <w:r>
        <w:rPr>
          <w:rFonts w:ascii="Times New Roman" w:eastAsia="宋体" w:hAnsi="Times New Roman" w:cs="Times New Roman"/>
          <w:color w:val="000000"/>
          <w:szCs w:val="21"/>
        </w:rPr>
        <w:t xml:space="preserve"> </w:t>
      </w:r>
      <w:r w:rsidRPr="00493911">
        <w:rPr>
          <w:rFonts w:ascii="Times New Roman" w:eastAsia="宋体" w:hAnsi="Times New Roman" w:cs="Times New Roman"/>
          <w:color w:val="000000"/>
          <w:szCs w:val="21"/>
        </w:rPr>
        <w:t>freshwater phytoplankton</w:t>
      </w:r>
      <w:r w:rsidR="007F3C04">
        <w:rPr>
          <w:rFonts w:ascii="Times New Roman" w:eastAsia="宋体" w:hAnsi="Times New Roman" w:cs="Times New Roman"/>
          <w:color w:val="000000"/>
          <w:szCs w:val="21"/>
        </w:rPr>
        <w:t xml:space="preserve"> (Ye et al., 2017)</w:t>
      </w:r>
      <w:r w:rsidRPr="00493911">
        <w:rPr>
          <w:rFonts w:ascii="Times New Roman" w:eastAsia="宋体" w:hAnsi="Times New Roman" w:cs="Times New Roman"/>
          <w:color w:val="000000"/>
          <w:szCs w:val="21"/>
        </w:rPr>
        <w:t>.</w:t>
      </w:r>
    </w:p>
    <w:p w14:paraId="7B0B210B" w14:textId="77777777" w:rsidR="00656F49" w:rsidRDefault="00656F49" w:rsidP="00493911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</w:p>
    <w:p w14:paraId="748CFF0F" w14:textId="77777777" w:rsidR="00A160EF" w:rsidRDefault="00A160EF" w:rsidP="00A160E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0B2CBE98" wp14:editId="4E988005">
            <wp:extent cx="5274310" cy="3156585"/>
            <wp:effectExtent l="0" t="0" r="254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1C919" w14:textId="3E7177A3" w:rsidR="00A160EF" w:rsidRDefault="00A160EF" w:rsidP="00A160E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93911">
        <w:rPr>
          <w:rFonts w:ascii="Times New Roman" w:eastAsia="宋体" w:hAnsi="Times New Roman" w:cs="Times New Roman"/>
          <w:color w:val="000000"/>
          <w:szCs w:val="21"/>
        </w:rPr>
        <w:t xml:space="preserve">Fig. </w:t>
      </w:r>
      <w:r>
        <w:rPr>
          <w:rFonts w:ascii="Times New Roman" w:eastAsia="宋体" w:hAnsi="Times New Roman" w:cs="Times New Roman"/>
          <w:color w:val="000000"/>
          <w:szCs w:val="21"/>
        </w:rPr>
        <w:t>S</w:t>
      </w:r>
      <w:r>
        <w:rPr>
          <w:rFonts w:ascii="Times New Roman" w:eastAsia="宋体" w:hAnsi="Times New Roman" w:cs="Times New Roman"/>
          <w:color w:val="000000"/>
          <w:szCs w:val="21"/>
        </w:rPr>
        <w:t>4</w:t>
      </w:r>
      <w:r>
        <w:rPr>
          <w:rFonts w:ascii="Times New Roman" w:hAnsi="Times New Roman" w:cs="Times New Roman"/>
        </w:rPr>
        <w:t xml:space="preserve"> Results of split-half validation</w:t>
      </w:r>
    </w:p>
    <w:p w14:paraId="1DC458C6" w14:textId="77777777" w:rsidR="006728B6" w:rsidRDefault="006728B6" w:rsidP="00493911">
      <w:pPr>
        <w:spacing w:line="360" w:lineRule="auto"/>
        <w:rPr>
          <w:rFonts w:ascii="Times New Roman" w:eastAsia="宋体" w:hAnsi="Times New Roman" w:cs="Times New Roman" w:hint="eastAsia"/>
          <w:color w:val="000000"/>
          <w:szCs w:val="21"/>
        </w:rPr>
      </w:pPr>
      <w:bookmarkStart w:id="0" w:name="_GoBack"/>
      <w:bookmarkEnd w:id="0"/>
    </w:p>
    <w:p w14:paraId="75A02CC3" w14:textId="0AA011ED" w:rsidR="006728B6" w:rsidRPr="006C0951" w:rsidRDefault="006728B6" w:rsidP="006728B6">
      <w:pPr>
        <w:spacing w:line="360" w:lineRule="auto"/>
        <w:jc w:val="center"/>
      </w:pPr>
      <w:r w:rsidRPr="000115CF">
        <w:rPr>
          <w:rFonts w:ascii="Times New Roman" w:hAnsi="Times New Roman" w:cs="Times New Roman"/>
          <w:b/>
        </w:rPr>
        <w:t>Table S1</w:t>
      </w:r>
      <w:r>
        <w:rPr>
          <w:rFonts w:ascii="Times New Roman" w:hAnsi="Times New Roman" w:cs="Times New Roman"/>
        </w:rPr>
        <w:t>. δ</w:t>
      </w:r>
      <w:r>
        <w:rPr>
          <w:rFonts w:ascii="Times New Roman" w:hAnsi="Times New Roman" w:cs="Times New Roman"/>
          <w:vertAlign w:val="superscript"/>
        </w:rPr>
        <w:t>13</w:t>
      </w:r>
      <w:r>
        <w:rPr>
          <w:rFonts w:ascii="Times New Roman" w:hAnsi="Times New Roman" w:cs="Times New Roman"/>
        </w:rPr>
        <w:t>C and δ</w:t>
      </w:r>
      <w:r>
        <w:rPr>
          <w:rFonts w:ascii="Times New Roman" w:hAnsi="Times New Roman" w:cs="Times New Roman"/>
          <w:vertAlign w:val="superscript"/>
        </w:rPr>
        <w:t>15</w:t>
      </w:r>
      <w:r>
        <w:rPr>
          <w:rFonts w:ascii="Times New Roman" w:hAnsi="Times New Roman" w:cs="Times New Roman"/>
        </w:rPr>
        <w:t>N values for the potential POM sources in the water in Xi Bay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527"/>
        <w:gridCol w:w="1061"/>
        <w:gridCol w:w="1061"/>
        <w:gridCol w:w="3657"/>
      </w:tblGrid>
      <w:tr w:rsidR="006728B6" w14:paraId="277FE846" w14:textId="77777777" w:rsidTr="00D10D84">
        <w:trPr>
          <w:jc w:val="center"/>
        </w:trPr>
        <w:tc>
          <w:tcPr>
            <w:tcW w:w="252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CE2332C" w14:textId="77777777" w:rsidR="006728B6" w:rsidRDefault="006728B6" w:rsidP="00D10D8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Source</w:t>
            </w:r>
          </w:p>
        </w:tc>
        <w:tc>
          <w:tcPr>
            <w:tcW w:w="106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CD1DC0D" w14:textId="77777777" w:rsidR="006728B6" w:rsidRDefault="006728B6" w:rsidP="00D10D8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δ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13</w:t>
            </w:r>
            <w:r>
              <w:rPr>
                <w:rFonts w:ascii="Times New Roman" w:hAnsi="Times New Roman" w:cs="Times New Roman"/>
                <w:szCs w:val="21"/>
              </w:rPr>
              <w:t>C</w:t>
            </w:r>
          </w:p>
          <w:p w14:paraId="09F3B9FD" w14:textId="77777777" w:rsidR="006728B6" w:rsidRDefault="006728B6" w:rsidP="00D10D8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6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632DB86" w14:textId="77777777" w:rsidR="006728B6" w:rsidRDefault="006728B6" w:rsidP="00D10D8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δ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N</w:t>
            </w:r>
          </w:p>
          <w:p w14:paraId="481CA1DC" w14:textId="77777777" w:rsidR="006728B6" w:rsidRDefault="006728B6" w:rsidP="00D10D8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5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D7A4A45" w14:textId="77777777" w:rsidR="006728B6" w:rsidRDefault="006728B6" w:rsidP="00D10D8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Reference</w:t>
            </w:r>
          </w:p>
        </w:tc>
      </w:tr>
      <w:tr w:rsidR="006728B6" w14:paraId="5337FFE4" w14:textId="77777777" w:rsidTr="00D10D84">
        <w:trPr>
          <w:jc w:val="center"/>
        </w:trPr>
        <w:tc>
          <w:tcPr>
            <w:tcW w:w="252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0FE8989" w14:textId="77777777" w:rsidR="006728B6" w:rsidRDefault="006728B6" w:rsidP="00D10D8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C3 plants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FEF513D" w14:textId="77777777" w:rsidR="006728B6" w:rsidRDefault="006728B6" w:rsidP="00D10D8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-25.9±1.2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B0C96C2" w14:textId="77777777" w:rsidR="006728B6" w:rsidRDefault="006728B6" w:rsidP="00D10D8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5.1±2.1</w:t>
            </w:r>
          </w:p>
        </w:tc>
        <w:tc>
          <w:tcPr>
            <w:tcW w:w="365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D006539" w14:textId="77777777" w:rsidR="006728B6" w:rsidRDefault="006728B6" w:rsidP="00D10D8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Sarma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et al., 2014)</w:t>
            </w:r>
          </w:p>
        </w:tc>
      </w:tr>
      <w:tr w:rsidR="006728B6" w14:paraId="0DD12FA8" w14:textId="77777777" w:rsidTr="00D10D84">
        <w:trPr>
          <w:jc w:val="center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60B2E9" w14:textId="77777777" w:rsidR="006728B6" w:rsidRDefault="006728B6" w:rsidP="00D10D8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C4 plants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C4964" w14:textId="77777777" w:rsidR="006728B6" w:rsidRDefault="006728B6" w:rsidP="00D10D8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-13.1±1.2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587CBC" w14:textId="77777777" w:rsidR="006728B6" w:rsidRDefault="006728B6" w:rsidP="00D10D8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4.4±2.1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B6185B" w14:textId="77777777" w:rsidR="006728B6" w:rsidRDefault="006728B6" w:rsidP="00D10D8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Sarma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et al., 2014)</w:t>
            </w:r>
          </w:p>
        </w:tc>
      </w:tr>
      <w:tr w:rsidR="006728B6" w14:paraId="59464A39" w14:textId="77777777" w:rsidTr="00D10D84">
        <w:trPr>
          <w:jc w:val="center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DF648" w14:textId="77777777" w:rsidR="006728B6" w:rsidRDefault="006728B6" w:rsidP="00D10D8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Terrestrial soil organic matter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7DEF1C" w14:textId="77777777" w:rsidR="006728B6" w:rsidRDefault="006728B6" w:rsidP="00D10D8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-19.2±2.4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4B05E7" w14:textId="77777777" w:rsidR="006728B6" w:rsidRDefault="006728B6" w:rsidP="00D10D8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10.3±2.7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2E24CA" w14:textId="77777777" w:rsidR="006728B6" w:rsidRDefault="006728B6" w:rsidP="00D10D8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Sarma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et al., 2014)</w:t>
            </w:r>
          </w:p>
        </w:tc>
      </w:tr>
      <w:tr w:rsidR="006728B6" w14:paraId="2D57790E" w14:textId="77777777" w:rsidTr="00D10D84">
        <w:trPr>
          <w:jc w:val="center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A5BAC" w14:textId="77777777" w:rsidR="006728B6" w:rsidRDefault="006728B6" w:rsidP="00D10D84">
            <w:pPr>
              <w:rPr>
                <w:rFonts w:ascii="Times New Roman" w:hAnsi="Times New Roman" w:cs="Times New Roman"/>
                <w:szCs w:val="21"/>
              </w:rPr>
            </w:pPr>
            <w:bookmarkStart w:id="1" w:name="OLE_LINK9"/>
            <w:r>
              <w:rPr>
                <w:rFonts w:ascii="Times New Roman" w:hAnsi="Times New Roman" w:cs="Times New Roman"/>
                <w:szCs w:val="21"/>
              </w:rPr>
              <w:t>Sewage</w:t>
            </w:r>
            <w:bookmarkEnd w:id="1"/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BD60F" w14:textId="77777777" w:rsidR="006728B6" w:rsidRDefault="006728B6" w:rsidP="00D10D8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-24.8±3.2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0FF1F6" w14:textId="77777777" w:rsidR="006728B6" w:rsidRDefault="006728B6" w:rsidP="00D10D8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14±4.0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C25585" w14:textId="77777777" w:rsidR="006728B6" w:rsidRDefault="006728B6" w:rsidP="00D10D8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(Andrews et al., 1998; 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Sarma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et al., 2020)</w:t>
            </w:r>
          </w:p>
        </w:tc>
      </w:tr>
      <w:tr w:rsidR="006728B6" w14:paraId="4879251A" w14:textId="77777777" w:rsidTr="00D10D84">
        <w:trPr>
          <w:jc w:val="center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CBC83C" w14:textId="77777777" w:rsidR="006728B6" w:rsidRDefault="006728B6" w:rsidP="00D10D8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Marine organic matter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CD577A" w14:textId="77777777" w:rsidR="006728B6" w:rsidRDefault="006728B6" w:rsidP="00D10D8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-20.0±2.0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A1A735" w14:textId="77777777" w:rsidR="006728B6" w:rsidRDefault="006728B6" w:rsidP="00D10D8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6.0±2.0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86575" w14:textId="77777777" w:rsidR="006728B6" w:rsidRDefault="006728B6" w:rsidP="00D10D8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(Ye et al., 2017)</w:t>
            </w:r>
          </w:p>
        </w:tc>
      </w:tr>
      <w:tr w:rsidR="006728B6" w14:paraId="64236E4C" w14:textId="77777777" w:rsidTr="00D10D84">
        <w:trPr>
          <w:jc w:val="center"/>
        </w:trPr>
        <w:tc>
          <w:tcPr>
            <w:tcW w:w="252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A9129FD" w14:textId="77777777" w:rsidR="006728B6" w:rsidRDefault="006728B6" w:rsidP="00D10D8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Freshwater phytoplankton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E04BD0E" w14:textId="77777777" w:rsidR="006728B6" w:rsidRDefault="006728B6" w:rsidP="00D10D8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-30.0±2.0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6D59C5F" w14:textId="77777777" w:rsidR="006728B6" w:rsidRDefault="006728B6" w:rsidP="00D10D8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12.0±2.0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BDCE3FD" w14:textId="77777777" w:rsidR="006728B6" w:rsidRDefault="006728B6" w:rsidP="00D10D8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(Ye et al., 2017)</w:t>
            </w:r>
          </w:p>
        </w:tc>
      </w:tr>
    </w:tbl>
    <w:p w14:paraId="20A5043C" w14:textId="77777777" w:rsidR="006728B6" w:rsidRPr="006728B6" w:rsidRDefault="006728B6" w:rsidP="00493911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</w:p>
    <w:sectPr w:rsidR="006728B6" w:rsidRPr="00672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ACB1F" w14:textId="77777777" w:rsidR="00CB06EF" w:rsidRDefault="00CB06EF" w:rsidP="001076B8">
      <w:r>
        <w:separator/>
      </w:r>
    </w:p>
  </w:endnote>
  <w:endnote w:type="continuationSeparator" w:id="0">
    <w:p w14:paraId="42A9B673" w14:textId="77777777" w:rsidR="00CB06EF" w:rsidRDefault="00CB06EF" w:rsidP="0010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isSIL">
    <w:altName w:val="Cambria"/>
    <w:charset w:val="00"/>
    <w:family w:val="roman"/>
    <w:pitch w:val="default"/>
  </w:font>
  <w:font w:name="STIX-Regular">
    <w:altName w:val="Times New Roman"/>
    <w:panose1 w:val="00000000000000000000"/>
    <w:charset w:val="00"/>
    <w:family w:val="roman"/>
    <w:notTrueType/>
    <w:pitch w:val="default"/>
  </w:font>
  <w:font w:name="CharisSIL-Italic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51F6C" w14:textId="77777777" w:rsidR="00CB06EF" w:rsidRDefault="00CB06EF" w:rsidP="001076B8">
      <w:r>
        <w:separator/>
      </w:r>
    </w:p>
  </w:footnote>
  <w:footnote w:type="continuationSeparator" w:id="0">
    <w:p w14:paraId="12A85F77" w14:textId="77777777" w:rsidR="00CB06EF" w:rsidRDefault="00CB06EF" w:rsidP="00107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33"/>
    <w:rsid w:val="000145F0"/>
    <w:rsid w:val="000221CD"/>
    <w:rsid w:val="000404F6"/>
    <w:rsid w:val="00064632"/>
    <w:rsid w:val="001076B8"/>
    <w:rsid w:val="001636D4"/>
    <w:rsid w:val="00186886"/>
    <w:rsid w:val="001A66C5"/>
    <w:rsid w:val="001B6BE6"/>
    <w:rsid w:val="001D601E"/>
    <w:rsid w:val="00244DF4"/>
    <w:rsid w:val="00260CD2"/>
    <w:rsid w:val="002829F0"/>
    <w:rsid w:val="002B66EF"/>
    <w:rsid w:val="002E5179"/>
    <w:rsid w:val="00324BE9"/>
    <w:rsid w:val="00327287"/>
    <w:rsid w:val="00365761"/>
    <w:rsid w:val="003B2D0F"/>
    <w:rsid w:val="003B446C"/>
    <w:rsid w:val="00415F5A"/>
    <w:rsid w:val="004276FF"/>
    <w:rsid w:val="00444FD8"/>
    <w:rsid w:val="004760DA"/>
    <w:rsid w:val="00485688"/>
    <w:rsid w:val="00493911"/>
    <w:rsid w:val="004D4658"/>
    <w:rsid w:val="00531A0E"/>
    <w:rsid w:val="0053795D"/>
    <w:rsid w:val="00544CDA"/>
    <w:rsid w:val="00594ACD"/>
    <w:rsid w:val="00596804"/>
    <w:rsid w:val="005B2D9E"/>
    <w:rsid w:val="00652B7A"/>
    <w:rsid w:val="00656F49"/>
    <w:rsid w:val="006728B6"/>
    <w:rsid w:val="006C0951"/>
    <w:rsid w:val="006F3CF6"/>
    <w:rsid w:val="007412F2"/>
    <w:rsid w:val="00791626"/>
    <w:rsid w:val="007A177E"/>
    <w:rsid w:val="007C0597"/>
    <w:rsid w:val="007C691A"/>
    <w:rsid w:val="007C7A17"/>
    <w:rsid w:val="007F3C04"/>
    <w:rsid w:val="00802934"/>
    <w:rsid w:val="00867EB4"/>
    <w:rsid w:val="00871D1D"/>
    <w:rsid w:val="008874FB"/>
    <w:rsid w:val="00892207"/>
    <w:rsid w:val="008E4F33"/>
    <w:rsid w:val="0092747E"/>
    <w:rsid w:val="00951112"/>
    <w:rsid w:val="009617A3"/>
    <w:rsid w:val="0098688C"/>
    <w:rsid w:val="009915A6"/>
    <w:rsid w:val="009E7EB1"/>
    <w:rsid w:val="00A01AAC"/>
    <w:rsid w:val="00A160EF"/>
    <w:rsid w:val="00A60A3E"/>
    <w:rsid w:val="00A63BE6"/>
    <w:rsid w:val="00A72FDB"/>
    <w:rsid w:val="00A904F6"/>
    <w:rsid w:val="00B214AE"/>
    <w:rsid w:val="00B27012"/>
    <w:rsid w:val="00B54AA4"/>
    <w:rsid w:val="00BA3CBE"/>
    <w:rsid w:val="00C5461D"/>
    <w:rsid w:val="00C57998"/>
    <w:rsid w:val="00C64FD9"/>
    <w:rsid w:val="00C86838"/>
    <w:rsid w:val="00CA4129"/>
    <w:rsid w:val="00CA6010"/>
    <w:rsid w:val="00CB06EF"/>
    <w:rsid w:val="00CF49EC"/>
    <w:rsid w:val="00DF37EA"/>
    <w:rsid w:val="00DF3855"/>
    <w:rsid w:val="00E24449"/>
    <w:rsid w:val="00EA5645"/>
    <w:rsid w:val="00ED27C1"/>
    <w:rsid w:val="00EF0DB8"/>
    <w:rsid w:val="00F02BD5"/>
    <w:rsid w:val="00F07120"/>
    <w:rsid w:val="00F07415"/>
    <w:rsid w:val="00F215E0"/>
    <w:rsid w:val="00F41B98"/>
    <w:rsid w:val="00FF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1ACB9"/>
  <w15:chartTrackingRefBased/>
  <w15:docId w15:val="{E851E885-C43A-410C-8011-F4254D7B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76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7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76B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076B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076B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qFormat/>
    <w:rsid w:val="001076B8"/>
    <w:pPr>
      <w:jc w:val="left"/>
    </w:pPr>
  </w:style>
  <w:style w:type="character" w:customStyle="1" w:styleId="aa">
    <w:name w:val="批注文字 字符"/>
    <w:basedOn w:val="a0"/>
    <w:link w:val="a9"/>
    <w:uiPriority w:val="99"/>
    <w:qFormat/>
    <w:rsid w:val="001076B8"/>
  </w:style>
  <w:style w:type="character" w:styleId="ab">
    <w:name w:val="annotation reference"/>
    <w:basedOn w:val="a0"/>
    <w:uiPriority w:val="99"/>
    <w:semiHidden/>
    <w:unhideWhenUsed/>
    <w:qFormat/>
    <w:rsid w:val="001076B8"/>
    <w:rPr>
      <w:sz w:val="21"/>
      <w:szCs w:val="21"/>
    </w:rPr>
  </w:style>
  <w:style w:type="character" w:customStyle="1" w:styleId="fontstyle01">
    <w:name w:val="fontstyle01"/>
    <w:basedOn w:val="a0"/>
    <w:rsid w:val="0053795D"/>
    <w:rPr>
      <w:rFonts w:ascii="CharisSIL" w:hAnsi="CharisSIL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21">
    <w:name w:val="fontstyle21"/>
    <w:basedOn w:val="a0"/>
    <w:rsid w:val="0053795D"/>
    <w:rPr>
      <w:rFonts w:ascii="STIX-Regular" w:hAnsi="STIX-Regular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31">
    <w:name w:val="fontstyle31"/>
    <w:basedOn w:val="a0"/>
    <w:rsid w:val="0053795D"/>
    <w:rPr>
      <w:rFonts w:ascii="CharisSIL-Italic" w:hAnsi="CharisSIL-Italic" w:hint="default"/>
      <w:b w:val="0"/>
      <w:bCs w:val="0"/>
      <w:i/>
      <w:iCs/>
      <w:color w:val="000000"/>
      <w:sz w:val="14"/>
      <w:szCs w:val="14"/>
    </w:rPr>
  </w:style>
  <w:style w:type="character" w:customStyle="1" w:styleId="article-headermeta-info-data">
    <w:name w:val="article-header__meta-info-data"/>
    <w:rsid w:val="006F3CF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34</cp:revision>
  <dcterms:created xsi:type="dcterms:W3CDTF">2022-04-14T06:19:00Z</dcterms:created>
  <dcterms:modified xsi:type="dcterms:W3CDTF">2022-10-22T03:46:00Z</dcterms:modified>
</cp:coreProperties>
</file>