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auto"/>
        <w:ind w:firstLine="120" w:firstLineChars="50"/>
        <w:jc w:val="center"/>
        <w:rPr>
          <w:rFonts w:hint="eastAsia" w:eastAsia="宋体"/>
          <w:b/>
          <w:kern w:val="2"/>
          <w:sz w:val="24"/>
          <w:szCs w:val="24"/>
          <w:lang w:val="en-US" w:eastAsia="zh-CN" w:bidi="ar"/>
        </w:rPr>
      </w:pPr>
      <w:r>
        <w:rPr>
          <w:rFonts w:eastAsia="宋体"/>
          <w:b/>
          <w:kern w:val="2"/>
          <w:sz w:val="24"/>
          <w:szCs w:val="24"/>
          <w:lang w:bidi="ar"/>
        </w:rPr>
        <w:t xml:space="preserve">Supplementary material </w:t>
      </w:r>
      <w:r>
        <w:rPr>
          <w:rFonts w:hint="eastAsia" w:eastAsia="宋体"/>
          <w:b/>
          <w:kern w:val="2"/>
          <w:sz w:val="24"/>
          <w:szCs w:val="24"/>
          <w:lang w:bidi="ar"/>
        </w:rPr>
        <w:t>S</w:t>
      </w:r>
      <w:r>
        <w:rPr>
          <w:rFonts w:hint="eastAsia" w:eastAsia="宋体"/>
          <w:b/>
          <w:kern w:val="2"/>
          <w:sz w:val="24"/>
          <w:szCs w:val="24"/>
          <w:lang w:val="en-US" w:eastAsia="zh-CN" w:bidi="ar"/>
        </w:rPr>
        <w:t>2</w:t>
      </w:r>
    </w:p>
    <w:p>
      <w:pPr>
        <w:widowControl/>
        <w:spacing w:line="480" w:lineRule="auto"/>
        <w:ind w:firstLine="120" w:firstLineChars="50"/>
        <w:jc w:val="center"/>
        <w:rPr>
          <w:rFonts w:hint="eastAsia" w:eastAsia="宋体"/>
          <w:b/>
          <w:kern w:val="2"/>
          <w:sz w:val="24"/>
          <w:szCs w:val="24"/>
          <w:lang w:val="en-US" w:eastAsia="zh-CN" w:bidi="ar"/>
        </w:rPr>
      </w:pPr>
      <w:r>
        <w:rPr>
          <w:rFonts w:hint="eastAsia"/>
          <w:b/>
          <w:bCs/>
          <w:sz w:val="24"/>
          <w:szCs w:val="24"/>
        </w:rPr>
        <w:drawing>
          <wp:inline distT="0" distB="0" distL="114300" distR="114300">
            <wp:extent cx="5074920" cy="5696585"/>
            <wp:effectExtent l="0" t="0" r="5080" b="5715"/>
            <wp:docPr id="5" name="图片 5" descr="流程图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流程图_画板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1" w:firstLineChars="100"/>
        <w:rPr>
          <w:rFonts w:hint="eastAsia" w:eastAsia="宋体"/>
          <w:b/>
          <w:kern w:val="2"/>
          <w:sz w:val="24"/>
          <w:szCs w:val="24"/>
          <w:lang w:val="en-US" w:eastAsia="zh-CN" w:bidi="ar"/>
        </w:rPr>
      </w:pPr>
      <w:r>
        <w:rPr>
          <w:rFonts w:hint="eastAsia"/>
          <w:b/>
          <w:bCs/>
          <w:sz w:val="24"/>
          <w:szCs w:val="24"/>
        </w:rPr>
        <w:t>Figure 1</w:t>
      </w:r>
      <w:r>
        <w:rPr>
          <w:rFonts w:hint="eastAsia"/>
          <w:sz w:val="24"/>
          <w:szCs w:val="24"/>
        </w:rPr>
        <w:t xml:space="preserve"> Flowchart for profiling </w:t>
      </w:r>
      <w:r>
        <w:rPr>
          <w:rFonts w:hint="eastAsia"/>
          <w:i/>
          <w:iCs/>
          <w:sz w:val="24"/>
          <w:szCs w:val="24"/>
        </w:rPr>
        <w:t>SLC2As</w:t>
      </w:r>
      <w:r>
        <w:rPr>
          <w:rFonts w:hint="eastAsia"/>
          <w:sz w:val="24"/>
          <w:szCs w:val="24"/>
        </w:rPr>
        <w:t xml:space="preserve"> of LUAD</w:t>
      </w:r>
    </w:p>
    <w:p>
      <w:pPr>
        <w:widowControl/>
        <w:spacing w:line="480" w:lineRule="auto"/>
        <w:ind w:firstLine="120" w:firstLineChars="50"/>
        <w:jc w:val="center"/>
        <w:rPr>
          <w:rFonts w:eastAsia="宋体"/>
          <w:color w:val="000000"/>
          <w:sz w:val="24"/>
          <w:szCs w:val="24"/>
          <w:lang w:bidi="ar"/>
        </w:rPr>
      </w:pPr>
      <w:r>
        <w:rPr>
          <w:rFonts w:eastAsia="宋体"/>
          <w:b/>
          <w:kern w:val="2"/>
          <w:sz w:val="24"/>
          <w:szCs w:val="24"/>
          <w:lang w:bidi="ar"/>
        </w:rPr>
        <w:t xml:space="preserve"> </w:t>
      </w:r>
      <w:r>
        <w:rPr>
          <w:rFonts w:hint="eastAsia" w:eastAsia="宋体"/>
          <w:b/>
          <w:kern w:val="2"/>
          <w:sz w:val="24"/>
          <w:szCs w:val="24"/>
          <w:lang w:bidi="ar"/>
        </w:rPr>
        <w:t xml:space="preserve"> </w:t>
      </w:r>
      <w:r>
        <w:rPr>
          <w:rFonts w:eastAsia="宋体"/>
          <w:b/>
          <w:kern w:val="2"/>
          <w:sz w:val="24"/>
          <w:szCs w:val="24"/>
          <w:lang w:bidi="ar"/>
        </w:rPr>
        <w:drawing>
          <wp:inline distT="0" distB="0" distL="114300" distR="114300">
            <wp:extent cx="4382135" cy="4949825"/>
            <wp:effectExtent l="0" t="0" r="12065" b="3175"/>
            <wp:docPr id="3" name="图片 3" descr="Supplementary Figure 1 SLC2A富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1 SLC2A富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 xml:space="preserve"> GO annotations and Kyoto Encyclopedia of Genes and Genomes (KEGG) pathway analyses of </w:t>
      </w:r>
      <w:r>
        <w:rPr>
          <w:rFonts w:hint="eastAsia"/>
          <w:i/>
          <w:iCs/>
          <w:sz w:val="24"/>
          <w:szCs w:val="24"/>
        </w:rPr>
        <w:t>SLC2As</w:t>
      </w:r>
      <w:r>
        <w:rPr>
          <w:rFonts w:hint="eastAsia"/>
          <w:sz w:val="24"/>
          <w:szCs w:val="24"/>
        </w:rPr>
        <w:t>. (A) biological process. (B)Cellular components. (C) Molecular functions.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(D)  Pathway analyses using the KEGG database. (E) diseases associated with </w:t>
      </w:r>
      <w:r>
        <w:rPr>
          <w:rFonts w:hint="eastAsia"/>
          <w:i/>
          <w:iCs/>
          <w:sz w:val="24"/>
          <w:szCs w:val="24"/>
        </w:rPr>
        <w:t>SLC2As</w:t>
      </w:r>
      <w:r>
        <w:rPr>
          <w:rFonts w:hint="eastAsia"/>
          <w:sz w:val="24"/>
          <w:szCs w:val="24"/>
        </w:rPr>
        <w:t>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333625"/>
            <wp:effectExtent l="0" t="0" r="88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i/>
          <w:iCs/>
          <w:color w:val="000000"/>
          <w:sz w:val="24"/>
          <w:lang w:bidi="ar"/>
        </w:rPr>
      </w:pPr>
      <w:r>
        <w:rPr>
          <w:b/>
          <w:bCs/>
          <w:color w:val="000000"/>
          <w:sz w:val="24"/>
          <w:lang w:bidi="ar"/>
        </w:rPr>
        <w:t xml:space="preserve">Figure </w:t>
      </w:r>
      <w:r>
        <w:rPr>
          <w:rFonts w:hint="eastAsia"/>
          <w:b/>
          <w:bCs/>
          <w:color w:val="000000"/>
          <w:sz w:val="24"/>
          <w:lang w:val="en-US" w:eastAsia="zh-CN" w:bidi="ar"/>
        </w:rPr>
        <w:t>3</w:t>
      </w:r>
      <w:r>
        <w:rPr>
          <w:b/>
          <w:bCs/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 xml:space="preserve">Prognostic value of mRNA expression of distinct </w:t>
      </w:r>
      <w:r>
        <w:rPr>
          <w:i/>
          <w:iCs/>
          <w:color w:val="000000"/>
          <w:sz w:val="24"/>
          <w:lang w:bidi="ar"/>
        </w:rPr>
        <w:t>SLC2As</w:t>
      </w:r>
      <w:r>
        <w:rPr>
          <w:color w:val="000000"/>
          <w:sz w:val="24"/>
          <w:lang w:bidi="ar"/>
        </w:rPr>
        <w:t xml:space="preserve"> in LUAD (Kaplan-Meier Plotter). Lower mRNA expressions of </w:t>
      </w:r>
      <w:r>
        <w:rPr>
          <w:i/>
          <w:iCs/>
          <w:color w:val="000000"/>
          <w:sz w:val="24"/>
          <w:lang w:bidi="ar"/>
        </w:rPr>
        <w:t>SLC2A1, SLC2A2,</w:t>
      </w:r>
    </w:p>
    <w:p>
      <w:pPr>
        <w:widowControl/>
        <w:jc w:val="left"/>
        <w:rPr>
          <w:sz w:val="36"/>
          <w:szCs w:val="36"/>
        </w:rPr>
      </w:pPr>
      <w:r>
        <w:rPr>
          <w:i/>
          <w:iCs/>
          <w:color w:val="000000"/>
          <w:sz w:val="24"/>
          <w:lang w:bidi="ar"/>
        </w:rPr>
        <w:t xml:space="preserve">S LC2A3, SLC2A4, SLC2A5, SLC2A9, SLC2A14 </w:t>
      </w:r>
      <w:r>
        <w:rPr>
          <w:color w:val="000000"/>
          <w:sz w:val="24"/>
          <w:lang w:bidi="ar"/>
        </w:rPr>
        <w:t xml:space="preserve">and higher mRNA level of </w:t>
      </w:r>
      <w:r>
        <w:rPr>
          <w:i/>
          <w:iCs/>
          <w:color w:val="000000"/>
          <w:sz w:val="24"/>
          <w:lang w:bidi="ar"/>
        </w:rPr>
        <w:t>SLC2A10, SLC2A12, SLC2A13</w:t>
      </w:r>
      <w:r>
        <w:rPr>
          <w:color w:val="000000"/>
          <w:sz w:val="24"/>
          <w:lang w:bidi="ar"/>
        </w:rPr>
        <w:t xml:space="preserve"> were significantly associated with favorable Overall Survial (OS) of LUAD</w:t>
      </w:r>
      <w:r>
        <w:rPr>
          <w:rFonts w:hint="eastAsia"/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(</w:t>
      </w:r>
      <w:r>
        <w:rPr>
          <w:rFonts w:hint="eastAsia"/>
          <w:color w:val="000000"/>
          <w:sz w:val="24"/>
          <w:lang w:bidi="ar"/>
        </w:rPr>
        <w:t>A</w:t>
      </w:r>
      <w:r>
        <w:rPr>
          <w:color w:val="000000"/>
          <w:sz w:val="24"/>
          <w:lang w:bidi="ar"/>
        </w:rPr>
        <w:t>-</w:t>
      </w:r>
      <w:r>
        <w:rPr>
          <w:rFonts w:hint="eastAsia"/>
          <w:color w:val="000000"/>
          <w:sz w:val="24"/>
          <w:lang w:bidi="ar"/>
        </w:rPr>
        <w:t>J</w:t>
      </w:r>
      <w:r>
        <w:rPr>
          <w:color w:val="000000"/>
          <w:sz w:val="24"/>
          <w:lang w:bidi="ar"/>
        </w:rPr>
        <w:t>).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6108700" cy="4462145"/>
            <wp:effectExtent l="0" t="0" r="0" b="825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7239" cy="447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i/>
          <w:iCs/>
          <w:sz w:val="24"/>
          <w:szCs w:val="24"/>
        </w:rPr>
        <w:t>SLC2As</w:t>
      </w:r>
      <w:r>
        <w:rPr>
          <w:rFonts w:hint="eastAsia"/>
          <w:sz w:val="24"/>
          <w:szCs w:val="24"/>
        </w:rPr>
        <w:t xml:space="preserve"> expression has significant correlations with infiltration of immune cells and macrophage polarization in LUAD. (A-D,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J-K) </w:t>
      </w:r>
      <w:r>
        <w:rPr>
          <w:rFonts w:hint="eastAsia"/>
          <w:i/>
          <w:iCs/>
          <w:sz w:val="24"/>
          <w:szCs w:val="24"/>
        </w:rPr>
        <w:t xml:space="preserve">SLC2A3, SLC2A5, SLC2A14 </w:t>
      </w:r>
      <w:r>
        <w:rPr>
          <w:rFonts w:hint="eastAsia"/>
          <w:sz w:val="24"/>
          <w:szCs w:val="24"/>
        </w:rPr>
        <w:t xml:space="preserve">expressions were all in significantly positive correlation with infiltration of monocytes and M2 macrophages in LUAD. (E-F) </w:t>
      </w:r>
      <w:r>
        <w:rPr>
          <w:rFonts w:hint="eastAsia"/>
          <w:i/>
          <w:iCs/>
          <w:sz w:val="24"/>
          <w:szCs w:val="24"/>
        </w:rPr>
        <w:t>SLC2A6</w:t>
      </w:r>
      <w:r>
        <w:rPr>
          <w:rFonts w:hint="eastAsia"/>
          <w:sz w:val="24"/>
          <w:szCs w:val="24"/>
        </w:rPr>
        <w:t xml:space="preserve"> expression was in significantly positive correlation with infiltration of monocytes and T cells in LUAD. (G-I) </w:t>
      </w:r>
      <w:r>
        <w:rPr>
          <w:rFonts w:hint="eastAsia"/>
          <w:i/>
          <w:iCs/>
          <w:sz w:val="24"/>
          <w:szCs w:val="24"/>
        </w:rPr>
        <w:t>SLC2A9</w:t>
      </w:r>
      <w:r>
        <w:rPr>
          <w:rFonts w:hint="eastAsia"/>
          <w:sz w:val="24"/>
          <w:szCs w:val="24"/>
        </w:rPr>
        <w:t xml:space="preserve"> expression was in significantly positive correlation with infiltration of monocytes, Tregs and M2 macrophages in LUAD.</w:t>
      </w:r>
    </w:p>
    <w:p>
      <w:pPr>
        <w:spacing w:line="480" w:lineRule="auto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97155</wp:posOffset>
            </wp:positionV>
            <wp:extent cx="5268595" cy="3934460"/>
            <wp:effectExtent l="0" t="0" r="1905" b="254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  <w:lang w:val="en-US" w:eastAsia="zh-CN"/>
        </w:rPr>
        <w:t>5</w:t>
      </w:r>
      <w:bookmarkStart w:id="0" w:name="_GoBack"/>
      <w:bookmarkEnd w:id="0"/>
      <w:r>
        <w:rPr>
          <w:sz w:val="24"/>
          <w:szCs w:val="24"/>
        </w:rPr>
        <w:t xml:space="preserve"> A heatmap of the correlation </w:t>
      </w:r>
      <w:r>
        <w:rPr>
          <w:rFonts w:hint="eastAsia"/>
          <w:sz w:val="24"/>
          <w:szCs w:val="24"/>
        </w:rPr>
        <w:t xml:space="preserve">among </w:t>
      </w:r>
      <w:r>
        <w:rPr>
          <w:rFonts w:hint="eastAsia"/>
          <w:i/>
          <w:iCs/>
          <w:sz w:val="24"/>
          <w:szCs w:val="24"/>
        </w:rPr>
        <w:t>SLC2A1</w:t>
      </w:r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i/>
          <w:iCs/>
          <w:sz w:val="24"/>
          <w:szCs w:val="24"/>
        </w:rPr>
        <w:t>SLC2A7</w:t>
      </w:r>
      <w:r>
        <w:rPr>
          <w:rFonts w:hint="eastAsia"/>
          <w:sz w:val="24"/>
          <w:szCs w:val="24"/>
        </w:rPr>
        <w:t xml:space="preserve">, and </w:t>
      </w:r>
      <w:r>
        <w:rPr>
          <w:rFonts w:hint="eastAsia"/>
          <w:i/>
          <w:iCs/>
          <w:sz w:val="24"/>
          <w:szCs w:val="24"/>
        </w:rPr>
        <w:t>SLC2A11</w:t>
      </w:r>
      <w:r>
        <w:rPr>
          <w:sz w:val="24"/>
          <w:szCs w:val="24"/>
        </w:rPr>
        <w:t>.The abscissa and ordinate represent genes, different colors represent different correlation coefficients (blue represents positive correlation whereas red represents negative correlation), the darker the color, the stronger the relation. Asterisks (*) stand for significance levels, ** p &lt; 0.01, * p &lt; 0.05.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ocumentProtection w:enforcement="0"/>
  <w:defaultTabStop w:val="420"/>
  <w:noPunctuationKerning w:val="1"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gzMDY0Y2RkZDIwMzJjZWM2MjcxOWE2ZWU3NzZlYmIifQ=="/>
  </w:docVars>
  <w:rsids>
    <w:rsidRoot w:val="008F55F4"/>
    <w:rsid w:val="000111AD"/>
    <w:rsid w:val="00046656"/>
    <w:rsid w:val="00054F44"/>
    <w:rsid w:val="0012426C"/>
    <w:rsid w:val="001356F6"/>
    <w:rsid w:val="00150D56"/>
    <w:rsid w:val="00166F8C"/>
    <w:rsid w:val="00172AF4"/>
    <w:rsid w:val="001B08E0"/>
    <w:rsid w:val="001C2C07"/>
    <w:rsid w:val="001C645D"/>
    <w:rsid w:val="002056EB"/>
    <w:rsid w:val="002347CF"/>
    <w:rsid w:val="00264B3D"/>
    <w:rsid w:val="00313D2B"/>
    <w:rsid w:val="0037462A"/>
    <w:rsid w:val="0038470B"/>
    <w:rsid w:val="00390CE1"/>
    <w:rsid w:val="003A2445"/>
    <w:rsid w:val="003E593D"/>
    <w:rsid w:val="003F516A"/>
    <w:rsid w:val="004018C6"/>
    <w:rsid w:val="0045536A"/>
    <w:rsid w:val="004B3340"/>
    <w:rsid w:val="004E15A2"/>
    <w:rsid w:val="005029E1"/>
    <w:rsid w:val="00574A7F"/>
    <w:rsid w:val="00580F51"/>
    <w:rsid w:val="005A37C4"/>
    <w:rsid w:val="005D054F"/>
    <w:rsid w:val="005F4534"/>
    <w:rsid w:val="00627A77"/>
    <w:rsid w:val="006360CC"/>
    <w:rsid w:val="00640835"/>
    <w:rsid w:val="00651708"/>
    <w:rsid w:val="006A33C6"/>
    <w:rsid w:val="006B7091"/>
    <w:rsid w:val="006C05AA"/>
    <w:rsid w:val="006D3134"/>
    <w:rsid w:val="00713E78"/>
    <w:rsid w:val="007407C3"/>
    <w:rsid w:val="007433F4"/>
    <w:rsid w:val="00781DA4"/>
    <w:rsid w:val="007A0522"/>
    <w:rsid w:val="007A4D6C"/>
    <w:rsid w:val="007B5E70"/>
    <w:rsid w:val="007C4FA9"/>
    <w:rsid w:val="007D3201"/>
    <w:rsid w:val="007E3247"/>
    <w:rsid w:val="007E65BC"/>
    <w:rsid w:val="007E6744"/>
    <w:rsid w:val="00825A86"/>
    <w:rsid w:val="0083110F"/>
    <w:rsid w:val="00851FF0"/>
    <w:rsid w:val="008A3DA8"/>
    <w:rsid w:val="008F55F4"/>
    <w:rsid w:val="00925331"/>
    <w:rsid w:val="009B1841"/>
    <w:rsid w:val="009F6985"/>
    <w:rsid w:val="00A47818"/>
    <w:rsid w:val="00A82B96"/>
    <w:rsid w:val="00AA513D"/>
    <w:rsid w:val="00AB3057"/>
    <w:rsid w:val="00AD3370"/>
    <w:rsid w:val="00AD446F"/>
    <w:rsid w:val="00B23C44"/>
    <w:rsid w:val="00B83CC1"/>
    <w:rsid w:val="00BB44DD"/>
    <w:rsid w:val="00C86621"/>
    <w:rsid w:val="00D06573"/>
    <w:rsid w:val="00D50F64"/>
    <w:rsid w:val="00D56785"/>
    <w:rsid w:val="00DC4AC2"/>
    <w:rsid w:val="00DE0119"/>
    <w:rsid w:val="00E0749C"/>
    <w:rsid w:val="00EA2120"/>
    <w:rsid w:val="00EB6D84"/>
    <w:rsid w:val="00EC11B6"/>
    <w:rsid w:val="00F23D1E"/>
    <w:rsid w:val="00F32AD1"/>
    <w:rsid w:val="00F43691"/>
    <w:rsid w:val="00F95DD8"/>
    <w:rsid w:val="00FB4F3B"/>
    <w:rsid w:val="00FC281C"/>
    <w:rsid w:val="02702D13"/>
    <w:rsid w:val="0862007C"/>
    <w:rsid w:val="09935E58"/>
    <w:rsid w:val="1444735B"/>
    <w:rsid w:val="14863CD0"/>
    <w:rsid w:val="1663076D"/>
    <w:rsid w:val="1BD96DDB"/>
    <w:rsid w:val="1E0B5246"/>
    <w:rsid w:val="23367C8F"/>
    <w:rsid w:val="26812549"/>
    <w:rsid w:val="26AD77E2"/>
    <w:rsid w:val="2DBF3B4F"/>
    <w:rsid w:val="2F5C3B54"/>
    <w:rsid w:val="30774D7C"/>
    <w:rsid w:val="32E427DE"/>
    <w:rsid w:val="3F1F483B"/>
    <w:rsid w:val="475237BC"/>
    <w:rsid w:val="4C635E0C"/>
    <w:rsid w:val="4F505683"/>
    <w:rsid w:val="56293AED"/>
    <w:rsid w:val="5820232F"/>
    <w:rsid w:val="5AA24261"/>
    <w:rsid w:val="5B1E422F"/>
    <w:rsid w:val="614C4F26"/>
    <w:rsid w:val="622C0046"/>
    <w:rsid w:val="624A590A"/>
    <w:rsid w:val="636C2397"/>
    <w:rsid w:val="650A5824"/>
    <w:rsid w:val="65A610A9"/>
    <w:rsid w:val="65CF6F6D"/>
    <w:rsid w:val="669F061A"/>
    <w:rsid w:val="71121CE9"/>
    <w:rsid w:val="78F9378E"/>
    <w:rsid w:val="79EA1A55"/>
    <w:rsid w:val="7C613B24"/>
    <w:rsid w:val="7E9F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楷体" w:cs="Times New Roman"/>
      <w:color w:val="000000" w:themeColor="text1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15"/>
    <w:basedOn w:val="6"/>
    <w:qFormat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9">
    <w:name w:val="16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</w:rPr>
  </w:style>
  <w:style w:type="character" w:customStyle="1" w:styleId="10">
    <w:name w:val="18"/>
    <w:basedOn w:val="6"/>
    <w:qFormat/>
    <w:uiPriority w:val="0"/>
    <w:rPr>
      <w:rFonts w:hint="default" w:ascii="Times New Roman" w:hAnsi="Times New Roman" w:cs="Times New Roman"/>
      <w:i/>
      <w:iCs/>
      <w:color w:val="000000"/>
      <w:sz w:val="20"/>
      <w:szCs w:val="20"/>
    </w:rPr>
  </w:style>
  <w:style w:type="character" w:customStyle="1" w:styleId="11">
    <w:name w:val="页眉 字符"/>
    <w:basedOn w:val="6"/>
    <w:link w:val="3"/>
    <w:uiPriority w:val="99"/>
    <w:rPr>
      <w:rFonts w:eastAsia="楷体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character" w:customStyle="1" w:styleId="12">
    <w:name w:val="页脚 字符"/>
    <w:basedOn w:val="6"/>
    <w:link w:val="2"/>
    <w:uiPriority w:val="99"/>
    <w:rPr>
      <w:rFonts w:eastAsia="楷体"/>
      <w:color w:val="000000" w:themeColor="text1"/>
      <w:sz w:val="18"/>
      <w:szCs w:val="1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207</Words>
  <Characters>1299</Characters>
  <Lines>10</Lines>
  <Paragraphs>3</Paragraphs>
  <TotalTime>0</TotalTime>
  <ScaleCrop>false</ScaleCrop>
  <LinksUpToDate>false</LinksUpToDate>
  <CharactersWithSpaces>1503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2022-09-09T13:34:00Z</dcterms:created>
  <dc:creator>zhang yali</dc:creator>
  <cp:lastModifiedBy>丰色丽</cp:lastModifiedBy>
  <dcterms:modified xsi:type="dcterms:W3CDTF">2022-11-16T02:55:09Z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002A8F1FC8C1458398BA350D76BA1157</vt:lpwstr>
  </property>
</Properties>
</file>