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C483" w14:textId="5960AFD6" w:rsidR="00057211" w:rsidRPr="00836EB3" w:rsidRDefault="00057211" w:rsidP="004B56F7">
      <w:pPr>
        <w:jc w:val="left"/>
        <w:rPr>
          <w:b/>
          <w:bCs/>
          <w:color w:val="000000" w:themeColor="text1"/>
          <w:sz w:val="24"/>
          <w:szCs w:val="24"/>
        </w:rPr>
      </w:pPr>
      <w:r w:rsidRPr="00836EB3">
        <w:rPr>
          <w:b/>
          <w:bCs/>
          <w:color w:val="000000" w:themeColor="text1"/>
          <w:sz w:val="24"/>
          <w:szCs w:val="24"/>
        </w:rPr>
        <w:t>Untargeted metabolomics and data analysis</w:t>
      </w:r>
    </w:p>
    <w:p w14:paraId="176772B3" w14:textId="201ADF3C" w:rsidR="00057211" w:rsidRPr="00836EB3" w:rsidRDefault="00057211" w:rsidP="004B56F7">
      <w:pPr>
        <w:rPr>
          <w:color w:val="000000" w:themeColor="text1"/>
          <w:sz w:val="24"/>
          <w:szCs w:val="24"/>
        </w:rPr>
      </w:pPr>
      <w:r w:rsidRPr="00836EB3">
        <w:rPr>
          <w:b/>
          <w:bCs/>
          <w:color w:val="000000" w:themeColor="text1"/>
          <w:sz w:val="24"/>
          <w:szCs w:val="24"/>
        </w:rPr>
        <w:t>Untargeted metabolomics</w:t>
      </w:r>
      <w:r w:rsidRPr="00836EB3">
        <w:rPr>
          <w:rFonts w:ascii="SimSun" w:eastAsia="SimSun" w:hAnsi="SimSun" w:cs="SimSun" w:hint="eastAsia"/>
          <w:b/>
          <w:bCs/>
          <w:color w:val="000000" w:themeColor="text1"/>
          <w:sz w:val="24"/>
          <w:szCs w:val="24"/>
          <w:lang w:eastAsia="zh-CN"/>
        </w:rPr>
        <w:t>.</w:t>
      </w:r>
      <w:r w:rsidRPr="00836EB3">
        <w:rPr>
          <w:rFonts w:ascii="SimSun" w:eastAsia="SimSun" w:hAnsi="SimSun" w:cs="SimSun"/>
          <w:b/>
          <w:bCs/>
          <w:color w:val="000000" w:themeColor="text1"/>
          <w:sz w:val="24"/>
          <w:szCs w:val="24"/>
          <w:lang w:eastAsia="zh-CN"/>
        </w:rPr>
        <w:t xml:space="preserve"> </w:t>
      </w:r>
      <w:r w:rsidRPr="00836EB3">
        <w:rPr>
          <w:color w:val="000000" w:themeColor="text1"/>
          <w:sz w:val="24"/>
          <w:szCs w:val="24"/>
        </w:rPr>
        <w:t xml:space="preserve">Plasma samples were thawed on ice, and a 40-μL aliquot was mixed with 160 </w:t>
      </w:r>
      <w:proofErr w:type="spellStart"/>
      <w:r w:rsidRPr="00836EB3">
        <w:rPr>
          <w:color w:val="000000" w:themeColor="text1"/>
          <w:sz w:val="24"/>
          <w:szCs w:val="24"/>
        </w:rPr>
        <w:t>μL</w:t>
      </w:r>
      <w:proofErr w:type="spellEnd"/>
      <w:r w:rsidRPr="00836EB3">
        <w:rPr>
          <w:color w:val="000000" w:themeColor="text1"/>
          <w:sz w:val="24"/>
          <w:szCs w:val="24"/>
        </w:rPr>
        <w:t xml:space="preserve"> of cold acetonitrile by </w:t>
      </w:r>
      <w:proofErr w:type="spellStart"/>
      <w:r w:rsidRPr="00836EB3">
        <w:rPr>
          <w:color w:val="000000" w:themeColor="text1"/>
          <w:sz w:val="24"/>
          <w:szCs w:val="24"/>
        </w:rPr>
        <w:t>vortexing</w:t>
      </w:r>
      <w:proofErr w:type="spellEnd"/>
      <w:r w:rsidRPr="00836EB3">
        <w:rPr>
          <w:color w:val="000000" w:themeColor="text1"/>
          <w:sz w:val="24"/>
          <w:szCs w:val="24"/>
        </w:rPr>
        <w:t xml:space="preserve"> for 5 min. After centrifugation at 20000 g for 15 min at 4°C, the supernatant was collected and centrifuged again. The new supernatant was prepared for injection and separation using ultra-high performance liquid chromatography</w:t>
      </w:r>
      <w:r w:rsidRPr="00836EB3" w:rsidDel="00090FF8">
        <w:rPr>
          <w:color w:val="000000" w:themeColor="text1"/>
          <w:sz w:val="24"/>
          <w:szCs w:val="24"/>
        </w:rPr>
        <w:t xml:space="preserve"> </w:t>
      </w:r>
      <w:r w:rsidRPr="00836EB3">
        <w:rPr>
          <w:color w:val="000000" w:themeColor="text1"/>
          <w:sz w:val="24"/>
          <w:szCs w:val="24"/>
        </w:rPr>
        <w:t>(UHPLC)</w:t>
      </w:r>
      <w:r w:rsidRPr="00836EB3" w:rsidDel="00090FF8">
        <w:rPr>
          <w:color w:val="000000" w:themeColor="text1"/>
          <w:sz w:val="24"/>
          <w:szCs w:val="24"/>
        </w:rPr>
        <w:t xml:space="preserve"> </w:t>
      </w:r>
      <w:r w:rsidRPr="00836EB3">
        <w:rPr>
          <w:color w:val="000000" w:themeColor="text1"/>
          <w:sz w:val="24"/>
          <w:szCs w:val="24"/>
        </w:rPr>
        <w:t>(</w:t>
      </w:r>
      <w:proofErr w:type="spellStart"/>
      <w:r w:rsidRPr="00836EB3">
        <w:rPr>
          <w:color w:val="000000" w:themeColor="text1"/>
          <w:sz w:val="24"/>
          <w:szCs w:val="24"/>
        </w:rPr>
        <w:t>ExionLC</w:t>
      </w:r>
      <w:proofErr w:type="spellEnd"/>
      <w:r w:rsidRPr="00836EB3">
        <w:rPr>
          <w:color w:val="000000" w:themeColor="text1"/>
          <w:sz w:val="24"/>
          <w:szCs w:val="24"/>
        </w:rPr>
        <w:t> AD UHPLC, </w:t>
      </w:r>
      <w:proofErr w:type="spellStart"/>
      <w:r w:rsidRPr="00836EB3">
        <w:rPr>
          <w:color w:val="000000" w:themeColor="text1"/>
          <w:sz w:val="24"/>
          <w:szCs w:val="24"/>
        </w:rPr>
        <w:t>ABSciex</w:t>
      </w:r>
      <w:proofErr w:type="spellEnd"/>
      <w:r w:rsidRPr="00836EB3">
        <w:rPr>
          <w:color w:val="000000" w:themeColor="text1"/>
          <w:sz w:val="24"/>
          <w:szCs w:val="24"/>
        </w:rPr>
        <w:t xml:space="preserve">, Framingham, MA, USA) with a </w:t>
      </w:r>
      <w:proofErr w:type="spellStart"/>
      <w:r w:rsidRPr="00836EB3">
        <w:rPr>
          <w:color w:val="000000" w:themeColor="text1"/>
          <w:sz w:val="24"/>
          <w:szCs w:val="24"/>
        </w:rPr>
        <w:t>Kinetex</w:t>
      </w:r>
      <w:proofErr w:type="spellEnd"/>
      <w:r w:rsidRPr="00836EB3">
        <w:rPr>
          <w:color w:val="000000" w:themeColor="text1"/>
          <w:sz w:val="24"/>
          <w:szCs w:val="24"/>
        </w:rPr>
        <w:t xml:space="preserve"> C18</w:t>
      </w:r>
      <w:r w:rsidR="00C33AA2" w:rsidRPr="00836EB3">
        <w:rPr>
          <w:rFonts w:ascii="SimSun" w:eastAsia="SimSun" w:hAnsi="SimSun" w:cs="SimSun" w:hint="eastAsia"/>
          <w:color w:val="000000" w:themeColor="text1"/>
          <w:sz w:val="24"/>
          <w:szCs w:val="24"/>
          <w:lang w:eastAsia="zh-CN"/>
        </w:rPr>
        <w:t xml:space="preserve"> </w:t>
      </w:r>
      <w:r w:rsidR="00C33AA2" w:rsidRPr="00836EB3">
        <w:rPr>
          <w:rFonts w:ascii="SimSun" w:eastAsia="SimSun" w:hAnsi="SimSun" w:cs="SimSun"/>
          <w:color w:val="000000" w:themeColor="text1"/>
          <w:sz w:val="24"/>
          <w:szCs w:val="24"/>
          <w:lang w:eastAsia="zh-CN"/>
        </w:rPr>
        <w:t>(</w:t>
      </w:r>
      <w:r w:rsidRPr="00836EB3">
        <w:rPr>
          <w:color w:val="000000" w:themeColor="text1"/>
          <w:sz w:val="24"/>
          <w:szCs w:val="24"/>
        </w:rPr>
        <w:t>2.6 µm, 100 mm × 2.1 mm, Phenomenex, CA, USA</w:t>
      </w:r>
      <w:r w:rsidR="00C33AA2" w:rsidRPr="00836EB3">
        <w:rPr>
          <w:rFonts w:ascii="SimSun" w:eastAsia="SimSun" w:hAnsi="SimSun" w:cs="SimSun" w:hint="eastAsia"/>
          <w:color w:val="000000" w:themeColor="text1"/>
          <w:sz w:val="24"/>
          <w:szCs w:val="24"/>
          <w:lang w:eastAsia="zh-CN"/>
        </w:rPr>
        <w:t>)</w:t>
      </w:r>
      <w:r w:rsidR="00C33AA2" w:rsidRPr="00836EB3">
        <w:rPr>
          <w:rFonts w:ascii="SimSun" w:eastAsia="SimSun" w:hAnsi="SimSun" w:cs="SimSun"/>
          <w:color w:val="000000" w:themeColor="text1"/>
          <w:sz w:val="24"/>
          <w:szCs w:val="24"/>
          <w:lang w:eastAsia="zh-CN"/>
        </w:rPr>
        <w:t xml:space="preserve"> </w:t>
      </w:r>
      <w:r w:rsidRPr="00836EB3">
        <w:rPr>
          <w:color w:val="000000" w:themeColor="text1"/>
          <w:sz w:val="24"/>
          <w:szCs w:val="24"/>
        </w:rPr>
        <w:t xml:space="preserve">column at 40°C. The mobile phase A comprised </w:t>
      </w:r>
      <w:r w:rsidR="00603F81" w:rsidRPr="00836EB3">
        <w:rPr>
          <w:color w:val="000000" w:themeColor="text1"/>
          <w:sz w:val="24"/>
          <w:szCs w:val="24"/>
        </w:rPr>
        <w:t>water with 0.1% formic acid</w:t>
      </w:r>
      <w:r w:rsidRPr="00836EB3">
        <w:rPr>
          <w:color w:val="000000" w:themeColor="text1"/>
          <w:sz w:val="24"/>
          <w:szCs w:val="24"/>
        </w:rPr>
        <w:t xml:space="preserve">, whereas the mobile phase B comprised acetonitrile containing 0.1% formic acid. The elution gradient with the flow rate of 0.4 mL/min comprised </w:t>
      </w:r>
      <w:r w:rsidR="008E66A0" w:rsidRPr="00836EB3">
        <w:rPr>
          <w:color w:val="000000" w:themeColor="text1"/>
          <w:sz w:val="24"/>
          <w:szCs w:val="24"/>
        </w:rPr>
        <w:t>1</w:t>
      </w:r>
      <w:r w:rsidRPr="00836EB3">
        <w:rPr>
          <w:color w:val="000000" w:themeColor="text1"/>
          <w:sz w:val="24"/>
          <w:szCs w:val="24"/>
        </w:rPr>
        <w:t xml:space="preserve">0%–30% B over </w:t>
      </w:r>
      <w:r w:rsidR="008E66A0" w:rsidRPr="00836EB3">
        <w:rPr>
          <w:color w:val="000000" w:themeColor="text1"/>
          <w:sz w:val="24"/>
          <w:szCs w:val="24"/>
        </w:rPr>
        <w:t>0-</w:t>
      </w:r>
      <w:r w:rsidRPr="00836EB3">
        <w:rPr>
          <w:color w:val="000000" w:themeColor="text1"/>
          <w:sz w:val="24"/>
          <w:szCs w:val="24"/>
        </w:rPr>
        <w:t>1 min, 30%–</w:t>
      </w:r>
      <w:r w:rsidR="008E66A0" w:rsidRPr="00836EB3">
        <w:rPr>
          <w:color w:val="000000" w:themeColor="text1"/>
          <w:sz w:val="24"/>
          <w:szCs w:val="24"/>
        </w:rPr>
        <w:t>9</w:t>
      </w:r>
      <w:r w:rsidRPr="00836EB3">
        <w:rPr>
          <w:color w:val="000000" w:themeColor="text1"/>
          <w:sz w:val="24"/>
          <w:szCs w:val="24"/>
        </w:rPr>
        <w:t xml:space="preserve">5% B over </w:t>
      </w:r>
      <w:r w:rsidR="008E66A0" w:rsidRPr="00836EB3">
        <w:rPr>
          <w:color w:val="000000" w:themeColor="text1"/>
          <w:sz w:val="24"/>
          <w:szCs w:val="24"/>
        </w:rPr>
        <w:t>1-19</w:t>
      </w:r>
      <w:r w:rsidRPr="00836EB3">
        <w:rPr>
          <w:color w:val="000000" w:themeColor="text1"/>
          <w:sz w:val="24"/>
          <w:szCs w:val="24"/>
        </w:rPr>
        <w:t xml:space="preserve"> min</w:t>
      </w:r>
      <w:r w:rsidR="008E66A0" w:rsidRPr="00836EB3">
        <w:rPr>
          <w:color w:val="000000" w:themeColor="text1"/>
          <w:sz w:val="24"/>
          <w:szCs w:val="24"/>
        </w:rPr>
        <w:t>, 95% B over 19-20 min, and 95%–10% B over 20-20.1 min</w:t>
      </w:r>
      <w:r w:rsidRPr="00836EB3">
        <w:rPr>
          <w:color w:val="000000" w:themeColor="text1"/>
          <w:sz w:val="24"/>
          <w:szCs w:val="24"/>
        </w:rPr>
        <w:t>. The system was equilibrated in 9</w:t>
      </w:r>
      <w:r w:rsidR="008E66A0" w:rsidRPr="00836EB3">
        <w:rPr>
          <w:color w:val="000000" w:themeColor="text1"/>
          <w:sz w:val="24"/>
          <w:szCs w:val="24"/>
        </w:rPr>
        <w:t>0</w:t>
      </w:r>
      <w:r w:rsidRPr="00836EB3">
        <w:rPr>
          <w:color w:val="000000" w:themeColor="text1"/>
          <w:sz w:val="24"/>
          <w:szCs w:val="24"/>
        </w:rPr>
        <w:t xml:space="preserve">% A for 5 min after each run ending. All samples were analyzed using a </w:t>
      </w:r>
      <w:proofErr w:type="spellStart"/>
      <w:r w:rsidRPr="00836EB3">
        <w:rPr>
          <w:color w:val="000000" w:themeColor="text1"/>
          <w:sz w:val="24"/>
          <w:szCs w:val="24"/>
        </w:rPr>
        <w:t>TripleTOF</w:t>
      </w:r>
      <w:proofErr w:type="spellEnd"/>
      <w:r w:rsidRPr="00836EB3">
        <w:rPr>
          <w:color w:val="000000" w:themeColor="text1"/>
          <w:sz w:val="24"/>
          <w:szCs w:val="24"/>
        </w:rPr>
        <w:t xml:space="preserve"> 5600+ system (</w:t>
      </w:r>
      <w:proofErr w:type="spellStart"/>
      <w:r w:rsidRPr="00836EB3">
        <w:rPr>
          <w:color w:val="000000" w:themeColor="text1"/>
          <w:sz w:val="24"/>
          <w:szCs w:val="24"/>
        </w:rPr>
        <w:t>ABSciex</w:t>
      </w:r>
      <w:proofErr w:type="spellEnd"/>
      <w:r w:rsidRPr="00836EB3">
        <w:rPr>
          <w:color w:val="000000" w:themeColor="text1"/>
          <w:sz w:val="24"/>
          <w:szCs w:val="24"/>
        </w:rPr>
        <w:t xml:space="preserve">, Framingham, MA, USA) in positive and negative electrospray ionization mode. </w:t>
      </w:r>
      <w:r w:rsidR="004403B1" w:rsidRPr="00836EB3">
        <w:rPr>
          <w:color w:val="000000" w:themeColor="text1"/>
          <w:sz w:val="24"/>
          <w:szCs w:val="24"/>
        </w:rPr>
        <w:t xml:space="preserve">TOF-MS full scan with a mass range of m/z 60-1000 was used to acquire the </w:t>
      </w:r>
      <w:r w:rsidR="00584AD9" w:rsidRPr="00836EB3">
        <w:rPr>
          <w:color w:val="000000" w:themeColor="text1"/>
          <w:sz w:val="24"/>
          <w:szCs w:val="24"/>
        </w:rPr>
        <w:t xml:space="preserve">MS </w:t>
      </w:r>
      <w:r w:rsidR="004403B1" w:rsidRPr="00836EB3">
        <w:rPr>
          <w:color w:val="000000" w:themeColor="text1"/>
          <w:sz w:val="24"/>
          <w:szCs w:val="24"/>
        </w:rPr>
        <w:t xml:space="preserve">spectra </w:t>
      </w:r>
      <w:r w:rsidR="00584AD9" w:rsidRPr="00836EB3">
        <w:rPr>
          <w:color w:val="000000" w:themeColor="text1"/>
          <w:sz w:val="24"/>
          <w:szCs w:val="24"/>
        </w:rPr>
        <w:t>and the MS</w:t>
      </w:r>
      <w:r w:rsidR="005A1EA1" w:rsidRPr="00836EB3">
        <w:rPr>
          <w:color w:val="000000" w:themeColor="text1"/>
          <w:sz w:val="24"/>
          <w:szCs w:val="24"/>
        </w:rPr>
        <w:t>2</w:t>
      </w:r>
      <w:r w:rsidR="00584AD9" w:rsidRPr="00836EB3">
        <w:rPr>
          <w:color w:val="000000" w:themeColor="text1"/>
          <w:sz w:val="24"/>
          <w:szCs w:val="24"/>
        </w:rPr>
        <w:t xml:space="preserve"> spectra was obtained by information dependent acquisition with the real-time dynamic background subtraction. </w:t>
      </w:r>
      <w:r w:rsidR="00ED70F1" w:rsidRPr="00836EB3">
        <w:rPr>
          <w:color w:val="000000" w:themeColor="text1"/>
          <w:sz w:val="24"/>
          <w:szCs w:val="24"/>
        </w:rPr>
        <w:t>The acquisition parameters were as follows:</w:t>
      </w:r>
      <w:r w:rsidR="00584AD9" w:rsidRPr="00836EB3">
        <w:rPr>
          <w:color w:val="000000" w:themeColor="text1"/>
          <w:sz w:val="24"/>
          <w:szCs w:val="24"/>
        </w:rPr>
        <w:t xml:space="preserve"> </w:t>
      </w:r>
      <w:r w:rsidR="00ED70F1" w:rsidRPr="00836EB3">
        <w:rPr>
          <w:color w:val="000000" w:themeColor="text1"/>
          <w:sz w:val="24"/>
          <w:szCs w:val="24"/>
        </w:rPr>
        <w:t>ion spray voltage floating, +5500/</w:t>
      </w:r>
      <w:r w:rsidR="00584AD9" w:rsidRPr="00836EB3">
        <w:rPr>
          <w:color w:val="000000" w:themeColor="text1"/>
          <w:sz w:val="24"/>
          <w:szCs w:val="24"/>
        </w:rPr>
        <w:t>-</w:t>
      </w:r>
      <w:r w:rsidR="00ED70F1" w:rsidRPr="00836EB3">
        <w:rPr>
          <w:color w:val="000000" w:themeColor="text1"/>
          <w:sz w:val="24"/>
          <w:szCs w:val="24"/>
        </w:rPr>
        <w:t>4500 V; turbo spray temperature,</w:t>
      </w:r>
      <w:r w:rsidR="00584AD9" w:rsidRPr="00836EB3">
        <w:rPr>
          <w:color w:val="000000" w:themeColor="text1"/>
          <w:sz w:val="24"/>
          <w:szCs w:val="24"/>
        </w:rPr>
        <w:t xml:space="preserve"> </w:t>
      </w:r>
      <w:r w:rsidR="00ED70F1" w:rsidRPr="00836EB3">
        <w:rPr>
          <w:color w:val="000000" w:themeColor="text1"/>
          <w:sz w:val="24"/>
          <w:szCs w:val="24"/>
        </w:rPr>
        <w:t>550</w:t>
      </w:r>
      <w:r w:rsidR="00584AD9" w:rsidRPr="00836EB3">
        <w:rPr>
          <w:color w:val="000000" w:themeColor="text1"/>
          <w:sz w:val="24"/>
          <w:szCs w:val="24"/>
        </w:rPr>
        <w:t xml:space="preserve"> °C</w:t>
      </w:r>
      <w:r w:rsidR="00ED70F1" w:rsidRPr="00836EB3">
        <w:rPr>
          <w:color w:val="000000" w:themeColor="text1"/>
          <w:sz w:val="24"/>
          <w:szCs w:val="24"/>
        </w:rPr>
        <w:t>; nebulizer gas (gas 1) pressure, 55 psi; heater gas (gas 2) pressure,</w:t>
      </w:r>
      <w:r w:rsidR="00584AD9" w:rsidRPr="00836EB3">
        <w:rPr>
          <w:color w:val="000000" w:themeColor="text1"/>
          <w:sz w:val="24"/>
          <w:szCs w:val="24"/>
        </w:rPr>
        <w:t xml:space="preserve"> </w:t>
      </w:r>
      <w:r w:rsidR="00ED70F1" w:rsidRPr="00836EB3">
        <w:rPr>
          <w:color w:val="000000" w:themeColor="text1"/>
          <w:sz w:val="24"/>
          <w:szCs w:val="24"/>
        </w:rPr>
        <w:t xml:space="preserve">55 psi; curtain gas pressure, 35 psi; </w:t>
      </w:r>
      <w:proofErr w:type="spellStart"/>
      <w:r w:rsidR="00ED70F1" w:rsidRPr="00836EB3">
        <w:rPr>
          <w:color w:val="000000" w:themeColor="text1"/>
          <w:sz w:val="24"/>
          <w:szCs w:val="24"/>
        </w:rPr>
        <w:t>declustering</w:t>
      </w:r>
      <w:proofErr w:type="spellEnd"/>
      <w:r w:rsidR="00ED70F1" w:rsidRPr="00836EB3">
        <w:rPr>
          <w:color w:val="000000" w:themeColor="text1"/>
          <w:sz w:val="24"/>
          <w:szCs w:val="24"/>
        </w:rPr>
        <w:t xml:space="preserve"> potential, ±80 V;</w:t>
      </w:r>
      <w:r w:rsidR="00584AD9" w:rsidRPr="00836EB3">
        <w:rPr>
          <w:color w:val="000000" w:themeColor="text1"/>
          <w:sz w:val="24"/>
          <w:szCs w:val="24"/>
        </w:rPr>
        <w:t xml:space="preserve"> </w:t>
      </w:r>
      <w:r w:rsidR="00ED70F1" w:rsidRPr="00836EB3">
        <w:rPr>
          <w:color w:val="000000" w:themeColor="text1"/>
          <w:sz w:val="24"/>
          <w:szCs w:val="24"/>
        </w:rPr>
        <w:t>The collision energy</w:t>
      </w:r>
      <w:r w:rsidR="00584AD9" w:rsidRPr="00836EB3">
        <w:rPr>
          <w:color w:val="000000" w:themeColor="text1"/>
          <w:sz w:val="24"/>
          <w:szCs w:val="24"/>
        </w:rPr>
        <w:t xml:space="preserve"> </w:t>
      </w:r>
      <w:r w:rsidR="00ED70F1" w:rsidRPr="00836EB3">
        <w:rPr>
          <w:color w:val="000000" w:themeColor="text1"/>
          <w:sz w:val="24"/>
          <w:szCs w:val="24"/>
        </w:rPr>
        <w:t>was set to 35 V with a collision energy spread</w:t>
      </w:r>
      <w:r w:rsidR="00584AD9" w:rsidRPr="00836EB3">
        <w:rPr>
          <w:color w:val="000000" w:themeColor="text1"/>
          <w:sz w:val="24"/>
          <w:szCs w:val="24"/>
        </w:rPr>
        <w:t xml:space="preserve"> </w:t>
      </w:r>
      <w:r w:rsidR="00ED70F1" w:rsidRPr="00836EB3">
        <w:rPr>
          <w:color w:val="000000" w:themeColor="text1"/>
          <w:sz w:val="24"/>
          <w:szCs w:val="24"/>
        </w:rPr>
        <w:t xml:space="preserve">of 15 V. </w:t>
      </w:r>
      <w:r w:rsidR="00486433" w:rsidRPr="00836EB3">
        <w:rPr>
          <w:color w:val="000000" w:themeColor="text1"/>
          <w:sz w:val="24"/>
          <w:szCs w:val="24"/>
        </w:rPr>
        <w:t>An automated calibration delivery system infusing the positive/negative calibration solution periodically was adopted to regulate the MS and MS</w:t>
      </w:r>
      <w:r w:rsidR="005A1EA1" w:rsidRPr="00836EB3">
        <w:rPr>
          <w:color w:val="000000" w:themeColor="text1"/>
          <w:sz w:val="24"/>
          <w:szCs w:val="24"/>
        </w:rPr>
        <w:t>2</w:t>
      </w:r>
      <w:r w:rsidR="00486433" w:rsidRPr="00836EB3">
        <w:rPr>
          <w:color w:val="000000" w:themeColor="text1"/>
          <w:sz w:val="24"/>
          <w:szCs w:val="24"/>
        </w:rPr>
        <w:t xml:space="preserve"> data. </w:t>
      </w:r>
      <w:r w:rsidRPr="00836EB3">
        <w:rPr>
          <w:color w:val="000000" w:themeColor="text1"/>
          <w:sz w:val="24"/>
          <w:szCs w:val="24"/>
        </w:rPr>
        <w:t>Pooled plasma sample was prepared as quality control (QC) by mixing equal aliquots of all samples. QC sample replicates were injected after every nine samples sequenced in a random order. QC samples were also repeatedly injected for 10 times before each experiment to stabilize the analytical platform.</w:t>
      </w:r>
    </w:p>
    <w:p w14:paraId="76A7F419" w14:textId="77777777" w:rsidR="00057211" w:rsidRPr="00836EB3" w:rsidRDefault="00057211" w:rsidP="004B56F7">
      <w:pPr>
        <w:rPr>
          <w:b/>
          <w:bCs/>
          <w:color w:val="000000" w:themeColor="text1"/>
          <w:sz w:val="24"/>
          <w:szCs w:val="24"/>
          <w:lang w:eastAsia="zh-CN"/>
        </w:rPr>
      </w:pPr>
    </w:p>
    <w:p w14:paraId="244C5054" w14:textId="130585A4" w:rsidR="00057211" w:rsidRPr="00836EB3" w:rsidRDefault="00057211" w:rsidP="004B56F7">
      <w:pPr>
        <w:rPr>
          <w:color w:val="000000" w:themeColor="text1"/>
          <w:sz w:val="24"/>
          <w:szCs w:val="24"/>
        </w:rPr>
      </w:pPr>
      <w:r w:rsidRPr="00836EB3">
        <w:rPr>
          <w:b/>
          <w:bCs/>
          <w:color w:val="000000" w:themeColor="text1"/>
          <w:sz w:val="24"/>
          <w:szCs w:val="24"/>
        </w:rPr>
        <w:t xml:space="preserve">Metabolomics data analysis. </w:t>
      </w:r>
      <w:r w:rsidRPr="00836EB3">
        <w:rPr>
          <w:color w:val="000000" w:themeColor="text1"/>
          <w:sz w:val="24"/>
          <w:szCs w:val="24"/>
        </w:rPr>
        <w:t xml:space="preserve">Raw MS data of all the injections including the study samples, QCs, and blanks were converted to the ABF format by using software </w:t>
      </w:r>
      <w:proofErr w:type="spellStart"/>
      <w:r w:rsidRPr="00836EB3">
        <w:rPr>
          <w:color w:val="000000" w:themeColor="text1"/>
          <w:sz w:val="24"/>
          <w:szCs w:val="24"/>
        </w:rPr>
        <w:t>Reifycs</w:t>
      </w:r>
      <w:proofErr w:type="spellEnd"/>
      <w:r w:rsidRPr="00836EB3">
        <w:rPr>
          <w:color w:val="000000" w:themeColor="text1"/>
          <w:sz w:val="24"/>
          <w:szCs w:val="24"/>
        </w:rPr>
        <w:t xml:space="preserve"> </w:t>
      </w:r>
      <w:proofErr w:type="spellStart"/>
      <w:r w:rsidRPr="00836EB3">
        <w:rPr>
          <w:color w:val="000000" w:themeColor="text1"/>
          <w:sz w:val="24"/>
          <w:szCs w:val="24"/>
        </w:rPr>
        <w:t>Abf</w:t>
      </w:r>
      <w:proofErr w:type="spellEnd"/>
      <w:r w:rsidRPr="00836EB3">
        <w:rPr>
          <w:color w:val="000000" w:themeColor="text1"/>
          <w:sz w:val="24"/>
          <w:szCs w:val="24"/>
        </w:rPr>
        <w:t xml:space="preserve"> Converter 4.0. Feature detection, spectra deconvolution, peak alignment, and metabolite identification were performed using MS-DIAL v3.4. Features were identified by searching molecular mass data (m/z) and the acquired MS2 spectra against the </w:t>
      </w:r>
      <w:proofErr w:type="spellStart"/>
      <w:r w:rsidRPr="00836EB3">
        <w:rPr>
          <w:color w:val="000000" w:themeColor="text1"/>
          <w:sz w:val="24"/>
          <w:szCs w:val="24"/>
        </w:rPr>
        <w:t>MassBank</w:t>
      </w:r>
      <w:proofErr w:type="spellEnd"/>
      <w:r w:rsidRPr="00836EB3">
        <w:rPr>
          <w:color w:val="000000" w:themeColor="text1"/>
          <w:sz w:val="24"/>
          <w:szCs w:val="24"/>
        </w:rPr>
        <w:t xml:space="preserve"> database. The m/z tolerance was 0.01 Da and 0.05 Da for MS1 and MS2, respectively, and the cut-off </w:t>
      </w:r>
      <w:r w:rsidRPr="00836EB3">
        <w:rPr>
          <w:rFonts w:hint="eastAsia"/>
          <w:color w:val="000000" w:themeColor="text1"/>
          <w:sz w:val="24"/>
          <w:szCs w:val="24"/>
        </w:rPr>
        <w:t>value</w:t>
      </w:r>
      <w:r w:rsidRPr="00836EB3">
        <w:rPr>
          <w:color w:val="000000" w:themeColor="text1"/>
          <w:sz w:val="24"/>
          <w:szCs w:val="24"/>
        </w:rPr>
        <w:t xml:space="preserve"> of the identification score was 80%. Additionally, the Human Metabolome Database (HMDB, http://www.hmdb.ca) and PubChem (</w:t>
      </w:r>
      <w:hyperlink r:id="rId7" w:history="1">
        <w:r w:rsidRPr="00836EB3">
          <w:rPr>
            <w:rStyle w:val="Hyperlink"/>
            <w:color w:val="000000" w:themeColor="text1"/>
            <w:sz w:val="24"/>
            <w:szCs w:val="24"/>
          </w:rPr>
          <w:t>https://pubchem.ncbi.nlm.nih.gov/</w:t>
        </w:r>
      </w:hyperlink>
      <w:r w:rsidRPr="00836EB3">
        <w:rPr>
          <w:color w:val="000000" w:themeColor="text1"/>
          <w:sz w:val="24"/>
          <w:szCs w:val="24"/>
        </w:rPr>
        <w:t>) were also used to manually confirm the feature matching. After peak alignment and blank filtering, the results were processed according to the previous</w:t>
      </w:r>
      <w:r w:rsidRPr="00836EB3">
        <w:rPr>
          <w:rFonts w:hint="eastAsia"/>
          <w:color w:val="000000" w:themeColor="text1"/>
          <w:sz w:val="24"/>
          <w:szCs w:val="24"/>
        </w:rPr>
        <w:t>ly</w:t>
      </w:r>
      <w:r w:rsidRPr="00836EB3">
        <w:rPr>
          <w:color w:val="000000" w:themeColor="text1"/>
          <w:sz w:val="24"/>
          <w:szCs w:val="24"/>
        </w:rPr>
        <w:t xml:space="preserve"> reported protocol</w:t>
      </w:r>
      <w:r w:rsidRPr="00836EB3">
        <w:rPr>
          <w:color w:val="000000" w:themeColor="text1"/>
          <w:sz w:val="24"/>
          <w:szCs w:val="24"/>
          <w:vertAlign w:val="superscript"/>
        </w:rPr>
        <w:fldChar w:fldCharType="begin" w:fldLock="1"/>
      </w:r>
      <w:r w:rsidR="00881A49" w:rsidRPr="00836EB3">
        <w:rPr>
          <w:color w:val="000000" w:themeColor="text1"/>
          <w:sz w:val="24"/>
          <w:szCs w:val="24"/>
          <w:vertAlign w:val="superscript"/>
        </w:rPr>
        <w:instrText>ADDIN CSL_CITATION {"citationItems":[{"id":"ITEM-1","itemData":{"DOI":"10.1038/nprot.2011.335","ISSN":"17542189","PMID":"21720319","abstract":"Metabolism has an essential role in biological systems. Identification and quantitation of the compounds in the metabolome is defined as metabolic profiling, and it is applied to define metabolic changes related to genetic differences, environmental influences and disease or drug perturbations. Chromatography-mass spectrometry (MS) platforms are frequently used to provide the sensitive and reproducible detection of hundreds to thousands of metabolites in a single biofluid or tissue sample. Here we describe the experimental workflow for long-term and large-scale metabolomic studies involving thousands of human samples with data acquired for multiple analytical batches over many months and years. Protocols for serum- and plasma-based metabolic profiling applying gas chromatography-MS (GC-MS) and ultraperformance liquid chromatography-MS (UPLC-MS) are described. These include biofluid collection, sample preparation, data acquisition, data pre-processing and quality assurance. Methods for quality control-based robust LOESS signal correction to provide signal correction and integration of data from multiple analytical batches are also described. © 2011 Nature America, Inc. All rights reserved.","author":[{"dropping-particle":"","family":"Dunn","given":"Warwick B.","non-dropping-particle":"","parse-names":false,"suffix":""},{"dropping-particle":"","family":"Broadhurst","given":"David","non-dropping-particle":"","parse-names":false,"suffix":""},{"dropping-particle":"","family":"Begley","given":"Paul","non-dropping-particle":"","parse-names":false,"suffix":""},{"dropping-particle":"","family":"Zelena","given":"Eva","non-dropping-particle":"","parse-names":false,"suffix":""},{"dropping-particle":"","family":"Francis-Mcintyre","given":"Sue","non-dropping-particle":"","parse-names":false,"suffix":""},{"dropping-particle":"","family":"Anderson","given":"Nadine","non-dropping-particle":"","parse-names":false,"suffix":""},{"dropping-particle":"","family":"Brown","given":"Marie","non-dropping-particle":"","parse-names":false,"suffix":""},{"dropping-particle":"","family":"Knowles","given":"Joshau D.","non-dropping-particle":"","parse-names":false,"suffix":""},{"dropping-particle":"","family":"Halsall","given":"Antony","non-dropping-particle":"","parse-names":false,"suffix":""},{"dropping-particle":"","family":"Haselden","given":"John N.","non-dropping-particle":"","parse-names":false,"suffix":""},{"dropping-particle":"","family":"Nicholls","given":"Andrew W.","non-dropping-particle":"","parse-names":false,"suffix":""},{"dropping-particle":"","family":"Wilson","given":"Ian D.","non-dropping-particle":"","parse-names":false,"suffix":""},{"dropping-particle":"","family":"Kell","given":"Douglas B.","non-dropping-particle":"","parse-names":false,"suffix":""},{"dropping-particle":"","family":"Goodacre","given":"Royston","non-dropping-particle":"","parse-names":false,"suffix":""}],"container-title":"Nature Protocols","id":"ITEM-1","issue":"7","issued":{"date-parts":[["2011"]]},"page":"1060-1083","title":"Procedures for large-scale metabolic profiling of serum and plasma using gas chromatography and liquid chromatography coupled to mass spectrometry","type":"article-journal","volume":"6"},"uris":["http://www.mendeley.com/documents/?uuid=6505ea62-4cbb-4487-969f-ac1601182d5f"]}],"mendeley":{"formattedCitation":"&lt;sup&gt;1&lt;/sup&gt;","plainTextFormattedCitation":"1","previouslyFormattedCitation":"(Dunn et al. 2011)"},"properties":{"noteIndex":0},"schema":"https://github.com/citation-style-language/schema/raw/master/csl-citation.json"}</w:instrText>
      </w:r>
      <w:r w:rsidRPr="00836EB3">
        <w:rPr>
          <w:color w:val="000000" w:themeColor="text1"/>
          <w:sz w:val="24"/>
          <w:szCs w:val="24"/>
          <w:vertAlign w:val="superscript"/>
        </w:rPr>
        <w:fldChar w:fldCharType="separate"/>
      </w:r>
      <w:r w:rsidR="00881A49" w:rsidRPr="00836EB3">
        <w:rPr>
          <w:noProof/>
          <w:color w:val="000000" w:themeColor="text1"/>
          <w:sz w:val="24"/>
          <w:szCs w:val="24"/>
          <w:vertAlign w:val="superscript"/>
        </w:rPr>
        <w:t>1</w:t>
      </w:r>
      <w:r w:rsidRPr="00836EB3">
        <w:rPr>
          <w:color w:val="000000" w:themeColor="text1"/>
          <w:sz w:val="24"/>
          <w:szCs w:val="24"/>
          <w:vertAlign w:val="superscript"/>
        </w:rPr>
        <w:fldChar w:fldCharType="end"/>
      </w:r>
      <w:r w:rsidRPr="00836EB3">
        <w:rPr>
          <w:color w:val="000000" w:themeColor="text1"/>
          <w:sz w:val="24"/>
          <w:szCs w:val="24"/>
        </w:rPr>
        <w:t>. Considering the non-normal distribution of most metabolites, log-transformed data were used for subsequent statistical analysis, and the value of intensity was set as +1 for some metabolites below the lower detection limit in several subjects.</w:t>
      </w:r>
    </w:p>
    <w:p w14:paraId="55E49176" w14:textId="3CAD4524" w:rsidR="00881A49" w:rsidRPr="00836EB3" w:rsidRDefault="00881A49" w:rsidP="004B56F7">
      <w:pPr>
        <w:ind w:firstLineChars="200" w:firstLine="480"/>
        <w:rPr>
          <w:color w:val="000000" w:themeColor="text1"/>
          <w:sz w:val="24"/>
          <w:szCs w:val="24"/>
        </w:rPr>
      </w:pPr>
    </w:p>
    <w:p w14:paraId="5E4257C8" w14:textId="2EFAE3D3" w:rsidR="00881A49" w:rsidRPr="00836EB3" w:rsidRDefault="00881A49" w:rsidP="004B56F7">
      <w:pPr>
        <w:rPr>
          <w:rFonts w:eastAsiaTheme="minorEastAsia"/>
          <w:color w:val="000000" w:themeColor="text1"/>
          <w:sz w:val="24"/>
          <w:szCs w:val="24"/>
          <w:lang w:val="fr-FR" w:eastAsia="zh-CN"/>
        </w:rPr>
      </w:pPr>
      <w:r w:rsidRPr="00836EB3">
        <w:rPr>
          <w:rFonts w:eastAsiaTheme="minorEastAsia"/>
          <w:color w:val="000000" w:themeColor="text1"/>
          <w:sz w:val="24"/>
          <w:szCs w:val="24"/>
          <w:lang w:val="fr-FR" w:eastAsia="zh-CN"/>
        </w:rPr>
        <w:lastRenderedPageBreak/>
        <w:t>REFERENCES</w:t>
      </w:r>
    </w:p>
    <w:p w14:paraId="4C555E1D" w14:textId="020849D8" w:rsidR="00881A49" w:rsidRPr="00836EB3" w:rsidRDefault="00881A49" w:rsidP="004B56F7">
      <w:pPr>
        <w:autoSpaceDE w:val="0"/>
        <w:autoSpaceDN w:val="0"/>
        <w:adjustRightInd w:val="0"/>
        <w:ind w:left="640" w:hanging="640"/>
        <w:jc w:val="left"/>
        <w:rPr>
          <w:noProof/>
          <w:color w:val="000000" w:themeColor="text1"/>
          <w:sz w:val="24"/>
          <w:szCs w:val="24"/>
        </w:rPr>
      </w:pPr>
      <w:r w:rsidRPr="00836EB3">
        <w:rPr>
          <w:color w:val="000000" w:themeColor="text1"/>
          <w:sz w:val="24"/>
          <w:szCs w:val="24"/>
        </w:rPr>
        <w:fldChar w:fldCharType="begin" w:fldLock="1"/>
      </w:r>
      <w:r w:rsidRPr="00836EB3">
        <w:rPr>
          <w:color w:val="000000" w:themeColor="text1"/>
          <w:sz w:val="24"/>
          <w:szCs w:val="24"/>
          <w:lang w:val="fr-FR"/>
        </w:rPr>
        <w:instrText xml:space="preserve">ADDIN Mendeley Bibliography CSL_BIBLIOGRAPHY </w:instrText>
      </w:r>
      <w:r w:rsidRPr="00836EB3">
        <w:rPr>
          <w:color w:val="000000" w:themeColor="text1"/>
          <w:sz w:val="24"/>
          <w:szCs w:val="24"/>
        </w:rPr>
        <w:fldChar w:fldCharType="separate"/>
      </w:r>
      <w:r w:rsidRPr="00836EB3">
        <w:rPr>
          <w:noProof/>
          <w:color w:val="000000" w:themeColor="text1"/>
          <w:sz w:val="24"/>
          <w:szCs w:val="24"/>
          <w:lang w:val="fr-FR"/>
        </w:rPr>
        <w:t>1.</w:t>
      </w:r>
      <w:r w:rsidRPr="00836EB3">
        <w:rPr>
          <w:noProof/>
          <w:color w:val="000000" w:themeColor="text1"/>
          <w:sz w:val="24"/>
          <w:szCs w:val="24"/>
          <w:lang w:val="fr-FR"/>
        </w:rPr>
        <w:tab/>
        <w:t xml:space="preserve">Dunn, W. B. </w:t>
      </w:r>
      <w:r w:rsidRPr="00836EB3">
        <w:rPr>
          <w:i/>
          <w:iCs/>
          <w:noProof/>
          <w:color w:val="000000" w:themeColor="text1"/>
          <w:sz w:val="24"/>
          <w:szCs w:val="24"/>
          <w:lang w:val="fr-FR"/>
        </w:rPr>
        <w:t>et al.</w:t>
      </w:r>
      <w:r w:rsidRPr="00836EB3">
        <w:rPr>
          <w:noProof/>
          <w:color w:val="000000" w:themeColor="text1"/>
          <w:sz w:val="24"/>
          <w:szCs w:val="24"/>
          <w:lang w:val="fr-FR"/>
        </w:rPr>
        <w:t xml:space="preserve"> </w:t>
      </w:r>
      <w:r w:rsidRPr="00836EB3">
        <w:rPr>
          <w:noProof/>
          <w:color w:val="000000" w:themeColor="text1"/>
          <w:sz w:val="24"/>
          <w:szCs w:val="24"/>
        </w:rPr>
        <w:t xml:space="preserve">Procedures for large-scale metabolic profiling of serum and plasma using gas chromatography and liquid chromatography coupled to mass spectrometry. </w:t>
      </w:r>
      <w:r w:rsidRPr="00836EB3">
        <w:rPr>
          <w:i/>
          <w:iCs/>
          <w:noProof/>
          <w:color w:val="000000" w:themeColor="text1"/>
          <w:sz w:val="24"/>
          <w:szCs w:val="24"/>
        </w:rPr>
        <w:t>Nat. Protoc.</w:t>
      </w:r>
      <w:r w:rsidRPr="00836EB3">
        <w:rPr>
          <w:noProof/>
          <w:color w:val="000000" w:themeColor="text1"/>
          <w:sz w:val="24"/>
          <w:szCs w:val="24"/>
        </w:rPr>
        <w:t xml:space="preserve"> </w:t>
      </w:r>
      <w:r w:rsidRPr="00836EB3">
        <w:rPr>
          <w:b/>
          <w:bCs/>
          <w:noProof/>
          <w:color w:val="000000" w:themeColor="text1"/>
          <w:sz w:val="24"/>
          <w:szCs w:val="24"/>
        </w:rPr>
        <w:t>6</w:t>
      </w:r>
      <w:r w:rsidRPr="00836EB3">
        <w:rPr>
          <w:noProof/>
          <w:color w:val="000000" w:themeColor="text1"/>
          <w:sz w:val="24"/>
          <w:szCs w:val="24"/>
        </w:rPr>
        <w:t>, 1060–1083 (2011).</w:t>
      </w:r>
    </w:p>
    <w:p w14:paraId="39BFB3DD" w14:textId="5952BEB8" w:rsidR="00527197" w:rsidRPr="00836EB3" w:rsidRDefault="00881A49" w:rsidP="004B56F7">
      <w:pPr>
        <w:rPr>
          <w:color w:val="000000" w:themeColor="text1"/>
        </w:rPr>
      </w:pPr>
      <w:r w:rsidRPr="00836EB3">
        <w:rPr>
          <w:color w:val="000000" w:themeColor="text1"/>
          <w:sz w:val="24"/>
          <w:szCs w:val="24"/>
        </w:rPr>
        <w:fldChar w:fldCharType="end"/>
      </w:r>
    </w:p>
    <w:sectPr w:rsidR="00527197" w:rsidRPr="00836EB3" w:rsidSect="00836E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9250" w14:textId="77777777" w:rsidR="00B03228" w:rsidRDefault="00B03228" w:rsidP="00057211">
      <w:pPr>
        <w:spacing w:after="0"/>
      </w:pPr>
      <w:r>
        <w:separator/>
      </w:r>
    </w:p>
  </w:endnote>
  <w:endnote w:type="continuationSeparator" w:id="0">
    <w:p w14:paraId="3DC63FA1" w14:textId="77777777" w:rsidR="00B03228" w:rsidRDefault="00B03228" w:rsidP="000572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1E8C" w14:textId="77777777" w:rsidR="00B03228" w:rsidRDefault="00B03228" w:rsidP="00057211">
      <w:pPr>
        <w:spacing w:after="0"/>
      </w:pPr>
      <w:r>
        <w:separator/>
      </w:r>
    </w:p>
  </w:footnote>
  <w:footnote w:type="continuationSeparator" w:id="0">
    <w:p w14:paraId="391CFDCC" w14:textId="77777777" w:rsidR="00B03228" w:rsidRDefault="00B03228" w:rsidP="000572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1F"/>
    <w:rsid w:val="00010F59"/>
    <w:rsid w:val="00057211"/>
    <w:rsid w:val="00086200"/>
    <w:rsid w:val="00197C5B"/>
    <w:rsid w:val="00304508"/>
    <w:rsid w:val="00345F74"/>
    <w:rsid w:val="003576D2"/>
    <w:rsid w:val="003774FA"/>
    <w:rsid w:val="004403B1"/>
    <w:rsid w:val="00486433"/>
    <w:rsid w:val="004B56F7"/>
    <w:rsid w:val="004E63A2"/>
    <w:rsid w:val="00527197"/>
    <w:rsid w:val="00563375"/>
    <w:rsid w:val="00573468"/>
    <w:rsid w:val="00574BFA"/>
    <w:rsid w:val="00584AD9"/>
    <w:rsid w:val="005A1EA1"/>
    <w:rsid w:val="00603F81"/>
    <w:rsid w:val="00633A1F"/>
    <w:rsid w:val="006756AD"/>
    <w:rsid w:val="00780C83"/>
    <w:rsid w:val="007D403D"/>
    <w:rsid w:val="007E1D21"/>
    <w:rsid w:val="00836EB3"/>
    <w:rsid w:val="00881A49"/>
    <w:rsid w:val="008A1B3D"/>
    <w:rsid w:val="008E66A0"/>
    <w:rsid w:val="00AE6788"/>
    <w:rsid w:val="00B03228"/>
    <w:rsid w:val="00B4060D"/>
    <w:rsid w:val="00C33AA2"/>
    <w:rsid w:val="00E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27A10"/>
  <w15:chartTrackingRefBased/>
  <w15:docId w15:val="{0F268D99-F252-4153-9EE5-02FED5BA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11"/>
    <w:pPr>
      <w:spacing w:after="200"/>
      <w:jc w:val="both"/>
    </w:pPr>
    <w:rPr>
      <w:rFonts w:ascii="Times New Roman" w:eastAsia="Times New Roman" w:hAnsi="Times New Roman" w:cs="Times New Roman"/>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11"/>
    <w:pPr>
      <w:widowControl w:val="0"/>
      <w:pBdr>
        <w:bottom w:val="single" w:sz="6" w:space="1" w:color="auto"/>
      </w:pBdr>
      <w:tabs>
        <w:tab w:val="center" w:pos="4153"/>
        <w:tab w:val="right" w:pos="8306"/>
      </w:tabs>
      <w:snapToGrid w:val="0"/>
      <w:spacing w:after="0"/>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rsid w:val="00057211"/>
    <w:rPr>
      <w:sz w:val="18"/>
      <w:szCs w:val="18"/>
    </w:rPr>
  </w:style>
  <w:style w:type="paragraph" w:styleId="Footer">
    <w:name w:val="footer"/>
    <w:basedOn w:val="Normal"/>
    <w:link w:val="FooterChar"/>
    <w:uiPriority w:val="99"/>
    <w:unhideWhenUsed/>
    <w:rsid w:val="00057211"/>
    <w:pPr>
      <w:widowControl w:val="0"/>
      <w:tabs>
        <w:tab w:val="center" w:pos="4153"/>
        <w:tab w:val="right" w:pos="8306"/>
      </w:tabs>
      <w:snapToGrid w:val="0"/>
      <w:spacing w:after="0"/>
      <w:jc w:val="left"/>
    </w:pPr>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rsid w:val="00057211"/>
    <w:rPr>
      <w:sz w:val="18"/>
      <w:szCs w:val="18"/>
    </w:rPr>
  </w:style>
  <w:style w:type="character" w:styleId="Hyperlink">
    <w:name w:val="Hyperlink"/>
    <w:basedOn w:val="DefaultParagraphFont"/>
    <w:uiPriority w:val="99"/>
    <w:unhideWhenUsed/>
    <w:rsid w:val="00057211"/>
    <w:rPr>
      <w:color w:val="0563C1" w:themeColor="hyperlink"/>
      <w:u w:val="single"/>
    </w:rPr>
  </w:style>
  <w:style w:type="paragraph" w:styleId="Revision">
    <w:name w:val="Revision"/>
    <w:hidden/>
    <w:uiPriority w:val="99"/>
    <w:semiHidden/>
    <w:rsid w:val="00603F81"/>
    <w:rPr>
      <w:rFonts w:ascii="Times New Roman" w:eastAsia="Times New Roman" w:hAnsi="Times New Roman" w:cs="Times New Roman"/>
      <w:kern w:val="0"/>
      <w:sz w:val="20"/>
      <w:szCs w:val="20"/>
      <w:lang w:eastAsia="en-US"/>
    </w:rPr>
  </w:style>
  <w:style w:type="character" w:styleId="LineNumber">
    <w:name w:val="line number"/>
    <w:basedOn w:val="DefaultParagraphFont"/>
    <w:uiPriority w:val="99"/>
    <w:semiHidden/>
    <w:unhideWhenUsed/>
    <w:rsid w:val="00603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chem.ncbi.nlm.nih.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E9BE-C6C5-47B6-99BD-99A036EC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Huaijun Zhu</dc:creator>
  <cp:keywords/>
  <dc:description/>
  <cp:lastModifiedBy>Matthew Attwaters</cp:lastModifiedBy>
  <cp:revision>17</cp:revision>
  <dcterms:created xsi:type="dcterms:W3CDTF">2021-05-30T12:57:00Z</dcterms:created>
  <dcterms:modified xsi:type="dcterms:W3CDTF">2022-10-13T11:43:00Z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f831d790-d22a-396e-b763-2b4b0a7372c9</vt:lpwstr>
  </property>
  <property fmtid="{D5CDD505-2E9C-101B-9397-08002B2CF9AE}" pid="4" name="Mendeley Citation Style_1">
    <vt:lpwstr>http://www.zotero.org/styles/nature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http://www.zotero.org/styles/chinese-gb7714-2005-numeric</vt:lpwstr>
  </property>
  <property fmtid="{D5CDD505-2E9C-101B-9397-08002B2CF9AE}" pid="12" name="Mendeley Recent Style Name 3_1">
    <vt:lpwstr>China National Standard GB/T 7714-2005 (numeric, Chinese)</vt:lpwstr>
  </property>
  <property fmtid="{D5CDD505-2E9C-101B-9397-08002B2CF9AE}" pid="13" name="Mendeley Recent Style Id 4_1">
    <vt:lpwstr>https://csl.mendeley.com/styles/578552061/chinese-gb7714-2005-numeric-3</vt:lpwstr>
  </property>
  <property fmtid="{D5CDD505-2E9C-101B-9397-08002B2CF9AE}" pid="14" name="Mendeley Recent Style Name 4_1">
    <vt:lpwstr>China National Standard GB/T 7714-2005 (numeric, engetal) - Huaijun Zhu</vt:lpwstr>
  </property>
  <property fmtid="{D5CDD505-2E9C-101B-9397-08002B2CF9AE}" pid="15" name="Mendeley Recent Style Id 5_1">
    <vt:lpwstr>http://csl.mendeley.com/styles/578552061/chinese-gb7714-2005-numeric</vt:lpwstr>
  </property>
  <property fmtid="{D5CDD505-2E9C-101B-9397-08002B2CF9AE}" pid="16" name="Mendeley Recent Style Name 5_1">
    <vt:lpwstr>China National Standard GB/T 7714-2005 (numeric, 中文修改) - Huaijun Zhu</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