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376EC" w14:textId="77777777" w:rsidR="00AB1B2E" w:rsidRPr="00AB1B2E" w:rsidRDefault="00AB1B2E" w:rsidP="00AB1B2E">
      <w:pPr>
        <w:jc w:val="center"/>
        <w:rPr>
          <w:rFonts w:ascii="Times New Roman" w:hAnsi="Times New Roman" w:cs="Times New Roman"/>
          <w:sz w:val="28"/>
          <w:szCs w:val="28"/>
        </w:rPr>
      </w:pPr>
      <w:r w:rsidRPr="00AB1B2E">
        <w:rPr>
          <w:rFonts w:ascii="Times New Roman" w:hAnsi="Times New Roman" w:cs="Times New Roman"/>
          <w:sz w:val="28"/>
          <w:szCs w:val="28"/>
        </w:rPr>
        <w:t>Supplementary figures</w:t>
      </w:r>
    </w:p>
    <w:p w14:paraId="59661379" w14:textId="77777777" w:rsidR="00AB1B2E" w:rsidRDefault="00AB1B2E">
      <w:r w:rsidRPr="005D1FEA">
        <w:rPr>
          <w:noProof/>
        </w:rPr>
        <w:drawing>
          <wp:inline distT="0" distB="0" distL="0" distR="0" wp14:anchorId="2A7090B7" wp14:editId="3B6C8F47">
            <wp:extent cx="5274310" cy="4022725"/>
            <wp:effectExtent l="0" t="0" r="2540" b="0"/>
            <wp:docPr id="1" name="图表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3C05FDB2" w14:textId="357B7857" w:rsidR="005D1FEA" w:rsidRPr="004226C4" w:rsidRDefault="00AA68AB">
      <w:pPr>
        <w:rPr>
          <w:rFonts w:ascii="Times New Roman" w:hAnsi="Times New Roman"/>
          <w:sz w:val="24"/>
          <w:szCs w:val="24"/>
        </w:rPr>
      </w:pPr>
      <w:r w:rsidRPr="00AA68AB">
        <w:rPr>
          <w:rFonts w:ascii="Times New Roman" w:hAnsi="Times New Roman" w:cs="Times New Roman"/>
          <w:b/>
          <w:bCs/>
          <w:sz w:val="24"/>
          <w:szCs w:val="24"/>
        </w:rPr>
        <w:t xml:space="preserve">FIGURE </w:t>
      </w:r>
      <w:r w:rsidR="005D1FEA" w:rsidRPr="00AA68AB">
        <w:rPr>
          <w:rFonts w:ascii="Times New Roman" w:hAnsi="Times New Roman" w:cs="Times New Roman"/>
          <w:b/>
          <w:bCs/>
          <w:sz w:val="24"/>
          <w:szCs w:val="24"/>
        </w:rPr>
        <w:t>S1</w:t>
      </w:r>
      <w:r w:rsidR="005D1FEA" w:rsidRPr="004226C4">
        <w:rPr>
          <w:rFonts w:ascii="Times New Roman" w:hAnsi="Times New Roman" w:cs="Times New Roman"/>
          <w:sz w:val="24"/>
          <w:szCs w:val="24"/>
        </w:rPr>
        <w:t xml:space="preserve"> </w:t>
      </w:r>
      <w:r w:rsidR="004C5C32" w:rsidRPr="004C5C32">
        <w:rPr>
          <w:rFonts w:ascii="Times New Roman" w:hAnsi="Times New Roman" w:cs="Times New Roman"/>
          <w:b/>
          <w:bCs/>
          <w:sz w:val="24"/>
          <w:szCs w:val="24"/>
        </w:rPr>
        <w:t>|</w:t>
      </w:r>
      <w:r w:rsidR="004C5C32">
        <w:rPr>
          <w:rFonts w:ascii="Times New Roman" w:hAnsi="Times New Roman" w:cs="Times New Roman"/>
          <w:sz w:val="24"/>
          <w:szCs w:val="24"/>
        </w:rPr>
        <w:t xml:space="preserve"> </w:t>
      </w:r>
      <w:r w:rsidR="005D1FEA" w:rsidRPr="004226C4">
        <w:rPr>
          <w:rFonts w:ascii="Times New Roman" w:hAnsi="Times New Roman" w:cs="Times New Roman"/>
          <w:sz w:val="24"/>
          <w:szCs w:val="24"/>
        </w:rPr>
        <w:t xml:space="preserve">Classification of </w:t>
      </w:r>
      <w:r w:rsidR="005D1FEA" w:rsidRPr="004226C4">
        <w:rPr>
          <w:rFonts w:ascii="Times New Roman" w:hAnsi="Times New Roman"/>
          <w:sz w:val="24"/>
          <w:szCs w:val="24"/>
        </w:rPr>
        <w:t>identified metabolites in leaves of olive.</w:t>
      </w:r>
    </w:p>
    <w:p w14:paraId="4CE26F5A" w14:textId="77777777" w:rsidR="00582C97" w:rsidRDefault="004226C4" w:rsidP="004226C4">
      <w:pPr>
        <w:widowControl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25D6B9CC" w14:textId="77777777" w:rsidR="00582C97" w:rsidRDefault="00582C9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4EC1659E" wp14:editId="6C643B88">
            <wp:extent cx="5274310" cy="242252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荧光定量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22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A28261" w14:textId="6CFEC814" w:rsidR="00582C97" w:rsidRPr="00D95766" w:rsidRDefault="00AA68AB" w:rsidP="00AA68A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A68AB">
        <w:rPr>
          <w:rFonts w:ascii="Times New Roman" w:hAnsi="Times New Roman" w:cs="Times New Roman"/>
          <w:b/>
          <w:bCs/>
          <w:sz w:val="24"/>
          <w:szCs w:val="24"/>
        </w:rPr>
        <w:t>FIGURE S2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 </w:t>
      </w:r>
      <w:r w:rsidR="004C5C32" w:rsidRPr="004C5C32">
        <w:rPr>
          <w:rFonts w:ascii="Times New Roman" w:hAnsi="Times New Roman" w:cs="Times New Roman"/>
          <w:b/>
          <w:bCs/>
          <w:sz w:val="24"/>
          <w:szCs w:val="24"/>
        </w:rPr>
        <w:t>|</w:t>
      </w:r>
      <w:r w:rsidR="004C5C32">
        <w:rPr>
          <w:rFonts w:ascii="Times New Roman" w:hAnsi="Times New Roman" w:cs="Times New Roman"/>
          <w:sz w:val="24"/>
          <w:szCs w:val="24"/>
        </w:rPr>
        <w:t xml:space="preserve"> 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Verification of the relative gene expression levels by </w:t>
      </w:r>
      <w:proofErr w:type="spellStart"/>
      <w:r w:rsidR="00582C97" w:rsidRPr="004226C4">
        <w:rPr>
          <w:rFonts w:ascii="Times New Roman" w:hAnsi="Times New Roman" w:cs="Times New Roman"/>
          <w:sz w:val="24"/>
          <w:szCs w:val="24"/>
        </w:rPr>
        <w:t>qRT</w:t>
      </w:r>
      <w:proofErr w:type="spellEnd"/>
      <w:r w:rsidR="00582C97" w:rsidRPr="004226C4">
        <w:rPr>
          <w:rFonts w:ascii="Times New Roman" w:hAnsi="Times New Roman" w:cs="Times New Roman"/>
          <w:sz w:val="24"/>
          <w:szCs w:val="24"/>
        </w:rPr>
        <w:t>-PCR analysis.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(A</w:t>
      </w:r>
      <w:r w:rsidRPr="00AA68AB">
        <w:rPr>
          <w:rFonts w:ascii="Times New Roman" w:hAnsi="Times New Roman" w:cs="Times New Roman" w:hint="eastAsia"/>
          <w:b/>
          <w:bCs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EVM0059485;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 xml:space="preserve">(B) 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EVM0034154;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(C)</w:t>
      </w:r>
      <w:r w:rsidR="00582C97" w:rsidRPr="004226C4">
        <w:rPr>
          <w:rFonts w:ascii="Times New Roman" w:hAnsi="Times New Roman" w:cs="Times New Roman"/>
          <w:color w:val="595959"/>
          <w:kern w:val="24"/>
          <w:sz w:val="24"/>
          <w:szCs w:val="24"/>
          <w14:textFill>
            <w14:solidFill>
              <w14:srgbClr w14:val="595959">
                <w14:lumMod w14:val="65000"/>
                <w14:lumOff w14:val="35000"/>
              </w14:srgbClr>
            </w14:solidFill>
          </w14:textFill>
        </w:rPr>
        <w:t xml:space="preserve"> 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EVM0004461;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(D)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 EVM0023929;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(E)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 EVM0025994;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(F)</w:t>
      </w:r>
      <w:r w:rsidR="00582C97" w:rsidRPr="004226C4">
        <w:rPr>
          <w:rFonts w:ascii="Times New Roman" w:hAnsi="Times New Roman" w:cs="Times New Roman"/>
          <w:color w:val="595959"/>
          <w:kern w:val="24"/>
          <w:sz w:val="24"/>
          <w:szCs w:val="24"/>
          <w14:textFill>
            <w14:solidFill>
              <w14:srgbClr w14:val="595959">
                <w14:lumMod w14:val="65000"/>
                <w14:lumOff w14:val="35000"/>
              </w14:srgbClr>
            </w14:solidFill>
          </w14:textFill>
        </w:rPr>
        <w:t xml:space="preserve"> 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EVM0052591;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(G)</w:t>
      </w:r>
      <w:r w:rsidR="00582C97" w:rsidRPr="004226C4">
        <w:rPr>
          <w:rFonts w:ascii="Times New Roman" w:hAnsi="Times New Roman" w:cs="Times New Roman"/>
          <w:color w:val="595959"/>
          <w:kern w:val="24"/>
          <w:sz w:val="24"/>
          <w:szCs w:val="24"/>
          <w14:textFill>
            <w14:solidFill>
              <w14:srgbClr w14:val="595959">
                <w14:lumMod w14:val="65000"/>
                <w14:lumOff w14:val="35000"/>
              </w14:srgbClr>
            </w14:solidFill>
          </w14:textFill>
        </w:rPr>
        <w:t xml:space="preserve"> 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EVM0013996;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(H)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 EVM0054314;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(I)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 EVM0050359;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 xml:space="preserve"> (J)</w:t>
      </w:r>
      <w:r w:rsidR="00582C97" w:rsidRPr="00AA68AB">
        <w:rPr>
          <w:rFonts w:ascii="Times New Roman" w:hAnsi="Times New Roman" w:cs="Times New Roman"/>
          <w:b/>
          <w:bCs/>
          <w:color w:val="595959"/>
          <w:kern w:val="24"/>
          <w:sz w:val="24"/>
          <w:szCs w:val="24"/>
          <w14:textFill>
            <w14:solidFill>
              <w14:srgbClr w14:val="595959">
                <w14:lumMod w14:val="65000"/>
                <w14:lumOff w14:val="35000"/>
              </w14:srgbClr>
            </w14:solidFill>
          </w14:textFill>
        </w:rPr>
        <w:t xml:space="preserve"> 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EVM0041898;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(K)</w:t>
      </w:r>
      <w:r w:rsidR="00582C97" w:rsidRPr="004226C4">
        <w:rPr>
          <w:rFonts w:ascii="Times New Roman" w:hAnsi="Times New Roman" w:cs="Times New Roman"/>
          <w:sz w:val="24"/>
          <w:szCs w:val="24"/>
        </w:rPr>
        <w:t xml:space="preserve"> EVM0030805; </w:t>
      </w:r>
      <w:r w:rsidR="00582C97" w:rsidRPr="00AA68AB">
        <w:rPr>
          <w:rFonts w:ascii="Times New Roman" w:hAnsi="Times New Roman" w:cs="Times New Roman"/>
          <w:b/>
          <w:bCs/>
          <w:sz w:val="24"/>
          <w:szCs w:val="24"/>
        </w:rPr>
        <w:t>(L)</w:t>
      </w:r>
      <w:r w:rsidR="00582C97" w:rsidRPr="004226C4">
        <w:rPr>
          <w:rFonts w:ascii="Times New Roman" w:hAnsi="Times New Roman" w:cs="Times New Roman"/>
          <w:color w:val="595959"/>
          <w:kern w:val="24"/>
          <w:sz w:val="24"/>
          <w:szCs w:val="24"/>
          <w14:textFill>
            <w14:solidFill>
              <w14:srgbClr w14:val="595959">
                <w14:lumMod w14:val="65000"/>
                <w14:lumOff w14:val="35000"/>
              </w14:srgbClr>
            </w14:solidFill>
          </w14:textFill>
        </w:rPr>
        <w:t xml:space="preserve"> </w:t>
      </w:r>
      <w:r w:rsidR="00582C97" w:rsidRPr="004226C4">
        <w:rPr>
          <w:rFonts w:ascii="Times New Roman" w:hAnsi="Times New Roman" w:cs="Times New Roman"/>
          <w:sz w:val="24"/>
          <w:szCs w:val="24"/>
        </w:rPr>
        <w:t>EVM0061178.</w:t>
      </w:r>
    </w:p>
    <w:sectPr w:rsidR="00582C97" w:rsidRPr="00D957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5AE094" w14:textId="77777777" w:rsidR="00517E25" w:rsidRDefault="00517E25" w:rsidP="005D1FEA">
      <w:r>
        <w:separator/>
      </w:r>
    </w:p>
  </w:endnote>
  <w:endnote w:type="continuationSeparator" w:id="0">
    <w:p w14:paraId="1A72CB16" w14:textId="77777777" w:rsidR="00517E25" w:rsidRDefault="00517E25" w:rsidP="005D1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703D2" w14:textId="77777777" w:rsidR="00517E25" w:rsidRDefault="00517E25" w:rsidP="005D1FEA">
      <w:r>
        <w:separator/>
      </w:r>
    </w:p>
  </w:footnote>
  <w:footnote w:type="continuationSeparator" w:id="0">
    <w:p w14:paraId="116E07B4" w14:textId="77777777" w:rsidR="00517E25" w:rsidRDefault="00517E25" w:rsidP="005D1F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224D"/>
    <w:rsid w:val="004226C4"/>
    <w:rsid w:val="004C5C32"/>
    <w:rsid w:val="00517E25"/>
    <w:rsid w:val="00582C97"/>
    <w:rsid w:val="005D1FEA"/>
    <w:rsid w:val="00611518"/>
    <w:rsid w:val="0070224D"/>
    <w:rsid w:val="007E5A65"/>
    <w:rsid w:val="00AA68AB"/>
    <w:rsid w:val="00AB1B2E"/>
    <w:rsid w:val="00BB76EE"/>
    <w:rsid w:val="00D9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771573"/>
  <w15:chartTrackingRefBased/>
  <w15:docId w15:val="{A502941D-DC6D-4396-8DE4-A67CE455F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B1B2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1F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D1FE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D1F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D1FEA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582C9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0">
    <w:name w:val="标题 1 字符"/>
    <w:basedOn w:val="a0"/>
    <w:link w:val="1"/>
    <w:uiPriority w:val="9"/>
    <w:rsid w:val="00AB1B2E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8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8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windows\Desktop\&#27833;&#27204;&#27012;\&#25239;&#23506;\&#20195;&#35874;&#29289;&#25972;&#29702;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统计!$D$1</c:f>
              <c:strCache>
                <c:ptCount val="1"/>
                <c:pt idx="0">
                  <c:v>Number</c:v>
                </c:pt>
              </c:strCache>
            </c:strRef>
          </c:tx>
          <c:spPr>
            <a:gradFill flip="none" rotWithShape="1">
              <a:gsLst>
                <a:gs pos="0">
                  <a:schemeClr val="accent1">
                    <a:shade val="30000"/>
                    <a:satMod val="115000"/>
                  </a:schemeClr>
                </a:gs>
                <a:gs pos="50000">
                  <a:schemeClr val="accent1">
                    <a:shade val="67500"/>
                    <a:satMod val="115000"/>
                  </a:schemeClr>
                </a:gs>
                <a:gs pos="100000">
                  <a:schemeClr val="accent1">
                    <a:shade val="100000"/>
                    <a:satMod val="115000"/>
                  </a:schemeClr>
                </a:gs>
              </a:gsLst>
              <a:path path="circle">
                <a:fillToRect l="100000" t="100000"/>
              </a:path>
              <a:tileRect r="-100000" b="-100000"/>
            </a:gradFill>
            <a:ln>
              <a:noFill/>
            </a:ln>
            <a:effectLst/>
          </c:spPr>
          <c:invertIfNegative val="0"/>
          <c:cat>
            <c:strRef>
              <c:f>统计!$C$2:$C$20</c:f>
              <c:strCache>
                <c:ptCount val="19"/>
                <c:pt idx="0">
                  <c:v>Organic acids</c:v>
                </c:pt>
                <c:pt idx="1">
                  <c:v>Esters</c:v>
                </c:pt>
                <c:pt idx="2">
                  <c:v>Flavonoids</c:v>
                </c:pt>
                <c:pt idx="3">
                  <c:v>Flavonoid glycosides</c:v>
                </c:pt>
                <c:pt idx="4">
                  <c:v>Other glycosides</c:v>
                </c:pt>
                <c:pt idx="5">
                  <c:v>Alcohols</c:v>
                </c:pt>
                <c:pt idx="6">
                  <c:v>Amino acids and their derivatives</c:v>
                </c:pt>
                <c:pt idx="7">
                  <c:v>Phenols</c:v>
                </c:pt>
                <c:pt idx="8">
                  <c:v>Terpenes</c:v>
                </c:pt>
                <c:pt idx="9">
                  <c:v>Saccharides</c:v>
                </c:pt>
                <c:pt idx="10">
                  <c:v>Ketones</c:v>
                </c:pt>
                <c:pt idx="11">
                  <c:v>Alkaloids</c:v>
                </c:pt>
                <c:pt idx="12">
                  <c:v>Vitamins nad their derivatives</c:v>
                </c:pt>
                <c:pt idx="13">
                  <c:v>Coumarins and their derivatives</c:v>
                </c:pt>
                <c:pt idx="14">
                  <c:v>Fatty acids</c:v>
                </c:pt>
                <c:pt idx="15">
                  <c:v>Aldehydes</c:v>
                </c:pt>
                <c:pt idx="16">
                  <c:v>Phytohormones</c:v>
                </c:pt>
                <c:pt idx="17">
                  <c:v>Ethers</c:v>
                </c:pt>
                <c:pt idx="18">
                  <c:v>Others</c:v>
                </c:pt>
              </c:strCache>
            </c:strRef>
          </c:cat>
          <c:val>
            <c:numRef>
              <c:f>统计!$D$2:$D$20</c:f>
              <c:numCache>
                <c:formatCode>General</c:formatCode>
                <c:ptCount val="19"/>
                <c:pt idx="0">
                  <c:v>114</c:v>
                </c:pt>
                <c:pt idx="1">
                  <c:v>57</c:v>
                </c:pt>
                <c:pt idx="2">
                  <c:v>42</c:v>
                </c:pt>
                <c:pt idx="3">
                  <c:v>33</c:v>
                </c:pt>
                <c:pt idx="4">
                  <c:v>84</c:v>
                </c:pt>
                <c:pt idx="5">
                  <c:v>36</c:v>
                </c:pt>
                <c:pt idx="6">
                  <c:v>30</c:v>
                </c:pt>
                <c:pt idx="7">
                  <c:v>25</c:v>
                </c:pt>
                <c:pt idx="8">
                  <c:v>25</c:v>
                </c:pt>
                <c:pt idx="9">
                  <c:v>24</c:v>
                </c:pt>
                <c:pt idx="10">
                  <c:v>23</c:v>
                </c:pt>
                <c:pt idx="11">
                  <c:v>17</c:v>
                </c:pt>
                <c:pt idx="12">
                  <c:v>16</c:v>
                </c:pt>
                <c:pt idx="13">
                  <c:v>11</c:v>
                </c:pt>
                <c:pt idx="14">
                  <c:v>9</c:v>
                </c:pt>
                <c:pt idx="15">
                  <c:v>6</c:v>
                </c:pt>
                <c:pt idx="16">
                  <c:v>5</c:v>
                </c:pt>
                <c:pt idx="17">
                  <c:v>4</c:v>
                </c:pt>
                <c:pt idx="18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55B-471C-9870-6E1B9A4C44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-1330980432"/>
        <c:axId val="-1330986416"/>
      </c:barChart>
      <c:catAx>
        <c:axId val="-1330980432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zh-CN"/>
          </a:p>
        </c:txPr>
        <c:crossAx val="-1330986416"/>
        <c:crosses val="autoZero"/>
        <c:auto val="1"/>
        <c:lblAlgn val="ctr"/>
        <c:lblOffset val="100"/>
        <c:noMultiLvlLbl val="0"/>
      </c:catAx>
      <c:valAx>
        <c:axId val="-1330986416"/>
        <c:scaling>
          <c:orientation val="minMax"/>
        </c:scaling>
        <c:delete val="0"/>
        <c:axPos val="l"/>
        <c:numFmt formatCode="General" sourceLinked="1"/>
        <c:majorTickMark val="in"/>
        <c:minorTickMark val="none"/>
        <c:tickLblPos val="nextTo"/>
        <c:spPr>
          <a:noFill/>
          <a:ln>
            <a:solidFill>
              <a:schemeClr val="bg2">
                <a:lumMod val="75000"/>
              </a:schemeClr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zh-CN"/>
          </a:p>
        </c:txPr>
        <c:crossAx val="-13309804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zh-CN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Chenkai Jiang</dc:creator>
  <cp:keywords/>
  <dc:description/>
  <cp:lastModifiedBy>Chenkai Jiang</cp:lastModifiedBy>
  <cp:revision>8</cp:revision>
  <dcterms:created xsi:type="dcterms:W3CDTF">2022-07-27T09:37:00Z</dcterms:created>
  <dcterms:modified xsi:type="dcterms:W3CDTF">2022-12-12T02:44:00Z</dcterms:modified>
</cp:coreProperties>
</file>