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3C5E" w14:textId="77777777" w:rsidR="00E23711" w:rsidRPr="00E23711" w:rsidRDefault="00E23711" w:rsidP="00E23711">
      <w:pPr>
        <w:spacing w:line="480" w:lineRule="auto"/>
        <w:rPr>
          <w:rFonts w:ascii="Arial" w:hAnsi="Arial" w:cs="Arial"/>
          <w:b/>
          <w:bCs/>
          <w:color w:val="000000" w:themeColor="text1"/>
        </w:rPr>
      </w:pPr>
      <w:r w:rsidRPr="00E23711">
        <w:rPr>
          <w:rFonts w:ascii="Arial" w:hAnsi="Arial" w:cs="Arial"/>
          <w:b/>
          <w:bCs/>
          <w:color w:val="000000" w:themeColor="text1"/>
        </w:rPr>
        <w:t>Supplemental table of contents: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E23711" w:rsidRPr="00E23711" w14:paraId="18D7675A" w14:textId="77777777" w:rsidTr="00E55EC2">
        <w:tc>
          <w:tcPr>
            <w:tcW w:w="7560" w:type="dxa"/>
          </w:tcPr>
          <w:p w14:paraId="59DEC2F4" w14:textId="01156264" w:rsidR="00E23711" w:rsidRPr="00E23711" w:rsidRDefault="00E23711" w:rsidP="00804EE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E23711">
              <w:rPr>
                <w:rFonts w:ascii="Arial" w:hAnsi="Arial" w:cs="Arial"/>
                <w:color w:val="000000" w:themeColor="text1"/>
              </w:rPr>
              <w:t xml:space="preserve">Supplementary </w:t>
            </w:r>
            <w:r w:rsidR="00E55EC2">
              <w:rPr>
                <w:rFonts w:ascii="Arial" w:hAnsi="Arial" w:cs="Arial"/>
                <w:color w:val="000000" w:themeColor="text1"/>
              </w:rPr>
              <w:t xml:space="preserve">materials and </w:t>
            </w:r>
            <w:r w:rsidRPr="00E23711">
              <w:rPr>
                <w:rFonts w:ascii="Arial" w:hAnsi="Arial" w:cs="Arial"/>
                <w:color w:val="000000" w:themeColor="text1"/>
              </w:rPr>
              <w:t>methods</w:t>
            </w:r>
          </w:p>
        </w:tc>
        <w:tc>
          <w:tcPr>
            <w:tcW w:w="1790" w:type="dxa"/>
          </w:tcPr>
          <w:p w14:paraId="51E9FE8E" w14:textId="77777777" w:rsidR="00E23711" w:rsidRPr="00E23711" w:rsidRDefault="00E23711" w:rsidP="00804EE2">
            <w:pPr>
              <w:spacing w:line="48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E23711">
              <w:rPr>
                <w:rFonts w:ascii="Arial" w:hAnsi="Arial" w:cs="Arial"/>
                <w:color w:val="000000" w:themeColor="text1"/>
              </w:rPr>
              <w:t>Page 1</w:t>
            </w:r>
          </w:p>
        </w:tc>
      </w:tr>
      <w:tr w:rsidR="00E23711" w:rsidRPr="00E23711" w14:paraId="21C461EB" w14:textId="77777777" w:rsidTr="00E55EC2">
        <w:tc>
          <w:tcPr>
            <w:tcW w:w="7560" w:type="dxa"/>
          </w:tcPr>
          <w:p w14:paraId="127D085A" w14:textId="7EC0948F" w:rsidR="00E23711" w:rsidRPr="00E23711" w:rsidRDefault="00E23711" w:rsidP="00804EE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E23711">
              <w:rPr>
                <w:rFonts w:ascii="Arial" w:hAnsi="Arial" w:cs="Arial"/>
                <w:color w:val="000000" w:themeColor="text1"/>
              </w:rPr>
              <w:t>Supplementary Figure</w:t>
            </w:r>
            <w:r w:rsidR="0026740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E75A1">
              <w:rPr>
                <w:rFonts w:ascii="Arial" w:hAnsi="Arial" w:cs="Arial"/>
                <w:color w:val="000000" w:themeColor="text1"/>
              </w:rPr>
              <w:t>S</w:t>
            </w:r>
            <w:r w:rsidR="0026740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790" w:type="dxa"/>
          </w:tcPr>
          <w:p w14:paraId="61B61805" w14:textId="037B007D" w:rsidR="00E23711" w:rsidRPr="00E23711" w:rsidRDefault="00E23711" w:rsidP="00804EE2">
            <w:pPr>
              <w:spacing w:line="48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E23711">
              <w:rPr>
                <w:rFonts w:ascii="Arial" w:hAnsi="Arial" w:cs="Arial"/>
                <w:color w:val="000000" w:themeColor="text1"/>
              </w:rPr>
              <w:t>Page 2</w:t>
            </w:r>
          </w:p>
        </w:tc>
      </w:tr>
      <w:tr w:rsidR="00405DA4" w:rsidRPr="00E23711" w14:paraId="1354F0C0" w14:textId="77777777" w:rsidTr="002522B0">
        <w:tc>
          <w:tcPr>
            <w:tcW w:w="7560" w:type="dxa"/>
          </w:tcPr>
          <w:p w14:paraId="65ADC11B" w14:textId="17A77FF1" w:rsidR="00405DA4" w:rsidRPr="00E23711" w:rsidRDefault="00405DA4" w:rsidP="002522B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E23711">
              <w:rPr>
                <w:rFonts w:ascii="Arial" w:hAnsi="Arial" w:cs="Arial"/>
                <w:color w:val="000000" w:themeColor="text1"/>
              </w:rPr>
              <w:t>Supplementary Figure</w:t>
            </w:r>
            <w:r>
              <w:rPr>
                <w:rFonts w:ascii="Arial" w:hAnsi="Arial" w:cs="Arial"/>
                <w:color w:val="000000" w:themeColor="text1"/>
              </w:rPr>
              <w:t xml:space="preserve"> S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790" w:type="dxa"/>
          </w:tcPr>
          <w:p w14:paraId="55D624F7" w14:textId="37FB77DF" w:rsidR="00405DA4" w:rsidRPr="00E23711" w:rsidRDefault="00405DA4" w:rsidP="002522B0">
            <w:pPr>
              <w:spacing w:line="48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E23711">
              <w:rPr>
                <w:rFonts w:ascii="Arial" w:hAnsi="Arial" w:cs="Arial"/>
                <w:color w:val="000000" w:themeColor="text1"/>
              </w:rPr>
              <w:t xml:space="preserve">Page 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405DA4" w:rsidRPr="00E23711" w14:paraId="3A81F78B" w14:textId="77777777" w:rsidTr="00E55EC2">
        <w:tc>
          <w:tcPr>
            <w:tcW w:w="7560" w:type="dxa"/>
          </w:tcPr>
          <w:p w14:paraId="429CED82" w14:textId="2DF539ED" w:rsidR="00405DA4" w:rsidRDefault="00405DA4" w:rsidP="00405DA4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Supplementary Tables S1-S2</w:t>
            </w:r>
          </w:p>
        </w:tc>
        <w:tc>
          <w:tcPr>
            <w:tcW w:w="1790" w:type="dxa"/>
          </w:tcPr>
          <w:p w14:paraId="19505963" w14:textId="2D3B5264" w:rsidR="00405DA4" w:rsidRDefault="00405DA4" w:rsidP="00405DA4">
            <w:pPr>
              <w:spacing w:line="48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Page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</w:tbl>
    <w:p w14:paraId="2AE7EF43" w14:textId="1ED29B9C" w:rsidR="00E23711" w:rsidRPr="00E23711" w:rsidRDefault="00E23711">
      <w:pPr>
        <w:rPr>
          <w:rFonts w:ascii="Arial" w:hAnsi="Arial" w:cs="Arial"/>
        </w:rPr>
      </w:pPr>
    </w:p>
    <w:p w14:paraId="10A860FA" w14:textId="20CE79FA" w:rsidR="00E23711" w:rsidRPr="00E23711" w:rsidRDefault="00E23711">
      <w:pPr>
        <w:rPr>
          <w:rFonts w:ascii="Arial" w:hAnsi="Arial" w:cs="Arial"/>
        </w:rPr>
      </w:pPr>
    </w:p>
    <w:p w14:paraId="2C2A38FF" w14:textId="6AD96BEC" w:rsidR="00E23711" w:rsidRPr="00E23711" w:rsidRDefault="00E23711">
      <w:pPr>
        <w:rPr>
          <w:rFonts w:ascii="Arial" w:hAnsi="Arial" w:cs="Arial"/>
        </w:rPr>
      </w:pPr>
    </w:p>
    <w:p w14:paraId="320E1C0B" w14:textId="6256ADA2" w:rsidR="00E23711" w:rsidRPr="00E23711" w:rsidRDefault="00E23711">
      <w:pPr>
        <w:rPr>
          <w:rFonts w:ascii="Arial" w:hAnsi="Arial" w:cs="Arial"/>
        </w:rPr>
      </w:pPr>
    </w:p>
    <w:p w14:paraId="324FFF50" w14:textId="42026346" w:rsidR="00E23711" w:rsidRPr="00E23711" w:rsidRDefault="00E23711">
      <w:pPr>
        <w:rPr>
          <w:rFonts w:ascii="Arial" w:hAnsi="Arial" w:cs="Arial"/>
        </w:rPr>
      </w:pPr>
    </w:p>
    <w:p w14:paraId="70A74BA5" w14:textId="5D0DE343" w:rsidR="00E23711" w:rsidRPr="00E23711" w:rsidRDefault="00E23711">
      <w:pPr>
        <w:rPr>
          <w:rFonts w:ascii="Arial" w:hAnsi="Arial" w:cs="Arial"/>
        </w:rPr>
      </w:pPr>
      <w:r w:rsidRPr="00E23711">
        <w:rPr>
          <w:rFonts w:ascii="Arial" w:hAnsi="Arial" w:cs="Arial"/>
        </w:rPr>
        <w:br w:type="page"/>
      </w:r>
    </w:p>
    <w:p w14:paraId="78D477F3" w14:textId="3533D808" w:rsidR="00E23711" w:rsidRPr="00AF2796" w:rsidRDefault="00E23711">
      <w:pPr>
        <w:rPr>
          <w:rFonts w:ascii="Arial" w:hAnsi="Arial" w:cs="Arial"/>
          <w:b/>
          <w:bCs/>
        </w:rPr>
      </w:pPr>
      <w:r w:rsidRPr="00AF2796">
        <w:rPr>
          <w:rFonts w:ascii="Arial" w:hAnsi="Arial" w:cs="Arial"/>
          <w:b/>
          <w:bCs/>
        </w:rPr>
        <w:lastRenderedPageBreak/>
        <w:t xml:space="preserve">Supplementary </w:t>
      </w:r>
      <w:r w:rsidR="00E55EC2">
        <w:rPr>
          <w:rFonts w:ascii="Arial" w:hAnsi="Arial" w:cs="Arial"/>
          <w:b/>
          <w:bCs/>
        </w:rPr>
        <w:t xml:space="preserve">materials and </w:t>
      </w:r>
      <w:r w:rsidRPr="00AF2796">
        <w:rPr>
          <w:rFonts w:ascii="Arial" w:hAnsi="Arial" w:cs="Arial"/>
          <w:b/>
          <w:bCs/>
        </w:rPr>
        <w:t>methods</w:t>
      </w:r>
    </w:p>
    <w:p w14:paraId="356C317A" w14:textId="12B2DAC8" w:rsidR="00E23711" w:rsidRDefault="00E23711">
      <w:pPr>
        <w:rPr>
          <w:rFonts w:ascii="Arial" w:hAnsi="Arial" w:cs="Arial"/>
        </w:rPr>
      </w:pPr>
    </w:p>
    <w:p w14:paraId="727FECBE" w14:textId="2B2C3E4E" w:rsidR="00E23711" w:rsidRDefault="00E55EC2">
      <w:pPr>
        <w:rPr>
          <w:rFonts w:ascii="Arial" w:hAnsi="Arial" w:cs="Arial"/>
        </w:rPr>
      </w:pPr>
      <w:r>
        <w:rPr>
          <w:rFonts w:ascii="Arial" w:hAnsi="Arial" w:cs="Arial"/>
        </w:rPr>
        <w:t>Immunosuppression protocol at our center:</w:t>
      </w:r>
    </w:p>
    <w:p w14:paraId="1EB7BA33" w14:textId="617CD01C" w:rsidR="00E55EC2" w:rsidRDefault="00E55EC2" w:rsidP="00E55E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Induction glucocorticoids: IV m</w:t>
      </w:r>
      <w:r w:rsidRPr="00E55EC2">
        <w:rPr>
          <w:rFonts w:ascii="Arial" w:hAnsi="Arial" w:cs="Arial"/>
        </w:rPr>
        <w:t>ethylpred</w:t>
      </w:r>
      <w:r>
        <w:rPr>
          <w:rFonts w:ascii="Arial" w:hAnsi="Arial" w:cs="Arial"/>
        </w:rPr>
        <w:t>nisolone</w:t>
      </w:r>
      <w:r w:rsidRPr="00E55EC2">
        <w:rPr>
          <w:rFonts w:ascii="Arial" w:hAnsi="Arial" w:cs="Arial"/>
        </w:rPr>
        <w:t xml:space="preserve"> 500</w:t>
      </w:r>
      <w:r>
        <w:rPr>
          <w:rFonts w:ascii="Arial" w:hAnsi="Arial" w:cs="Arial"/>
        </w:rPr>
        <w:t xml:space="preserve"> </w:t>
      </w:r>
      <w:r w:rsidRPr="00E55EC2">
        <w:rPr>
          <w:rFonts w:ascii="Arial" w:hAnsi="Arial" w:cs="Arial"/>
        </w:rPr>
        <w:t>mg</w:t>
      </w:r>
      <w:r>
        <w:rPr>
          <w:rFonts w:ascii="Arial" w:hAnsi="Arial" w:cs="Arial"/>
        </w:rPr>
        <w:t xml:space="preserve"> on POD0</w:t>
      </w:r>
      <w:r w:rsidRPr="00E55EC2">
        <w:rPr>
          <w:rFonts w:ascii="Arial" w:hAnsi="Arial" w:cs="Arial"/>
        </w:rPr>
        <w:t>, 250</w:t>
      </w:r>
      <w:r>
        <w:rPr>
          <w:rFonts w:ascii="Arial" w:hAnsi="Arial" w:cs="Arial"/>
        </w:rPr>
        <w:t xml:space="preserve"> mg no POD1</w:t>
      </w:r>
      <w:r w:rsidRPr="00E55EC2">
        <w:rPr>
          <w:rFonts w:ascii="Arial" w:hAnsi="Arial" w:cs="Arial"/>
        </w:rPr>
        <w:t>, 125</w:t>
      </w:r>
      <w:r>
        <w:rPr>
          <w:rFonts w:ascii="Arial" w:hAnsi="Arial" w:cs="Arial"/>
        </w:rPr>
        <w:t xml:space="preserve"> </w:t>
      </w:r>
      <w:r w:rsidRPr="00E55EC2">
        <w:rPr>
          <w:rFonts w:ascii="Arial" w:hAnsi="Arial" w:cs="Arial"/>
        </w:rPr>
        <w:t>mg</w:t>
      </w:r>
      <w:r>
        <w:rPr>
          <w:rFonts w:ascii="Arial" w:hAnsi="Arial" w:cs="Arial"/>
        </w:rPr>
        <w:t xml:space="preserve"> on POD2</w:t>
      </w:r>
      <w:r w:rsidRPr="00E55E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</w:t>
      </w:r>
      <w:r w:rsidRPr="00E55EC2">
        <w:rPr>
          <w:rFonts w:ascii="Arial" w:hAnsi="Arial" w:cs="Arial"/>
        </w:rPr>
        <w:t xml:space="preserve"> 60mg</w:t>
      </w:r>
      <w:r>
        <w:rPr>
          <w:rFonts w:ascii="Arial" w:hAnsi="Arial" w:cs="Arial"/>
        </w:rPr>
        <w:t xml:space="preserve"> on POD3 and POD4.</w:t>
      </w:r>
      <w:r w:rsidR="0034239F">
        <w:rPr>
          <w:rFonts w:ascii="Arial" w:hAnsi="Arial" w:cs="Arial"/>
        </w:rPr>
        <w:t xml:space="preserve"> Patients who are deemed to be high immunologic risk (e.g., having donor-specific anti-HLA antibodies with mean fluorescent intensity &gt;3,000) are continued on prednisone 5 mg daily long-term (i.e., steroid maintenance). Patients who are deemed to be at low immunologic risk do not receive long-term steroids (i.e., early steroid withdrawal).</w:t>
      </w:r>
    </w:p>
    <w:p w14:paraId="12756292" w14:textId="5C040D1C" w:rsidR="00E55EC2" w:rsidRDefault="00E55EC2" w:rsidP="00E55E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Tacrolimus: 2 mg twice daily then adjusted to achieve levels of 8-10 ng/mL</w:t>
      </w:r>
    </w:p>
    <w:p w14:paraId="2277C22A" w14:textId="295EEC40" w:rsidR="00E55EC2" w:rsidRPr="00E55EC2" w:rsidRDefault="00E55EC2" w:rsidP="00E55E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55EC2">
        <w:rPr>
          <w:rFonts w:ascii="Arial" w:hAnsi="Arial" w:cs="Arial"/>
        </w:rPr>
        <w:t>M</w:t>
      </w:r>
      <w:r>
        <w:rPr>
          <w:rFonts w:ascii="Arial" w:hAnsi="Arial" w:cs="Arial"/>
        </w:rPr>
        <w:t>ycophenolate mofetil:</w:t>
      </w:r>
      <w:r w:rsidRPr="00E55EC2">
        <w:rPr>
          <w:rFonts w:ascii="Arial" w:hAnsi="Arial" w:cs="Arial"/>
        </w:rPr>
        <w:t xml:space="preserve"> </w:t>
      </w:r>
      <w:r w:rsidR="005E424D">
        <w:rPr>
          <w:rFonts w:ascii="Arial" w:hAnsi="Arial" w:cs="Arial"/>
        </w:rPr>
        <w:t xml:space="preserve">1000 mg once pre-op and then 1000 mg twice daily </w:t>
      </w:r>
      <w:r w:rsidR="0034239F">
        <w:rPr>
          <w:rFonts w:ascii="Arial" w:hAnsi="Arial" w:cs="Arial"/>
        </w:rPr>
        <w:t>until</w:t>
      </w:r>
      <w:r w:rsidR="005E424D">
        <w:rPr>
          <w:rFonts w:ascii="Arial" w:hAnsi="Arial" w:cs="Arial"/>
        </w:rPr>
        <w:t xml:space="preserve"> POD4. POD5 onwards: </w:t>
      </w:r>
      <w:r w:rsidRPr="00E55EC2">
        <w:rPr>
          <w:rFonts w:ascii="Arial" w:hAnsi="Arial" w:cs="Arial"/>
        </w:rPr>
        <w:t>starting dose is 500</w:t>
      </w:r>
      <w:r>
        <w:rPr>
          <w:rFonts w:ascii="Arial" w:hAnsi="Arial" w:cs="Arial"/>
        </w:rPr>
        <w:t xml:space="preserve"> </w:t>
      </w:r>
      <w:r w:rsidRPr="00E55EC2">
        <w:rPr>
          <w:rFonts w:ascii="Arial" w:hAnsi="Arial" w:cs="Arial"/>
        </w:rPr>
        <w:t xml:space="preserve">mg </w:t>
      </w:r>
      <w:r>
        <w:rPr>
          <w:rFonts w:ascii="Arial" w:hAnsi="Arial" w:cs="Arial"/>
        </w:rPr>
        <w:t>twice daily</w:t>
      </w:r>
      <w:r w:rsidRPr="00E55EC2">
        <w:rPr>
          <w:rFonts w:ascii="Arial" w:hAnsi="Arial" w:cs="Arial"/>
        </w:rPr>
        <w:t xml:space="preserve"> for all patients except </w:t>
      </w:r>
      <w:r>
        <w:rPr>
          <w:rFonts w:ascii="Arial" w:hAnsi="Arial" w:cs="Arial"/>
        </w:rPr>
        <w:t xml:space="preserve">for </w:t>
      </w:r>
      <w:r w:rsidRPr="00E55EC2">
        <w:rPr>
          <w:rFonts w:ascii="Arial" w:hAnsi="Arial" w:cs="Arial"/>
        </w:rPr>
        <w:t>African American, highly sensitized, or basiliximab induction (</w:t>
      </w:r>
      <w:r>
        <w:rPr>
          <w:rFonts w:ascii="Arial" w:hAnsi="Arial" w:cs="Arial"/>
        </w:rPr>
        <w:t xml:space="preserve">not included in this study) who may receive </w:t>
      </w:r>
      <w:r w:rsidR="005E424D">
        <w:rPr>
          <w:rFonts w:ascii="Arial" w:hAnsi="Arial" w:cs="Arial"/>
        </w:rPr>
        <w:t xml:space="preserve">up to </w:t>
      </w:r>
      <w:r w:rsidR="00174C24">
        <w:rPr>
          <w:rFonts w:ascii="Arial" w:hAnsi="Arial" w:cs="Arial"/>
        </w:rPr>
        <w:t>100</w:t>
      </w:r>
      <w:r>
        <w:rPr>
          <w:rFonts w:ascii="Arial" w:hAnsi="Arial" w:cs="Arial"/>
        </w:rPr>
        <w:t>0 mg twice daily.</w:t>
      </w:r>
    </w:p>
    <w:p w14:paraId="7C3D4E3A" w14:textId="0F2D8E01" w:rsidR="00E55EC2" w:rsidRDefault="00E55EC2">
      <w:pPr>
        <w:rPr>
          <w:rFonts w:ascii="Arial" w:hAnsi="Arial" w:cs="Arial"/>
        </w:rPr>
      </w:pPr>
    </w:p>
    <w:p w14:paraId="61AD8138" w14:textId="2B8CC382" w:rsidR="00E55EC2" w:rsidRDefault="00E55EC2">
      <w:pPr>
        <w:rPr>
          <w:rFonts w:ascii="Arial" w:hAnsi="Arial" w:cs="Arial"/>
        </w:rPr>
      </w:pPr>
      <w:r>
        <w:rPr>
          <w:rFonts w:ascii="Arial" w:hAnsi="Arial" w:cs="Arial"/>
        </w:rPr>
        <w:t>Prophylaxis protocol:</w:t>
      </w:r>
    </w:p>
    <w:p w14:paraId="75610C44" w14:textId="2F9155D1" w:rsidR="007050A6" w:rsidRDefault="007050A6" w:rsidP="007050A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50A6">
        <w:rPr>
          <w:rFonts w:ascii="Arial" w:hAnsi="Arial" w:cs="Arial"/>
          <w:i/>
          <w:iCs/>
        </w:rPr>
        <w:t xml:space="preserve">Pneumocystis </w:t>
      </w:r>
      <w:proofErr w:type="spellStart"/>
      <w:r w:rsidRPr="007050A6">
        <w:rPr>
          <w:rFonts w:ascii="Arial" w:hAnsi="Arial" w:cs="Arial"/>
          <w:i/>
          <w:iCs/>
        </w:rPr>
        <w:t>jirovecii</w:t>
      </w:r>
      <w:proofErr w:type="spellEnd"/>
      <w:r>
        <w:rPr>
          <w:rFonts w:ascii="Arial" w:hAnsi="Arial" w:cs="Arial"/>
        </w:rPr>
        <w:t>: TMP-SMX single strength tablet for one year.</w:t>
      </w:r>
    </w:p>
    <w:p w14:paraId="52351E0E" w14:textId="63DB801F" w:rsidR="007050A6" w:rsidRDefault="007050A6" w:rsidP="007050A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50A6">
        <w:rPr>
          <w:rFonts w:ascii="Arial" w:hAnsi="Arial" w:cs="Arial"/>
        </w:rPr>
        <w:t>Fungal</w:t>
      </w:r>
      <w:r>
        <w:rPr>
          <w:rFonts w:ascii="Arial" w:hAnsi="Arial" w:cs="Arial"/>
        </w:rPr>
        <w:t>: clotrimazole 10 mg troche twice daily for 1-3 months.</w:t>
      </w:r>
    </w:p>
    <w:p w14:paraId="76CEFE93" w14:textId="52C81DD3" w:rsidR="007050A6" w:rsidRDefault="007050A6" w:rsidP="007050A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CMV:</w:t>
      </w:r>
    </w:p>
    <w:p w14:paraId="622CF846" w14:textId="460D7B6E" w:rsidR="007050A6" w:rsidRDefault="007050A6" w:rsidP="007050A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Low-risk (D-/R-): oral acyclovir for 3 months</w:t>
      </w:r>
    </w:p>
    <w:p w14:paraId="0E4502B5" w14:textId="13F13669" w:rsidR="007050A6" w:rsidRPr="007050A6" w:rsidRDefault="007050A6" w:rsidP="007050A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Moderate or high risk (D+/R+, D-/R+, D+/R-): oral valganciclovir for 6 months</w:t>
      </w:r>
    </w:p>
    <w:p w14:paraId="017EB409" w14:textId="77777777" w:rsidR="00E55EC2" w:rsidRDefault="00E55EC2">
      <w:pPr>
        <w:rPr>
          <w:rFonts w:ascii="Arial" w:hAnsi="Arial" w:cs="Arial"/>
        </w:rPr>
      </w:pPr>
    </w:p>
    <w:p w14:paraId="278D017E" w14:textId="58BABE90" w:rsidR="00E55EC2" w:rsidRDefault="00E55EC2">
      <w:pPr>
        <w:rPr>
          <w:rFonts w:ascii="Arial" w:hAnsi="Arial" w:cs="Arial"/>
        </w:rPr>
      </w:pPr>
      <w:r>
        <w:rPr>
          <w:rFonts w:ascii="Arial" w:hAnsi="Arial" w:cs="Arial"/>
        </w:rPr>
        <w:t>Monitoring protocol:</w:t>
      </w:r>
    </w:p>
    <w:p w14:paraId="3EE62345" w14:textId="27DA8B11" w:rsidR="00DD4C95" w:rsidRPr="00ED051B" w:rsidRDefault="00DD4C95" w:rsidP="00DD4C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BK viremia: monitoring </w:t>
      </w:r>
      <w:r w:rsidR="007D06B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 </w:t>
      </w:r>
      <w:r w:rsidR="00ED051B" w:rsidRPr="00ED051B">
        <w:rPr>
          <w:rFonts w:ascii="Arial" w:hAnsi="Arial" w:cs="Arial"/>
        </w:rPr>
        <w:t xml:space="preserve">typically </w:t>
      </w:r>
      <w:r w:rsidRPr="00ED051B">
        <w:rPr>
          <w:rFonts w:ascii="Arial" w:hAnsi="Arial" w:cs="Arial"/>
        </w:rPr>
        <w:t xml:space="preserve">performed </w:t>
      </w:r>
      <w:r w:rsidR="007D06BB" w:rsidRPr="00ED051B">
        <w:rPr>
          <w:rFonts w:ascii="Arial" w:hAnsi="Arial" w:cs="Arial"/>
        </w:rPr>
        <w:t xml:space="preserve">at months 1, 3, 6, 9, 12, 18, 24 and 36 </w:t>
      </w:r>
      <w:r w:rsidR="00C06578" w:rsidRPr="00ED051B">
        <w:rPr>
          <w:rFonts w:ascii="Arial" w:hAnsi="Arial" w:cs="Arial"/>
        </w:rPr>
        <w:t>after kidney transplantation</w:t>
      </w:r>
      <w:r w:rsidR="007D06BB" w:rsidRPr="00ED051B">
        <w:rPr>
          <w:rFonts w:ascii="Arial" w:hAnsi="Arial" w:cs="Arial"/>
        </w:rPr>
        <w:t>.</w:t>
      </w:r>
    </w:p>
    <w:p w14:paraId="0D22CD4E" w14:textId="20767E03" w:rsidR="00E23711" w:rsidRDefault="00DD4C95" w:rsidP="00DD4C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051B">
        <w:rPr>
          <w:rFonts w:ascii="Arial" w:hAnsi="Arial" w:cs="Arial"/>
        </w:rPr>
        <w:t>Proteinuria: urinalysis monitoring</w:t>
      </w:r>
      <w:r>
        <w:rPr>
          <w:rFonts w:ascii="Arial" w:hAnsi="Arial" w:cs="Arial"/>
        </w:rPr>
        <w:t xml:space="preserve"> for proteinuria was performed at months 1, 3, 6, 9, 12, 18, 24 and 36 after kidney transplantation. Patients with positive results on urinalysis had quantification using either a spot urine protein-creatinine (UPCR) or albumin-to-creatinine ratio (UACR) or a 24-hour urine collection for protein. Some providers also routinely monitor UPCR or UACR regardless of urinalysis results. </w:t>
      </w:r>
    </w:p>
    <w:p w14:paraId="7CCCFF85" w14:textId="1910982C" w:rsidR="0082450A" w:rsidRPr="00DD4C95" w:rsidRDefault="0082450A" w:rsidP="00DD4C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Cancer screening: in addition to standard-of-care screening recommended by USPSTF, HIV-infected KTRs at our center underwent screening for HPV-related cancers by oropharyngeal examination and anal pap smears during post-transplant follow-up visits.</w:t>
      </w:r>
    </w:p>
    <w:p w14:paraId="05E48F0F" w14:textId="2C50DF1C" w:rsidR="00E23711" w:rsidRDefault="00E23711">
      <w:pPr>
        <w:rPr>
          <w:rFonts w:ascii="Arial" w:hAnsi="Arial" w:cs="Arial"/>
        </w:rPr>
      </w:pPr>
    </w:p>
    <w:p w14:paraId="358BF28A" w14:textId="54E468E8" w:rsidR="00E23711" w:rsidRDefault="00E23711">
      <w:pPr>
        <w:rPr>
          <w:rFonts w:ascii="Arial" w:hAnsi="Arial" w:cs="Arial"/>
        </w:rPr>
      </w:pPr>
    </w:p>
    <w:p w14:paraId="59995EC7" w14:textId="6BD5D19B" w:rsidR="00E23711" w:rsidRDefault="00E23711">
      <w:pPr>
        <w:rPr>
          <w:rFonts w:ascii="Arial" w:hAnsi="Arial" w:cs="Arial"/>
        </w:rPr>
      </w:pPr>
    </w:p>
    <w:p w14:paraId="04D714EF" w14:textId="4A4ABE69" w:rsidR="00E23711" w:rsidRDefault="00E237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6D7F96" w14:textId="7E30582F" w:rsidR="00E23711" w:rsidRDefault="00E23711">
      <w:pPr>
        <w:rPr>
          <w:rFonts w:ascii="Arial" w:hAnsi="Arial" w:cs="Arial"/>
          <w:b/>
          <w:bCs/>
        </w:rPr>
      </w:pPr>
      <w:r w:rsidRPr="00AF2796">
        <w:rPr>
          <w:rFonts w:ascii="Arial" w:hAnsi="Arial" w:cs="Arial"/>
          <w:b/>
          <w:bCs/>
        </w:rPr>
        <w:lastRenderedPageBreak/>
        <w:t>Supplementary figures</w:t>
      </w:r>
    </w:p>
    <w:p w14:paraId="1FB3F45E" w14:textId="55B28633" w:rsidR="00405DA4" w:rsidRDefault="00405DA4">
      <w:pPr>
        <w:rPr>
          <w:rFonts w:ascii="Arial" w:hAnsi="Arial" w:cs="Arial"/>
          <w:b/>
          <w:bCs/>
        </w:rPr>
      </w:pPr>
    </w:p>
    <w:p w14:paraId="3CD33A61" w14:textId="698A965E" w:rsidR="00405DA4" w:rsidRDefault="00B156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4B79029" wp14:editId="0BF58584">
            <wp:extent cx="5943600" cy="28174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19C63" w14:textId="77777777" w:rsidR="00B1560D" w:rsidRDefault="00B1560D">
      <w:pPr>
        <w:rPr>
          <w:rFonts w:ascii="Arial" w:hAnsi="Arial" w:cs="Arial"/>
          <w:b/>
          <w:bCs/>
        </w:rPr>
      </w:pPr>
    </w:p>
    <w:p w14:paraId="7CF5223B" w14:textId="650FC190" w:rsidR="00405DA4" w:rsidRDefault="00405DA4" w:rsidP="00B1560D">
      <w:pPr>
        <w:spacing w:line="360" w:lineRule="auto"/>
        <w:rPr>
          <w:rFonts w:ascii="Arial" w:hAnsi="Arial" w:cs="Arial"/>
        </w:rPr>
      </w:pPr>
      <w:r w:rsidRPr="00E23711">
        <w:rPr>
          <w:rFonts w:ascii="Arial" w:hAnsi="Arial" w:cs="Arial"/>
          <w:b/>
          <w:bCs/>
        </w:rPr>
        <w:t>Supplementary Figure S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Nadir CD4 cell counts in the first year in HIV-infected kidney transplant recipients stratified by the development of post-transplant </w:t>
      </w:r>
      <w:r w:rsidRPr="00405DA4">
        <w:rPr>
          <w:rFonts w:ascii="Arial" w:hAnsi="Arial" w:cs="Arial"/>
          <w:b/>
          <w:bCs/>
        </w:rPr>
        <w:t xml:space="preserve">(A) </w:t>
      </w:r>
      <w:r w:rsidRPr="00405DA4">
        <w:rPr>
          <w:rFonts w:ascii="Arial" w:hAnsi="Arial" w:cs="Arial"/>
          <w:i/>
          <w:iCs/>
        </w:rPr>
        <w:t>de novo</w:t>
      </w:r>
      <w:r>
        <w:rPr>
          <w:rFonts w:ascii="Arial" w:hAnsi="Arial" w:cs="Arial"/>
        </w:rPr>
        <w:t xml:space="preserve"> malignancy and </w:t>
      </w:r>
      <w:r w:rsidRPr="00405DA4">
        <w:rPr>
          <w:rFonts w:ascii="Arial" w:hAnsi="Arial" w:cs="Arial"/>
          <w:b/>
          <w:bCs/>
        </w:rPr>
        <w:t>(B)</w:t>
      </w:r>
      <w:r>
        <w:rPr>
          <w:rFonts w:ascii="Arial" w:hAnsi="Arial" w:cs="Arial"/>
        </w:rPr>
        <w:t xml:space="preserve"> BK viremia. (</w:t>
      </w:r>
      <w:proofErr w:type="gramStart"/>
      <w:r>
        <w:rPr>
          <w:rFonts w:ascii="Arial" w:hAnsi="Arial" w:cs="Arial"/>
        </w:rPr>
        <w:t>A,B</w:t>
      </w:r>
      <w:proofErr w:type="gramEnd"/>
      <w:r>
        <w:rPr>
          <w:rFonts w:ascii="Arial" w:hAnsi="Arial" w:cs="Arial"/>
        </w:rPr>
        <w:t>) Statistics by Mann Whitney U test.</w:t>
      </w:r>
    </w:p>
    <w:p w14:paraId="7BC38432" w14:textId="16B373F1" w:rsidR="00405DA4" w:rsidRDefault="00405DA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73AF1A" w14:textId="77777777" w:rsidR="00405DA4" w:rsidRDefault="00405DA4">
      <w:pPr>
        <w:rPr>
          <w:rFonts w:ascii="Arial" w:hAnsi="Arial" w:cs="Arial"/>
          <w:b/>
          <w:bCs/>
        </w:rPr>
      </w:pPr>
    </w:p>
    <w:p w14:paraId="511B2D85" w14:textId="77777777" w:rsidR="00762532" w:rsidRPr="00762532" w:rsidRDefault="00762532">
      <w:pPr>
        <w:rPr>
          <w:rFonts w:ascii="Arial" w:hAnsi="Arial" w:cs="Arial"/>
          <w:b/>
          <w:bCs/>
        </w:rPr>
      </w:pPr>
    </w:p>
    <w:p w14:paraId="51679AF0" w14:textId="3B35864E" w:rsidR="00E23711" w:rsidRDefault="0037075F" w:rsidP="0037075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F6E37BB" wp14:editId="7B3467B0">
            <wp:extent cx="2782481" cy="6499812"/>
            <wp:effectExtent l="0" t="0" r="0" b="3175"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297" cy="653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C5F2D" w14:textId="1ADBFECB" w:rsidR="00E23711" w:rsidRDefault="00E23711">
      <w:pPr>
        <w:rPr>
          <w:rFonts w:ascii="Arial" w:hAnsi="Arial" w:cs="Arial"/>
        </w:rPr>
      </w:pPr>
    </w:p>
    <w:p w14:paraId="04CA6321" w14:textId="0F850C2A" w:rsidR="00E23711" w:rsidRDefault="00E23711" w:rsidP="00B1560D">
      <w:pPr>
        <w:spacing w:line="360" w:lineRule="auto"/>
        <w:rPr>
          <w:rFonts w:ascii="Arial" w:hAnsi="Arial" w:cs="Arial"/>
        </w:rPr>
      </w:pPr>
      <w:r w:rsidRPr="00E23711">
        <w:rPr>
          <w:rFonts w:ascii="Arial" w:hAnsi="Arial" w:cs="Arial"/>
          <w:b/>
          <w:bCs/>
        </w:rPr>
        <w:t>Supplementary Figure S</w:t>
      </w:r>
      <w:r w:rsidR="00405DA4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. Tacrolimus levels after kidney transplantation in HIV-infected transplant recipients</w:t>
      </w:r>
      <w:r w:rsidR="00AF2796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</w:t>
      </w:r>
      <w:r w:rsidRPr="00AF2796">
        <w:rPr>
          <w:rFonts w:ascii="Arial" w:hAnsi="Arial" w:cs="Arial"/>
          <w:b/>
          <w:bCs/>
        </w:rPr>
        <w:t>(A)</w:t>
      </w:r>
      <w:r>
        <w:rPr>
          <w:rFonts w:ascii="Arial" w:hAnsi="Arial" w:cs="Arial"/>
        </w:rPr>
        <w:t xml:space="preserve"> the entire cohort (n=27) and stratified by those on </w:t>
      </w:r>
      <w:r w:rsidRPr="00AF2796">
        <w:rPr>
          <w:rFonts w:ascii="Arial" w:hAnsi="Arial" w:cs="Arial"/>
          <w:b/>
          <w:bCs/>
        </w:rPr>
        <w:t>(B)</w:t>
      </w:r>
      <w:r>
        <w:rPr>
          <w:rFonts w:ascii="Arial" w:hAnsi="Arial" w:cs="Arial"/>
        </w:rPr>
        <w:t xml:space="preserve"> ritonavir-based</w:t>
      </w:r>
      <w:r w:rsidR="00AF2796">
        <w:rPr>
          <w:rFonts w:ascii="Arial" w:hAnsi="Arial" w:cs="Arial"/>
        </w:rPr>
        <w:t xml:space="preserve"> (n=13)</w:t>
      </w:r>
      <w:r>
        <w:rPr>
          <w:rFonts w:ascii="Arial" w:hAnsi="Arial" w:cs="Arial"/>
        </w:rPr>
        <w:t xml:space="preserve"> vs </w:t>
      </w:r>
      <w:r w:rsidRPr="00AF2796">
        <w:rPr>
          <w:rFonts w:ascii="Arial" w:hAnsi="Arial" w:cs="Arial"/>
          <w:b/>
          <w:bCs/>
        </w:rPr>
        <w:t>(C)</w:t>
      </w:r>
      <w:r>
        <w:rPr>
          <w:rFonts w:ascii="Arial" w:hAnsi="Arial" w:cs="Arial"/>
        </w:rPr>
        <w:t xml:space="preserve"> non-ritonavir-based regimens</w:t>
      </w:r>
      <w:r w:rsidR="00AF2796">
        <w:rPr>
          <w:rFonts w:ascii="Arial" w:hAnsi="Arial" w:cs="Arial"/>
        </w:rPr>
        <w:t xml:space="preserve"> (n=14)</w:t>
      </w:r>
      <w:r>
        <w:rPr>
          <w:rFonts w:ascii="Arial" w:hAnsi="Arial" w:cs="Arial"/>
        </w:rPr>
        <w:t xml:space="preserve">. </w:t>
      </w:r>
      <w:r w:rsidR="00061FE1" w:rsidRPr="00061FE1">
        <w:rPr>
          <w:rFonts w:ascii="Arial" w:hAnsi="Arial" w:cs="Arial"/>
        </w:rPr>
        <w:t>Boxplots show the 10th, 25th, 50th, 75th, and 90th percentiles.</w:t>
      </w:r>
    </w:p>
    <w:p w14:paraId="5E703FCC" w14:textId="134C5612" w:rsidR="003B7C53" w:rsidRDefault="003B7C53">
      <w:pPr>
        <w:rPr>
          <w:rFonts w:ascii="Arial" w:hAnsi="Arial" w:cs="Arial"/>
        </w:rPr>
      </w:pPr>
    </w:p>
    <w:p w14:paraId="728EA5A9" w14:textId="65763C47" w:rsidR="003B7C53" w:rsidRDefault="003B7C53">
      <w:pPr>
        <w:rPr>
          <w:rFonts w:ascii="Arial" w:hAnsi="Arial" w:cs="Arial"/>
        </w:rPr>
      </w:pPr>
    </w:p>
    <w:p w14:paraId="635E7CA6" w14:textId="7135028C" w:rsidR="003B7C53" w:rsidRDefault="003B7C53" w:rsidP="003B7C53">
      <w:pPr>
        <w:rPr>
          <w:rFonts w:ascii="Arial" w:hAnsi="Arial" w:cs="Arial"/>
          <w:b/>
          <w:bCs/>
        </w:rPr>
      </w:pPr>
      <w:r w:rsidRPr="00AF2796">
        <w:rPr>
          <w:rFonts w:ascii="Arial" w:hAnsi="Arial" w:cs="Arial"/>
          <w:b/>
          <w:bCs/>
        </w:rPr>
        <w:t>Supplementary</w:t>
      </w:r>
      <w:r>
        <w:rPr>
          <w:rFonts w:ascii="Arial" w:hAnsi="Arial" w:cs="Arial"/>
          <w:b/>
          <w:bCs/>
        </w:rPr>
        <w:t xml:space="preserve"> tables</w:t>
      </w:r>
    </w:p>
    <w:p w14:paraId="19AFB6A3" w14:textId="77777777" w:rsidR="003B7C53" w:rsidRDefault="003B7C53" w:rsidP="003B7C53">
      <w:pPr>
        <w:rPr>
          <w:rFonts w:ascii="Arial" w:hAnsi="Arial" w:cs="Arial"/>
          <w:b/>
          <w:bCs/>
        </w:rPr>
      </w:pPr>
    </w:p>
    <w:p w14:paraId="2BF88CCE" w14:textId="5D82D92B" w:rsidR="003B7C53" w:rsidRPr="0017325D" w:rsidRDefault="003B7C53" w:rsidP="003B7C53">
      <w:pPr>
        <w:rPr>
          <w:rFonts w:ascii="Arial" w:hAnsi="Arial" w:cs="Arial"/>
          <w:b/>
          <w:bCs/>
          <w:color w:val="000000" w:themeColor="text1"/>
        </w:rPr>
      </w:pPr>
      <w:r w:rsidRPr="0017325D">
        <w:rPr>
          <w:rFonts w:ascii="Arial" w:hAnsi="Arial" w:cs="Arial"/>
          <w:b/>
          <w:bCs/>
          <w:color w:val="000000" w:themeColor="text1"/>
        </w:rPr>
        <w:t xml:space="preserve">Table </w:t>
      </w:r>
      <w:r>
        <w:rPr>
          <w:rFonts w:ascii="Arial" w:hAnsi="Arial" w:cs="Arial"/>
          <w:b/>
          <w:bCs/>
          <w:color w:val="000000" w:themeColor="text1"/>
        </w:rPr>
        <w:t>S1</w:t>
      </w:r>
      <w:r w:rsidRPr="0017325D">
        <w:rPr>
          <w:rFonts w:ascii="Arial" w:hAnsi="Arial" w:cs="Arial"/>
          <w:b/>
          <w:bCs/>
          <w:color w:val="000000" w:themeColor="text1"/>
        </w:rPr>
        <w:t xml:space="preserve">. </w:t>
      </w:r>
      <w:r>
        <w:rPr>
          <w:rFonts w:ascii="Arial" w:hAnsi="Arial" w:cs="Arial"/>
          <w:b/>
          <w:bCs/>
          <w:color w:val="000000" w:themeColor="text1"/>
        </w:rPr>
        <w:t>BK viremia</w:t>
      </w:r>
      <w:r w:rsidRPr="0017325D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in</w:t>
      </w:r>
      <w:r w:rsidRPr="0017325D">
        <w:rPr>
          <w:rFonts w:ascii="Arial" w:hAnsi="Arial" w:cs="Arial"/>
          <w:b/>
          <w:bCs/>
          <w:color w:val="000000" w:themeColor="text1"/>
        </w:rPr>
        <w:t xml:space="preserve"> HIV-infected individuals within five years of </w:t>
      </w:r>
      <w:r>
        <w:rPr>
          <w:rFonts w:ascii="Arial" w:hAnsi="Arial" w:cs="Arial"/>
          <w:b/>
          <w:bCs/>
          <w:color w:val="000000" w:themeColor="text1"/>
        </w:rPr>
        <w:t xml:space="preserve">kidney </w:t>
      </w:r>
      <w:r w:rsidRPr="0017325D">
        <w:rPr>
          <w:rFonts w:ascii="Arial" w:hAnsi="Arial" w:cs="Arial"/>
          <w:b/>
          <w:bCs/>
          <w:color w:val="000000" w:themeColor="text1"/>
        </w:rPr>
        <w:t xml:space="preserve">transplantation. </w:t>
      </w:r>
    </w:p>
    <w:p w14:paraId="793E798C" w14:textId="77777777" w:rsidR="003B7C53" w:rsidRPr="0017325D" w:rsidRDefault="003B7C53" w:rsidP="003B7C53">
      <w:pPr>
        <w:jc w:val="center"/>
        <w:rPr>
          <w:rFonts w:ascii="Arial" w:hAnsi="Arial" w:cs="Arial"/>
          <w:b/>
          <w:bCs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140"/>
        <w:gridCol w:w="1360"/>
        <w:gridCol w:w="1873"/>
        <w:gridCol w:w="2209"/>
        <w:gridCol w:w="2209"/>
      </w:tblGrid>
      <w:tr w:rsidR="003B7C53" w:rsidRPr="0017325D" w14:paraId="09EA13CE" w14:textId="77777777" w:rsidTr="00413C59">
        <w:trPr>
          <w:trHeight w:val="310"/>
        </w:trPr>
        <w:tc>
          <w:tcPr>
            <w:tcW w:w="2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C9F155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o.</w:t>
            </w:r>
          </w:p>
        </w:tc>
        <w:tc>
          <w:tcPr>
            <w:tcW w:w="6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C454A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Months since transplant </w:t>
            </w:r>
          </w:p>
        </w:tc>
        <w:tc>
          <w:tcPr>
            <w:tcW w:w="7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AE1A8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Peak viral load (copies/mL)</w:t>
            </w:r>
          </w:p>
        </w:tc>
        <w:tc>
          <w:tcPr>
            <w:tcW w:w="10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F9F3C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Biopsy-proven BKVN?</w:t>
            </w:r>
          </w:p>
        </w:tc>
        <w:tc>
          <w:tcPr>
            <w:tcW w:w="11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vAlign w:val="center"/>
          </w:tcPr>
          <w:p w14:paraId="19BC72ED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Treatment</w:t>
            </w:r>
          </w:p>
        </w:tc>
        <w:tc>
          <w:tcPr>
            <w:tcW w:w="11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91B56D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Outcome</w:t>
            </w:r>
          </w:p>
        </w:tc>
      </w:tr>
      <w:tr w:rsidR="003B7C53" w:rsidRPr="0017325D" w14:paraId="7090B930" w14:textId="77777777" w:rsidTr="00413C59">
        <w:trPr>
          <w:trHeight w:val="310"/>
        </w:trPr>
        <w:tc>
          <w:tcPr>
            <w:tcW w:w="2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68D64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6B2113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7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E0B789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5,432</w:t>
            </w:r>
          </w:p>
        </w:tc>
        <w:tc>
          <w:tcPr>
            <w:tcW w:w="10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DD03E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Biopsy without BKVN</w:t>
            </w:r>
          </w:p>
        </w:tc>
        <w:tc>
          <w:tcPr>
            <w:tcW w:w="11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35AD3AF" w14:textId="77777777" w:rsidR="003B7C53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Reduction in IS</w:t>
            </w:r>
          </w:p>
        </w:tc>
        <w:tc>
          <w:tcPr>
            <w:tcW w:w="11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7AF67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Resolution of BK viremia</w:t>
            </w:r>
          </w:p>
        </w:tc>
      </w:tr>
      <w:tr w:rsidR="003B7C53" w:rsidRPr="0017325D" w14:paraId="5B8FD9FD" w14:textId="77777777" w:rsidTr="00413C59">
        <w:trPr>
          <w:trHeight w:val="310"/>
        </w:trPr>
        <w:tc>
          <w:tcPr>
            <w:tcW w:w="2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D5E2B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B2A204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FE39CF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10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CA98A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Not biopsied</w:t>
            </w:r>
          </w:p>
        </w:tc>
        <w:tc>
          <w:tcPr>
            <w:tcW w:w="11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6011031" w14:textId="77777777" w:rsidR="003B7C53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Reduction in IS</w:t>
            </w:r>
          </w:p>
        </w:tc>
        <w:tc>
          <w:tcPr>
            <w:tcW w:w="11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D6E158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Resolution of BK viremia</w:t>
            </w:r>
          </w:p>
        </w:tc>
      </w:tr>
      <w:tr w:rsidR="003B7C53" w:rsidRPr="0017325D" w14:paraId="545709DB" w14:textId="77777777" w:rsidTr="00413C59">
        <w:trPr>
          <w:trHeight w:val="310"/>
        </w:trPr>
        <w:tc>
          <w:tcPr>
            <w:tcW w:w="2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AAA3D7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5C3C49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17371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133,415</w:t>
            </w:r>
          </w:p>
        </w:tc>
        <w:tc>
          <w:tcPr>
            <w:tcW w:w="10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36955D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Yes</w:t>
            </w:r>
          </w:p>
        </w:tc>
        <w:tc>
          <w:tcPr>
            <w:tcW w:w="11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40CC60F" w14:textId="77777777" w:rsidR="003B7C53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Reduction in IS</w:t>
            </w:r>
          </w:p>
        </w:tc>
        <w:tc>
          <w:tcPr>
            <w:tcW w:w="11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170CE9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Resolution of BK viremia</w:t>
            </w:r>
          </w:p>
        </w:tc>
      </w:tr>
      <w:tr w:rsidR="003B7C53" w:rsidRPr="0017325D" w14:paraId="3C36BD35" w14:textId="77777777" w:rsidTr="00413C59">
        <w:trPr>
          <w:trHeight w:val="310"/>
        </w:trPr>
        <w:tc>
          <w:tcPr>
            <w:tcW w:w="2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21EDC7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BAF40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6F20C9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68,194</w:t>
            </w:r>
          </w:p>
        </w:tc>
        <w:tc>
          <w:tcPr>
            <w:tcW w:w="10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9A6A6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Biopsy without BKVN</w:t>
            </w:r>
          </w:p>
        </w:tc>
        <w:tc>
          <w:tcPr>
            <w:tcW w:w="11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58AE9CD" w14:textId="77777777" w:rsidR="003B7C53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Reduction in IS</w:t>
            </w:r>
          </w:p>
        </w:tc>
        <w:tc>
          <w:tcPr>
            <w:tcW w:w="11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8197E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Resolution of BK viremia</w:t>
            </w:r>
          </w:p>
        </w:tc>
      </w:tr>
      <w:tr w:rsidR="003B7C53" w:rsidRPr="0017325D" w14:paraId="3773CA34" w14:textId="77777777" w:rsidTr="00413C59">
        <w:trPr>
          <w:trHeight w:val="310"/>
        </w:trPr>
        <w:tc>
          <w:tcPr>
            <w:tcW w:w="2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56A34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81F76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7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BD226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110,000,000</w:t>
            </w:r>
          </w:p>
        </w:tc>
        <w:tc>
          <w:tcPr>
            <w:tcW w:w="10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9E54E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Biopsied at outside hospital where BKV stain was not done</w:t>
            </w:r>
          </w:p>
        </w:tc>
        <w:tc>
          <w:tcPr>
            <w:tcW w:w="11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58EB196" w14:textId="77777777" w:rsidR="003B7C53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Reduction in IS + IVIg + leflunomide</w:t>
            </w:r>
          </w:p>
        </w:tc>
        <w:tc>
          <w:tcPr>
            <w:tcW w:w="11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F8F94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Resolution of BK viremia</w:t>
            </w:r>
          </w:p>
        </w:tc>
      </w:tr>
      <w:tr w:rsidR="003B7C53" w:rsidRPr="0017325D" w14:paraId="6E5EEC08" w14:textId="77777777" w:rsidTr="00413C59">
        <w:trPr>
          <w:trHeight w:val="310"/>
        </w:trPr>
        <w:tc>
          <w:tcPr>
            <w:tcW w:w="2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0F186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DE8A35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8D5B8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611</w:t>
            </w:r>
          </w:p>
        </w:tc>
        <w:tc>
          <w:tcPr>
            <w:tcW w:w="10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DBABBD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Not biopsied</w:t>
            </w:r>
          </w:p>
        </w:tc>
        <w:tc>
          <w:tcPr>
            <w:tcW w:w="11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C585ED5" w14:textId="77777777" w:rsidR="003B7C53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Reduction in IS</w:t>
            </w:r>
          </w:p>
        </w:tc>
        <w:tc>
          <w:tcPr>
            <w:tcW w:w="11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ADDE1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Resolution of BK viremia</w:t>
            </w:r>
          </w:p>
        </w:tc>
      </w:tr>
    </w:tbl>
    <w:p w14:paraId="4A91F34E" w14:textId="77777777" w:rsidR="003B7C53" w:rsidRPr="0017325D" w:rsidRDefault="003B7C53" w:rsidP="003B7C53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BKVN: BK virus-associated nephropathy. IVIg: intravenous immunoglobulin. IS: immunosuppression.</w:t>
      </w:r>
    </w:p>
    <w:p w14:paraId="4AB56535" w14:textId="77777777" w:rsidR="003B7C53" w:rsidRDefault="003B7C53" w:rsidP="003B7C53">
      <w:pPr>
        <w:rPr>
          <w:rFonts w:ascii="Arial" w:hAnsi="Arial" w:cs="Arial"/>
          <w:b/>
          <w:bCs/>
        </w:rPr>
      </w:pPr>
    </w:p>
    <w:p w14:paraId="03F3619D" w14:textId="3C1F9047" w:rsidR="003B7C53" w:rsidRDefault="003B7C5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36A74E" w14:textId="77777777" w:rsidR="003B7C53" w:rsidRPr="0017325D" w:rsidRDefault="003B7C53" w:rsidP="003B7C53">
      <w:pPr>
        <w:spacing w:line="480" w:lineRule="auto"/>
        <w:rPr>
          <w:rFonts w:ascii="Arial" w:hAnsi="Arial" w:cs="Arial"/>
          <w:b/>
          <w:color w:val="000000" w:themeColor="text1"/>
        </w:rPr>
      </w:pPr>
      <w:r w:rsidRPr="0017325D">
        <w:rPr>
          <w:rFonts w:ascii="Arial" w:hAnsi="Arial" w:cs="Arial"/>
          <w:b/>
          <w:color w:val="000000" w:themeColor="text1"/>
        </w:rPr>
        <w:lastRenderedPageBreak/>
        <w:t xml:space="preserve">Table </w:t>
      </w:r>
      <w:r>
        <w:rPr>
          <w:rFonts w:ascii="Arial" w:hAnsi="Arial" w:cs="Arial"/>
          <w:b/>
          <w:color w:val="000000" w:themeColor="text1"/>
        </w:rPr>
        <w:t>S2</w:t>
      </w:r>
      <w:r w:rsidRPr="0017325D">
        <w:rPr>
          <w:rFonts w:ascii="Arial" w:hAnsi="Arial" w:cs="Arial"/>
          <w:b/>
          <w:color w:val="000000" w:themeColor="text1"/>
        </w:rPr>
        <w:t xml:space="preserve">. Post-transplant </w:t>
      </w:r>
      <w:r>
        <w:rPr>
          <w:rFonts w:ascii="Arial" w:hAnsi="Arial" w:cs="Arial"/>
          <w:b/>
          <w:color w:val="000000" w:themeColor="text1"/>
        </w:rPr>
        <w:t xml:space="preserve">allograft and patient </w:t>
      </w:r>
      <w:r w:rsidRPr="0017325D">
        <w:rPr>
          <w:rFonts w:ascii="Arial" w:hAnsi="Arial" w:cs="Arial"/>
          <w:b/>
          <w:color w:val="000000" w:themeColor="text1"/>
        </w:rPr>
        <w:t>outcomes</w:t>
      </w:r>
    </w:p>
    <w:tbl>
      <w:tblPr>
        <w:tblW w:w="77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3057"/>
      </w:tblGrid>
      <w:tr w:rsidR="003B7C53" w:rsidRPr="0017325D" w14:paraId="29E8D41C" w14:textId="77777777" w:rsidTr="00413C59">
        <w:trPr>
          <w:trHeight w:val="273"/>
        </w:trPr>
        <w:tc>
          <w:tcPr>
            <w:tcW w:w="4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D486E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Outcomes</w:t>
            </w:r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908FC9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 (%)</w:t>
            </w:r>
          </w:p>
        </w:tc>
      </w:tr>
      <w:tr w:rsidR="003B7C53" w:rsidRPr="0017325D" w14:paraId="40D2669F" w14:textId="77777777" w:rsidTr="00413C59">
        <w:trPr>
          <w:trHeight w:val="273"/>
        </w:trPr>
        <w:tc>
          <w:tcPr>
            <w:tcW w:w="4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DF197" w14:textId="77777777" w:rsidR="003B7C53" w:rsidRPr="0017325D" w:rsidRDefault="003B7C53" w:rsidP="00413C5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Delayed graft function</w:t>
            </w:r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A0944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13 (48)</w:t>
            </w:r>
          </w:p>
        </w:tc>
      </w:tr>
      <w:tr w:rsidR="003B7C53" w:rsidRPr="0017325D" w14:paraId="621549A8" w14:textId="77777777" w:rsidTr="00413C59">
        <w:trPr>
          <w:trHeight w:val="273"/>
        </w:trPr>
        <w:tc>
          <w:tcPr>
            <w:tcW w:w="4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B7B169" w14:textId="77777777" w:rsidR="003B7C53" w:rsidRPr="0017325D" w:rsidRDefault="003B7C53" w:rsidP="00413C5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One-year patient survival </w:t>
            </w:r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1DE635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26 (96%)</w:t>
            </w:r>
          </w:p>
        </w:tc>
      </w:tr>
      <w:tr w:rsidR="003B7C53" w:rsidRPr="0017325D" w14:paraId="55922F4C" w14:textId="77777777" w:rsidTr="00413C59">
        <w:trPr>
          <w:trHeight w:val="273"/>
        </w:trPr>
        <w:tc>
          <w:tcPr>
            <w:tcW w:w="4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79A08" w14:textId="77777777" w:rsidR="003B7C53" w:rsidRPr="0017325D" w:rsidRDefault="003B7C53" w:rsidP="00413C5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One-year death-censored graft survival</w:t>
            </w:r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D033E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25 (93%)</w:t>
            </w:r>
          </w:p>
        </w:tc>
      </w:tr>
      <w:tr w:rsidR="003B7C53" w:rsidRPr="0017325D" w14:paraId="77119BC5" w14:textId="77777777" w:rsidTr="00413C59">
        <w:trPr>
          <w:trHeight w:val="273"/>
        </w:trPr>
        <w:tc>
          <w:tcPr>
            <w:tcW w:w="4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D6547" w14:textId="77777777" w:rsidR="003B7C53" w:rsidRPr="0017325D" w:rsidRDefault="003B7C53" w:rsidP="00413C5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One-year biopsy-proven acute rejection</w:t>
            </w:r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3397F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2 (7%)</w:t>
            </w:r>
          </w:p>
        </w:tc>
      </w:tr>
      <w:tr w:rsidR="003B7C53" w:rsidRPr="0017325D" w14:paraId="62A04B46" w14:textId="77777777" w:rsidTr="00413C59">
        <w:trPr>
          <w:trHeight w:val="273"/>
        </w:trPr>
        <w:tc>
          <w:tcPr>
            <w:tcW w:w="4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91BE36" w14:textId="77777777" w:rsidR="003B7C53" w:rsidRPr="0017325D" w:rsidRDefault="003B7C53" w:rsidP="00413C5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Five-year patient survival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Kaplan-Meier estimate</w:t>
            </w:r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B2250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85%</w:t>
            </w:r>
          </w:p>
        </w:tc>
      </w:tr>
      <w:tr w:rsidR="003B7C53" w:rsidRPr="0017325D" w14:paraId="14D5EF7D" w14:textId="77777777" w:rsidTr="00413C59">
        <w:trPr>
          <w:trHeight w:val="273"/>
        </w:trPr>
        <w:tc>
          <w:tcPr>
            <w:tcW w:w="4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4B211" w14:textId="77777777" w:rsidR="003B7C53" w:rsidRPr="0017325D" w:rsidRDefault="003B7C53" w:rsidP="00413C5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Five-year death-censored graft survival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Kaplan-Meier estimate</w:t>
            </w:r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016C3" w14:textId="77777777" w:rsidR="003B7C53" w:rsidRPr="0017325D" w:rsidRDefault="003B7C53" w:rsidP="00413C5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325D">
              <w:rPr>
                <w:rFonts w:ascii="Arial" w:hAnsi="Arial" w:cs="Arial"/>
                <w:color w:val="000000" w:themeColor="text1"/>
                <w:sz w:val="16"/>
                <w:szCs w:val="16"/>
              </w:rPr>
              <w:t>80%</w:t>
            </w:r>
          </w:p>
        </w:tc>
      </w:tr>
    </w:tbl>
    <w:p w14:paraId="21EED38E" w14:textId="77777777" w:rsidR="003B7C53" w:rsidRPr="00E23711" w:rsidRDefault="003B7C53">
      <w:pPr>
        <w:rPr>
          <w:rFonts w:ascii="Arial" w:hAnsi="Arial" w:cs="Arial"/>
        </w:rPr>
      </w:pPr>
    </w:p>
    <w:sectPr w:rsidR="003B7C53" w:rsidRPr="00E23711" w:rsidSect="00931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026E7"/>
    <w:multiLevelType w:val="hybridMultilevel"/>
    <w:tmpl w:val="08C6155C"/>
    <w:lvl w:ilvl="0" w:tplc="7C2ACB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97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11"/>
    <w:rsid w:val="0002776C"/>
    <w:rsid w:val="00034189"/>
    <w:rsid w:val="000342DD"/>
    <w:rsid w:val="00061FE1"/>
    <w:rsid w:val="000E5310"/>
    <w:rsid w:val="00147ECC"/>
    <w:rsid w:val="00174C24"/>
    <w:rsid w:val="00190DC8"/>
    <w:rsid w:val="0019351F"/>
    <w:rsid w:val="001C2ED0"/>
    <w:rsid w:val="001E5439"/>
    <w:rsid w:val="00202021"/>
    <w:rsid w:val="002153D2"/>
    <w:rsid w:val="00223D3E"/>
    <w:rsid w:val="00244E63"/>
    <w:rsid w:val="002540AE"/>
    <w:rsid w:val="00267402"/>
    <w:rsid w:val="00291402"/>
    <w:rsid w:val="002976B5"/>
    <w:rsid w:val="002B0087"/>
    <w:rsid w:val="002D424C"/>
    <w:rsid w:val="00322A6F"/>
    <w:rsid w:val="0034013B"/>
    <w:rsid w:val="0034239F"/>
    <w:rsid w:val="00360B8B"/>
    <w:rsid w:val="0037075F"/>
    <w:rsid w:val="003B335B"/>
    <w:rsid w:val="003B7C53"/>
    <w:rsid w:val="0040111C"/>
    <w:rsid w:val="004047EF"/>
    <w:rsid w:val="00405DA4"/>
    <w:rsid w:val="0046215E"/>
    <w:rsid w:val="0046322F"/>
    <w:rsid w:val="00464814"/>
    <w:rsid w:val="00484F77"/>
    <w:rsid w:val="004911D2"/>
    <w:rsid w:val="00491B6A"/>
    <w:rsid w:val="004E2904"/>
    <w:rsid w:val="004F71E9"/>
    <w:rsid w:val="00513F4F"/>
    <w:rsid w:val="005144B3"/>
    <w:rsid w:val="005213A7"/>
    <w:rsid w:val="00524A1A"/>
    <w:rsid w:val="00546CC9"/>
    <w:rsid w:val="0055455D"/>
    <w:rsid w:val="00571023"/>
    <w:rsid w:val="005819E0"/>
    <w:rsid w:val="00582463"/>
    <w:rsid w:val="005B7A91"/>
    <w:rsid w:val="005E424D"/>
    <w:rsid w:val="006003C9"/>
    <w:rsid w:val="00600DB2"/>
    <w:rsid w:val="0066165F"/>
    <w:rsid w:val="006826CF"/>
    <w:rsid w:val="00692251"/>
    <w:rsid w:val="006B474F"/>
    <w:rsid w:val="006D266F"/>
    <w:rsid w:val="006F4708"/>
    <w:rsid w:val="00702084"/>
    <w:rsid w:val="0070284F"/>
    <w:rsid w:val="00703699"/>
    <w:rsid w:val="007041A8"/>
    <w:rsid w:val="007050A6"/>
    <w:rsid w:val="00716C05"/>
    <w:rsid w:val="0072031E"/>
    <w:rsid w:val="00724840"/>
    <w:rsid w:val="00730F94"/>
    <w:rsid w:val="00732FE9"/>
    <w:rsid w:val="00736F98"/>
    <w:rsid w:val="00742C13"/>
    <w:rsid w:val="0074579C"/>
    <w:rsid w:val="007537AF"/>
    <w:rsid w:val="00762532"/>
    <w:rsid w:val="00773A1F"/>
    <w:rsid w:val="00797A72"/>
    <w:rsid w:val="007B55BF"/>
    <w:rsid w:val="007D06BB"/>
    <w:rsid w:val="008070AF"/>
    <w:rsid w:val="0082450A"/>
    <w:rsid w:val="0085393B"/>
    <w:rsid w:val="00863F61"/>
    <w:rsid w:val="00885367"/>
    <w:rsid w:val="008A4F98"/>
    <w:rsid w:val="008B1B94"/>
    <w:rsid w:val="008D09B6"/>
    <w:rsid w:val="008D7C37"/>
    <w:rsid w:val="0092261A"/>
    <w:rsid w:val="00923138"/>
    <w:rsid w:val="009305B9"/>
    <w:rsid w:val="009315B2"/>
    <w:rsid w:val="00940726"/>
    <w:rsid w:val="00951E09"/>
    <w:rsid w:val="00967523"/>
    <w:rsid w:val="009A5E8C"/>
    <w:rsid w:val="009B086C"/>
    <w:rsid w:val="009F57C2"/>
    <w:rsid w:val="009F73A3"/>
    <w:rsid w:val="00A17B02"/>
    <w:rsid w:val="00A21130"/>
    <w:rsid w:val="00A7379C"/>
    <w:rsid w:val="00AD01CD"/>
    <w:rsid w:val="00AD7A1B"/>
    <w:rsid w:val="00AF2796"/>
    <w:rsid w:val="00B07B02"/>
    <w:rsid w:val="00B1560D"/>
    <w:rsid w:val="00B23A5C"/>
    <w:rsid w:val="00B40815"/>
    <w:rsid w:val="00B64230"/>
    <w:rsid w:val="00B86C59"/>
    <w:rsid w:val="00B97570"/>
    <w:rsid w:val="00BC0A71"/>
    <w:rsid w:val="00BC6A3E"/>
    <w:rsid w:val="00BE3D11"/>
    <w:rsid w:val="00C028BA"/>
    <w:rsid w:val="00C06578"/>
    <w:rsid w:val="00C07B5C"/>
    <w:rsid w:val="00C22DDE"/>
    <w:rsid w:val="00C42385"/>
    <w:rsid w:val="00C527F1"/>
    <w:rsid w:val="00C6152B"/>
    <w:rsid w:val="00C62C6F"/>
    <w:rsid w:val="00C673D5"/>
    <w:rsid w:val="00C74F1F"/>
    <w:rsid w:val="00C758B9"/>
    <w:rsid w:val="00C763A9"/>
    <w:rsid w:val="00C80A74"/>
    <w:rsid w:val="00CB197E"/>
    <w:rsid w:val="00CF78E6"/>
    <w:rsid w:val="00D32A35"/>
    <w:rsid w:val="00D403F9"/>
    <w:rsid w:val="00D56149"/>
    <w:rsid w:val="00D72884"/>
    <w:rsid w:val="00D83C8F"/>
    <w:rsid w:val="00DB656D"/>
    <w:rsid w:val="00DD4C95"/>
    <w:rsid w:val="00DE1690"/>
    <w:rsid w:val="00DF4DB5"/>
    <w:rsid w:val="00E016AB"/>
    <w:rsid w:val="00E16CB0"/>
    <w:rsid w:val="00E23711"/>
    <w:rsid w:val="00E25561"/>
    <w:rsid w:val="00E55EC2"/>
    <w:rsid w:val="00E642CB"/>
    <w:rsid w:val="00E95D93"/>
    <w:rsid w:val="00EB6EBD"/>
    <w:rsid w:val="00EC0A47"/>
    <w:rsid w:val="00ED051B"/>
    <w:rsid w:val="00ED3F46"/>
    <w:rsid w:val="00ED68BC"/>
    <w:rsid w:val="00EF190B"/>
    <w:rsid w:val="00F00142"/>
    <w:rsid w:val="00F06D81"/>
    <w:rsid w:val="00F17F02"/>
    <w:rsid w:val="00F23DE3"/>
    <w:rsid w:val="00F33578"/>
    <w:rsid w:val="00F41A9B"/>
    <w:rsid w:val="00F64834"/>
    <w:rsid w:val="00F65E13"/>
    <w:rsid w:val="00F6603E"/>
    <w:rsid w:val="00F677D8"/>
    <w:rsid w:val="00FD0447"/>
    <w:rsid w:val="00FD608C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03D18"/>
  <w15:chartTrackingRefBased/>
  <w15:docId w15:val="{A3399EB0-1715-E146-8323-64BE5B35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7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711"/>
    <w:pPr>
      <w:ind w:left="720"/>
      <w:contextualSpacing/>
    </w:pPr>
  </w:style>
  <w:style w:type="table" w:styleId="TableGrid">
    <w:name w:val="Table Grid"/>
    <w:basedOn w:val="TableNormal"/>
    <w:uiPriority w:val="39"/>
    <w:rsid w:val="00E2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05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al jurdi</dc:creator>
  <cp:keywords/>
  <dc:description/>
  <cp:lastModifiedBy>ayman al jurdi</cp:lastModifiedBy>
  <cp:revision>14</cp:revision>
  <dcterms:created xsi:type="dcterms:W3CDTF">2022-08-06T07:36:00Z</dcterms:created>
  <dcterms:modified xsi:type="dcterms:W3CDTF">2022-11-22T01:58:00Z</dcterms:modified>
</cp:coreProperties>
</file>