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8E05211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4D963A24" w:rsidR="00C9632C" w:rsidRDefault="00C9632C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38BB73A" w14:textId="13AA2383" w:rsidR="00F542FC" w:rsidRPr="00C67F34" w:rsidRDefault="00F542FC" w:rsidP="00F542FC">
      <w:pPr>
        <w:pStyle w:val="Caption"/>
        <w:rPr>
          <w:b w:val="0"/>
          <w:bCs w:val="0"/>
        </w:rPr>
      </w:pPr>
      <w:r>
        <w:t>Supplementary Table S</w:t>
      </w:r>
      <w:fldSimple w:instr=" SEQ Supplementary_Table_S \* ARABIC ">
        <w:r>
          <w:rPr>
            <w:noProof/>
          </w:rPr>
          <w:t>1</w:t>
        </w:r>
      </w:fldSimple>
      <w:r>
        <w:t xml:space="preserve">. </w:t>
      </w:r>
      <w:r w:rsidR="00C67F34">
        <w:rPr>
          <w:b w:val="0"/>
          <w:bCs w:val="0"/>
        </w:rPr>
        <w:t>Nucleotide sequences for genes and genetic elements used in this study.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276"/>
        <w:gridCol w:w="2112"/>
      </w:tblGrid>
      <w:tr w:rsidR="00A05CE3" w:rsidRPr="00A05CE3" w14:paraId="774BB4E0" w14:textId="77777777" w:rsidTr="00210A3A">
        <w:trPr>
          <w:trHeight w:val="300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B5AF" w14:textId="3BC4BE31" w:rsidR="00A05CE3" w:rsidRPr="00A05CE3" w:rsidRDefault="00A05CE3" w:rsidP="00A05CE3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C9C7" w14:textId="1B6031DB" w:rsidR="00A05CE3" w:rsidRPr="00A05CE3" w:rsidRDefault="00A05CE3" w:rsidP="00A05CE3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778A8C" w14:textId="5B6E84D1" w:rsidR="00A05CE3" w:rsidRPr="00A05CE3" w:rsidRDefault="00A05CE3" w:rsidP="00A05CE3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</w:p>
        </w:tc>
        <w:tc>
          <w:tcPr>
            <w:tcW w:w="21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0AD9A0" w14:textId="25522552" w:rsidR="00A05CE3" w:rsidRPr="00A05CE3" w:rsidRDefault="00A05CE3" w:rsidP="00A05CE3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</w:p>
        </w:tc>
      </w:tr>
      <w:tr w:rsidR="00726C79" w:rsidRPr="00A05CE3" w14:paraId="757052BC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66E8FE" w14:textId="39EA3173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Gene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D05163D" w14:textId="3A70FB29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Sequence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7330452" w14:textId="7B894315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Constructs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B396F51" w14:textId="5BDF6C7F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Description</w:t>
            </w:r>
          </w:p>
        </w:tc>
      </w:tr>
      <w:tr w:rsidR="00726C79" w:rsidRPr="00A05CE3" w14:paraId="2A418DF7" w14:textId="77777777" w:rsidTr="00210A3A">
        <w:trPr>
          <w:trHeight w:val="300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EE1B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CYP2A6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CFF6" w14:textId="39BB95A2" w:rsidR="00726C79" w:rsidRPr="00210A3A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TGGCTGCTTCAGGAATGTTATTAGTGGCCTTGCTGGTCTGCCTGACTGTAATGGTCTTGATGTCTGTTTGGCAGCAGAGGAAGAGCAAGGGGAAGCTGCCTCCGGGACCCACCCCATTGCCCTTCATTGGAAACTACCTGCAGCTGAACACAGAGCAGATGTACAACTCCCTCATGAAGATCAGTGAGCGCTATGGCCCCGTGTTCACCATTCACTTGGGGCCCCGGCGGGTCGTGGTGCTGTGTGGACATGATGCCGTCAGGGAGGCTCTGGTGGACCAGGCTGAGGAGTTCAGCGGGCGAGGCGAGCAAGCCACCTTCGACTGGGTCTTCAAAGGCTATGGCGTGGTATTCAGCAACGGGGAGCGCGCCAAGCAGCTCCGGCGCTTCTCCATCGCCACCCTGCGGGACTTCGGGGTGGGCAAGCGAGGCATCGAGGAGCGCATCCAGGAGGAGGCGGGCTTCCTCATCGACGCCCTCCGGGGCACTGGCGGCGCCAATATCGATCCCACCTTCTTCCTGAGCCGCACAGTCTCCAATGTCATCAGCTCCATTGTCTTTGGGGACCGCTTTGACTATAAGGACAAAGAGTTCCTGTCACTGTTGCGCATGATGCTAGGAATCTTCCAGTTCACGTCAACCTCCACGGGGCAGCTCTATGAGATGTTCTCTTCGGTGATGAAACACCTGCCAGGACCACAGCAACAGGCCTTTCAGTTGCTGCAAGGGCTGGAGGACTTCATAGCCAAGAAGGTGGAGCACAACCAGCGCACGCTGGATCCCAATTCCCCACGGGACTTCATTGACTCCTTTCTCATCCGCATGCAGGAGGAGGAGAAGAACCCCAACACGGAGTTCTACTTGAAAAACCTGGTGATGACCACGTTGAACCTCTTCATTGGGGGCACCGAGACCGTCAGCACCACCCTGCGCTATGGCTTCTTGCTGCTCATGAAGCACCCAGAGGTGGAGGCCAAGGTCCATGAGGAGATTGACAGAGTGATCGGCAAGAACCGGCAGCCCAAGTTTGAGGACCGGGCCAAGATGCCCTACATGGAGGCAGTGATCCACGAGATCCAAAGATTTGGAGACGTGATCCCCATGAGTTTGGCCCGCAGAGTCAAAAAGGACACCAAGTTTCGGGATTTCTTCCTCCCTAAGGGCACCGAAGTGTACCCTATGCTGGGCTCTGTGCTGAGAGACCCCAGTTTCTTCTCCAACCCCCAGGACTTCAATCCCCAGCACTTCCTGAATGAGAAGGGGCAGTTTAAGAAGAGTGATGCTTTTGTGCCCTTTTCCATCGGAAAGCGGAACTGTTTCGGAGAAGGCCTGGCCAGAATGGAGCTCTTTCTCTTCTTCACCACCGTCATGCAGAACTTCCGCCTCAAGTCCTCCCAGTCACCTAAGGACATTGACGTGTCCCCCAAACACGTGGGCTTTGCCACGATCCCACGAAACTACACCATGAGCTTCCTGCCCCGCTGA</w:t>
            </w:r>
          </w:p>
          <w:p w14:paraId="6C6836F9" w14:textId="77777777" w:rsidR="00210A3A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64156CBB" w14:textId="6877D55A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2391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pN-CYP2A6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3F28" w14:textId="0D8DE2D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Human CYP2A6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 xml:space="preserve"> thaliana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Fd2</w:t>
            </w:r>
          </w:p>
        </w:tc>
      </w:tr>
      <w:tr w:rsidR="00726C79" w:rsidRPr="00A05CE3" w14:paraId="594FCEA6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00B8E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CYP2E1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F8FF" w14:textId="7511E777" w:rsidR="00726C79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TGTCTGCCCTCGGAGTCACCGTGGCCCTGCTGGTGTGGGCGGCCTTCCTCCTGCTGGTGTCCATGTGGAGGCAGGTGCACAGCAGCTGGAATCTGCCCCCAGGCCCTTTCCCGCTTCCCATCATCGGGAACCTCTTCCAGTTGGAATTGAAGAATATTCCCAAGTCCTTCACCCGGTTGGCCCAGCGCTTCGGGCCGGTGTTCACGCTGTACGTGGGCTCGCAGCGCATGGTGGTGATGCACGGCTACAAGGCGGTGAAGGAAGCGCTGCTGGACTACAAGGACGAGTTCTCGGGCAGAGGCGACCTCCCCGCGTTCCATGCGCACAGGGACAGGGGAATCATTTTTAATAATGGACCTACCTGGAAGGACATCCGGCGGTTTTCCCTGACCACCCTCCGGAACTATGGGATGGGGAAACAGGGCAATGAGAGCCGGATCCAGAGGGAGGCCCACTTCCTGCTGGAAGCACTCAGGAAGACCCAAGGCCAGCCTTTCGACCCCACCTTCCTCATCGGCTGCGCGCCCTGCAACGTCATAGCCGACATCCTCTTCCGCAAGCATTTTGACTACAATGATGAGAAGTTTCTAAGGCTGATGTATTTGTTTAATGAGAACTTCCACCTACTCAGCACTCCCTGGCTCCAGCTTTACAATAATTTTCCCAGCTTTCTACACTACTTGCCTGGAAGCCACAGAAAAGTCATAAAAAATGTGGCTGAAGTAAAAGAGTATGTGTCTGAAAGGGTGAAGGAGCACCATCAATCTCTGGACCCCAACTGTCCCCGGGACCTCACCGACTGCCTGCTCGTGGAAATGGAGAAGGAAAAGCACAGTGCAGAGCGCTTGTACACAATGGACGGTATCACCGTGACTGTGGCCGACCTGTTCTTTGCGGGGACAGAGACCACCAGCACAACTCTGAGATATGGGCTCCTGATTCTCATGAAATACCCTGAGATCGAAGAGAAGCTCCATGAAGAAATTGACAGGGTGATTGGGCCAAGCCGAATCCCTGCCATCAAGGATAGGCAAGAGATGCCCTACATGGATGCTGTGGTGCATGAGATTCAGCGGTTCATCACCCTCGTGCCCTCCAACCTGCCCCATGAAGCAACCCGAGACACCATTTTCAGAGGATACCTCATCCCCAAGGGCACAGTCGTAGTGCCAACTCTGGACTCTGTTTTGTATGACAACCAAGAATTTCCTGATCCAGAAAAGTTTAAGCCAGAACACTTCCTGAATGAAAATGGAAAGTTCAAGTACAGTGACTATTTCAAGCCATTTTCCACAGGAAAACGAGTGTGTGCTGGAGAAGGCCTGGCTCGCATGGAGTTGTTTCTTTTGTTGTGTGCCATTTTGCAGCATTTTAATTTGAAGCCTCTCGTTGACCCAAAGGATATCGACCTCAGCCCTATACATATTGGGTTTGGCTGTATCCCACCACGTTACAAACTCTGTGTCATTCCCCGCTCATGA</w:t>
            </w:r>
          </w:p>
          <w:p w14:paraId="4AE9A78E" w14:textId="77777777" w:rsidR="00210A3A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26F823B9" w14:textId="7B3B1DAA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4195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pN-CYP2E1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AEA5" w14:textId="54B6C2C9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Human CYP2E1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 xml:space="preserve"> thaliana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Fd2</w:t>
            </w:r>
          </w:p>
        </w:tc>
      </w:tr>
      <w:tr w:rsidR="00726C79" w:rsidRPr="00A05CE3" w14:paraId="744FA014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A6EC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CYP2A_B49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3A4F" w14:textId="17441865" w:rsidR="00726C79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TGTCTCTGATGTCCGTTTGGCGTCAGCGTAAATCCCGTGGTAAACTGCCGCCGGGTCCGACCCCGCTGCCGTTCATCGGTAACTACCTGCAGCTGAACACAGAGCAGATGTACAACTCCCTCATGAAGATCAGTGAGCGCTATGGCCCCGTGTTCACCATTCACTTGGGGCCCCGGCGGGTCGTGGTGCTGTGTGGACATGATGCCGTCAGGGAGGCTCTGGTGGACCAGGCTGAGGAGTTCAGCGGGCGGGGCGAGCAAGCTACCTTCGACTGGCTTTTCAAAGGCTATGGCGTAGTCTTCAGCAGCGGGGAGCGAGCCAAACAGCTAAGGCGCTTCTCCATCGCCACGCTGCGGGACTTCGGCGTGGGGAAGCGTGGCATCGAGGAGCGCATCCAAGAGGAGGCGGGCTTTCTCATCGATTCATTTCGGAAGACGAACGGTGCTTTTATTGACCCCACCTTCTACCTTAGCCGAACAGTCTCCAATGTCATTAGCTCAATTGTCTTCGGGGACCGCTTTGACTATGAGGACAAAGAGTTCCTGTCCCTGCTGCGTATGATGCTGGGTTCCTTCCAGTTCACCGCTACCTCCACCGGTCAGCTCTATGAGATGTTCTCTTCTGTGATGAAACACCTGCCAGGGCCCCAGCAACAGGCCTTTAAGGAGCTGCAGGGCCTGGAGGACTTCATAACCAAGAAAGTGGAACACAATCAGCGCACGCTGGATCCCAATTCCCCAAGGGACTTCATCGACTCCTTCCTCATCCGAATGCTGGAGGAGAAGAAGAACCCCAACACGGAGTTCTACTTGAAAAACCTGGTGATGACCACGTTGAACCTCTTCATTGGGGGCACCGAGACCGTCAGCACCACCCTGCGCTACGGTTTCCTGCTGCTCATGAAGCACCCAGAGGTGGAGGCCAAGGTCCATGAGGAGATTGACAGAGTGATCGGCAAGAACCGGCAGCCGAAATTCGAAGACCGTGCTAAAATGCCGTACACCGAAGCTGTTATCCACGAAATCCAGCGTTTCGGTGACATGCTGCCGATGGGTCTGGCTCACCGTGTTAACAAAGACACCAAATTCCGTGACTTCTTCCTGCCGAAAGGTACCGAAGTTTTCCCGATGCTGGGTTCCGTTCTGCGTGACCCGCGTTTCTTCTCCAACCCGCGTGACTTCAACCCGCAGCACTTCCTGGACAAAAAAGGTCAGTTCAAAAAATCCGACGCTTTCGTTCCGTTCTCCATCGGTAAACGTTACTGCTTCGGTGAAGGTCTGGCTCGTATGGAACTGTTCCTGTTCTTCACCACCATCATGCAGAACTTCCGTTTCAAATCCCCGCAGTCCCCGAAAGACATCGACGTTTCCCCGAAACACGTTGGTTTCGCTACCATCCCGCGTAACTACACCATGTCCTTCCTGCCGCGTGCGTCGACCCATCATCATCATCATCATTGA</w:t>
            </w:r>
          </w:p>
          <w:p w14:paraId="2A688D58" w14:textId="77777777" w:rsidR="00210A3A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518B85CC" w14:textId="35761A64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C9AF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pN-CYP2A_B49, pBJ1-1, pBJ1-2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31F7" w14:textId="51F1D254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Engineered CYP2A_B49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 xml:space="preserve"> 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Fd2</w:t>
            </w:r>
          </w:p>
        </w:tc>
      </w:tr>
      <w:tr w:rsidR="00726C79" w:rsidRPr="00A05CE3" w14:paraId="7C481FBE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06D1" w14:textId="10806E14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tnaA</w:t>
            </w:r>
            <w:proofErr w:type="spellEnd"/>
            <w:r w:rsidR="00592F00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>(</w:t>
            </w:r>
            <w:proofErr w:type="spellStart"/>
            <w:r w:rsidR="00592F00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>pN</w:t>
            </w:r>
            <w:proofErr w:type="spellEnd"/>
            <w:r w:rsidR="00592F00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6FDD" w14:textId="662B9BF8" w:rsidR="00726C79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TGGAGAATTTTAAGCATTTACCTGAACCATTTCGTATTAGGGTCATTGAGCCTGTTAAACGAACCACCAGAGCATACAGGGAAGAAGCAATAATAAAATCCGGAATGAACCCTTTCTTGTTGGACAGTGAAGATGTGTTTATCGATTTGCTTACCGACTCCGGGACTGGAGCTGTCACTCAGTCAATGCAAGCCGCCATGATGAGGGGTGATGAGGCTTACTCAGGATCTAGATCCTACTACGCGCTGGCTGAATCTGTAAAGAATATTTTTGGGTATCAGTACACGATTCCAACGCACCAGGGCAGGGGCGCGGAACAAATTTATATCCCCGTTTTGATAAAAAAAAGGGAACAGGAAAAAGGTTTGGATAGAAGTAAGATGGTTGCATTCTCCAATTATTTTTTCGATACTACTCAGGGCCACAGCCAGATTAACGGTTGCACAGTCAGGAACGTCTACATTAAGGAGGCGTTCGATACTGGCGTACGATACGATTTCAAGGGGAACTTCGATCTTGAGGGGCTAGAACGTGGTATTGAAGAAGTTGGGCCCAATAATGTCCCCTACATTGTCGCCACGATAACGAGCAACTCTGCCGGAGGACAACCAGTTTCTTTAGCCAACCTCAAAGCGATGTATTCAATAGCGAAGAAGTATGATATTCCAGTAGTAATGGACTCAGCTCGATTCGCCGAGAACGCTTATTTTATCAAACAGAGGGAAGCCGAATATAAGGACTGGACCATTGAGCAGATAACCCGTGAGACCTATAAATATGCAGATATGCTTGCAATGTCTGCGAAGAAGGATGCAATGGTGCCTATGGGGGGACTATTATGTATGAAAGACGACAGTTTCTTTGATGTGTATACTGAGTGCAGGACTTTATGCGTAGTCCAAGAGGGCTTTCCCACCTACGGGGGTCTAGAAGGGGGTGCTATGGAGCGTCTAGCTGTTGGGCTTTACGACGGCATGAATCTGGACTGGTTGGCGTATAGAATCGCTCAGGTGCAATATCTCGTAGACGGTCTGGAGGAGATAGGGGTAGTCTGCCAACAGGCTGGCGGACATGCAGCGTTTGTTGACGCCGGGAAGCTCCTCCCGCACATACCTGCGGACCAGTTCCCAGCCCAGGCTTTGGCCTGTGAACTCTATAAAGTGGCTGGGATTCGTGCGGTTGAGATCGGATCTTTCTTACTCGGTAGAGACCCCAAGACTGGTAAGCAATTACCATGTCCAGCCGAGCTACTAAGATTGACGATTCCACGAGCGACATATACCCAAACTCATATGGACTTTATCATAGAAGCCTTTAAACATGTTAAAGAGAATGCCGCAAATATCAAGGGGCTCACGTTCACCTATGAACCAAAAGTGTTGAGGCATTTTACGGCAAAACTAAAAGAGGTCTAA</w:t>
            </w:r>
          </w:p>
          <w:p w14:paraId="320B667D" w14:textId="77777777" w:rsidR="00592F00" w:rsidRPr="00210A3A" w:rsidRDefault="00592F00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47BB5AF7" w14:textId="24CCA338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83CD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pN-tnaA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5A04" w14:textId="7EF05ED6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E. coli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tryptophanase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 xml:space="preserve"> 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Fd2</w:t>
            </w:r>
          </w:p>
        </w:tc>
      </w:tr>
      <w:tr w:rsidR="00726C79" w:rsidRPr="00A05CE3" w14:paraId="4C3AA267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C97C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tnaA</w:t>
            </w:r>
            <w:proofErr w:type="spellEnd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(</w:t>
            </w: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pBJ</w:t>
            </w:r>
            <w:proofErr w:type="spellEnd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E389" w14:textId="4D46227A" w:rsidR="00726C79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TCTACTATCAGCGTGCCCAGTGGTTGTTTCCTCAAGGTTGCACCATCTATTAGGAGCTCAGCCTTCACTAAGTCCCAGTGTTCATTAGGATCCGTCAAGTCCATATCTAAGGCTTTCGGGTTGAAATCCTCTTCCTCTTTCAAAGTTTCTGCAATGGAGAATTTTAAGCATTTACCTGAACCATTTCGTATTAGGGTCATTGAGCCTGTTAAACGAACCACCAGAGCATACAGGGAAGAAGCAATAATAAAATCCGGAATGAACCCTTTCTTGTTGGACAGTGAAGATGTGTTTATCGATTTGCTTACCGACTCCGGGACTGGAGCTGTCACTCAGTCAATGCAAGCCGCCATGATGAGGGGTGATGAGGCTTACTCAGGATCTAGATCCTACTACGCGCTGGCTGAATCTGTAAAGAATATTTTTGGGTATCAGTACACGATTCCAACGCACCAGGGCAGGGGCGCGGAACAAATTTATATCCCCGTTTTGATAAAAAAAAGGGAACAGGAAAAAGGTTTGGATAGAAGTAAGATGGTTGCATTCTCCAATTATTTTTTCGATACTACTCAGGGCCACAGCCAGATTAACGGTTGCACAGTCAGGAACGTCTACATTAAGGAGGCGTTCGATACTGGCGTACGATACGATTTCAAGGGGAACTTCGATCTTGAGGGGCTAGAACGTGGTATTGAAGAAGTTGGGCCCAATAATGTCCCCTACATTGTCGCCACGATAACGAGCAACTCTGCCGGAGGACAACCAGTTTCTTTAGCCAACCTCAAAGCGATGTATTCAATAGCGAAGAAGTATGATATTCCAGTAGTAATGGACTCAGCTCGATTCGCCGAGAACGCTTATTTTATCAAACAGAGGGAAGCCGAATATAAGGACTGGACCATTGAGCAGATAACCCGTGAGACCTATAAATATGCAGATATGCTTGCAATGTCTGCGAAGAAGGATGCAATGGTGCCTATGGGGGGACTATTATGTATGAAAGACGACAGTTTCTTTGATGTGTATACTGAGTGCAGGACTTTATGCGTAGTCCAAGAGGGCTTTCCCACCTACGGGGGTCTAGAAGGGGGTGCTATGGAGCGTCTAGCTGTTGGGCTTTACGACGGCATGAATCTGGACTGGTTGGCGTATAGAATCGCTCAGGTGCAATATCTCGTAGACGGTCTGGAGGAGATAGGGGTAGTCTGCCAACAGGCTGGCGGACATGCAGCGTTTGTTGACGCCGGGAAGCTCCTCCCGCACATACCTGCGGACCAGTTCCCAGCCCAGGCTTTGGCCTGTGAACTCTATAAAGTGGCTGGGATTCGTGCGGTTGAGATCGGATCTTTCTTACTCGGTAGAGACCCCAAGACTGGTAAGCAATTACCATGTCCAGCCGAGCTACTAAGATTGACGATTCCACGAGCGACATATACCCAAACTCATATGGACTTTATCATAGAAGCCTTTAAACATGTTAAAGAGAATGCCGCAAATATCAAGGGGCTCACGTTCACCTATGAACCAAAAGTGTTGAGGCATTTTACGGCAAAACTAAAAGAGGTCTAA</w:t>
            </w:r>
          </w:p>
          <w:p w14:paraId="16A57FFC" w14:textId="77777777" w:rsidR="00592F00" w:rsidRPr="00210A3A" w:rsidRDefault="00592F00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179C97DB" w14:textId="2E3646EE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5F22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pBJ1-1, pBJ1-2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08C7F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E. coli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tryptophanase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Nicotiana tabacum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</w:t>
            </w: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</w:t>
            </w:r>
            <w:proofErr w:type="spellEnd"/>
          </w:p>
        </w:tc>
      </w:tr>
      <w:tr w:rsidR="00726C79" w:rsidRPr="00A05CE3" w14:paraId="1BE67C11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2117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AroG</w:t>
            </w:r>
            <w:proofErr w:type="spellEnd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*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27F2" w14:textId="7A67AABD" w:rsidR="00726C79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TGAATTACCAAAATGATGACCTGAGAATTAAAGAAATTAAAGAGTTACTGCCACCAGTCGCCTTACTGGAAAAGTTCCCAGCAACCGAGAATGCTGCGAATACTGTAGCACATGCAAGGAAAGCCATCCATAAAATTTTGAAGGGTAATGACGACCGTCTGCTTGTCGTAATCGGCCCCTGCAGTATTCACGACCCGGTGGCGGCCAAGGAATATGCTACTCGACTACTTGCCTTAAGAGAAGAACTGAAGGACGAATTAGAGATTGTCATGCGAGTGTATTTTGAAAAGCCCAGGACTACGGTGGGTTGGAAGGGACTAATCAACGATCCGCATATGGACAACAGTTTTCAGATAAACGATGGTCTAAGAATTGCTAGAAAATTACTACTCGATATTAATGATAGCGGCTTACCAGCGGCAGGAGAATTCCTTAACATGATAACGCCCCAGTACCTTGCCGATCTCATGTCATGGGGCGCTATTGGCGCACGAACAACGGAGTCACAGGTCCACAGGGAGTTGGCGAGTGGCCTTAGTTGTCCTGTCGGCTTTAAAAATGGGACAGACGGTACCATCAAAGTAGCAATTGACGCGATAAACACAGCCGGTGCTCCCCATTGTTTTCTTAGCGTCACTAAATGGGGCCATTCTGCTATTGTTAATACTTCAGGAAACGGTGACTGTCACATAATACTGAGGGGCGGAAAAGAACCGAATTATAGCGCAAAGCATGTAGCCGAGGTTAAAGAGGGATTAAACAAAGCAGGATTGCCAGCTCAAGTGATGATTGATTTTTCCCACGCGAATTCTTCAAAGCAGTTCAAGAAACAGATGGATGTGTGTGCCGATGTTTGCCAACAAATAGCAGGCGGTGAGAAGGCCATTATCGGAGTAATGGTTGAGTCTCACCTGGTCGAGGGGAACCAAAGTCTCGAGTCTGGCGAACCGCTTGCTTACGGAAAGAGCATCACAGACGCATGTATTGGGTGGGAGGACACCGATGCCCTCCTGAGACAGCTAGCCAATGCCGTAAAAGCCCGTCGTGGGTAA</w:t>
            </w:r>
          </w:p>
          <w:p w14:paraId="760E12FC" w14:textId="77777777" w:rsidR="00592F00" w:rsidRPr="00210A3A" w:rsidRDefault="00592F00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28831067" w14:textId="4164FF1F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F6DE" w14:textId="39CFD25A" w:rsidR="00726C79" w:rsidRPr="00A05CE3" w:rsidRDefault="000F1E7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>pN-AroG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 xml:space="preserve">*, </w:t>
            </w:r>
            <w:proofErr w:type="spellStart"/>
            <w:r w:rsidR="00726C79"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pEAQ-AroG</w:t>
            </w:r>
            <w:proofErr w:type="spellEnd"/>
            <w:r w:rsidR="00726C79"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*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7183" w14:textId="09527FF2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E. coli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AroG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D146N/A202T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double mutant with transit peptide from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Arabidopsis </w:t>
            </w:r>
            <w:r w:rsidR="00592F00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="00592F00"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Fd2</w:t>
            </w:r>
          </w:p>
        </w:tc>
      </w:tr>
      <w:tr w:rsidR="00726C79" w:rsidRPr="00A05CE3" w14:paraId="7CD3EB6D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6AF8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AtFd1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2C8C2" w14:textId="77777777" w:rsidR="00726C79" w:rsidRPr="00210A3A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CAGCGCAATCGTAAGCACCTCTTTCCTCCGCCGTCAACAGACACCAATCAGCCTCAGATCCCTCCCGTTTGCCAACACACAATCTCTCTTCGGCCTCAAATCTTCCACCGCTCGCGGCGGCCGCGTCACGGCCATGGCTACCTACAAGGTCAAGTTCATCACACCTGAGGGAGAACAAGAGGTCGAATGCGAAGAAGATGTCTACGTCCTCGACGCTGCTGAGGAAGCCGGACTCGACTTGCCCTACTCATGCCGTGCCGGTTCTTGCTCAAGTTGCGCCGGGAAAGTCGTCTCTGGTTCTATTGACCAGTCGGACCAGAGCTTCTTAGACGATGAACAGATGAGTGAGGGCTATGTCTTGACCTGTGTGGCTTATCCGACTTCTGATGTCGTCATCGAAACCCACAAAGAAGAAGCCATTATGTAA</w:t>
            </w:r>
          </w:p>
          <w:p w14:paraId="4D3EA148" w14:textId="33B54708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244A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pEAQ-AtFd1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3229D" w14:textId="67870A5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Arabidopsis </w:t>
            </w:r>
            <w:r w:rsidR="00592F00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="00592F00"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ferredoxin 1 with its native transit peptide</w:t>
            </w:r>
          </w:p>
        </w:tc>
      </w:tr>
      <w:tr w:rsidR="00726C79" w:rsidRPr="00A05CE3" w14:paraId="1BA2F967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A151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IsiB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6803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3AB5" w14:textId="77777777" w:rsidR="00726C79" w:rsidRPr="00210A3A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CAAAAATTGGACTTTTTTACGGTACTCAAACCGGCAACACTGAAACCATTGCTGAACTGATTCAAAAAGAAATGGGCGGCGATAGTGTGGTCGATATGATGGATATATCCCAGGCTGATGTTGATGATTTTAGGCAATATAGTTGCCTGATTATCGGTTGTCCCACCTGGAATGTGGGGGAACTCCAGAGTGATTGGGAAGGCTTTTATGACCAATTAGACGAAATTGATTTTAATGGCAAAAAAGTAGCCTATTTTGGTGCTGGCGATCAGGTTGGTTATGCAGATAATTTTCAAGACGCCATGGGCATTTTAGAAGAAAAAATCAGTGGATTAGGCGGTAAAACAGTGGGGTTTTGGCCCACCGCTGGCTATGATTTTGACGAATCAAAAGCGGTGAAAAATGGGAAATTTGTTGGTTTAGCTTTGGACGAAGATAATCAGCCAGAGTTAACAGAATTAAGAGTAAAGACATGGGTAAGTGAAATTAAACCAATTTTGCAATCCTAG</w:t>
            </w:r>
          </w:p>
          <w:p w14:paraId="18688FD9" w14:textId="6A8CA5EC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2F20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pEAQ-IsiB6803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E0C7" w14:textId="56BC3410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Synechocystis</w:t>
            </w:r>
            <w:proofErr w:type="spellEnd"/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sp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.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PCC</w:t>
            </w:r>
            <w:r w:rsidR="00592F00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6803 flavodoxin </w:t>
            </w: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IsiB</w:t>
            </w:r>
            <w:proofErr w:type="spellEnd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592F00"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  <w:t xml:space="preserve"> </w:t>
            </w:r>
            <w:r w:rsidR="00592F00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 Fd2</w:t>
            </w:r>
          </w:p>
        </w:tc>
      </w:tr>
      <w:tr w:rsidR="00726C79" w:rsidRPr="00A05CE3" w14:paraId="5D7B919C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A65B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HsCPR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62-241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08D5" w14:textId="77777777" w:rsidR="00726C79" w:rsidRPr="00210A3A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ACATTGACCTCCTCTGTCAGAGAGAGCAGCTTTGTGGAAAAGATGAAGAAAACGGGGAGGAACATCATCGTGTTCTACGGCTCCCAGACGGGGACTGCAGAGGAGTTTGCCAACCGCCTGTCCAAGGACGCCCACCGCTACGGGATGCGAGGCATGTCAGCGGACCCTGAGGAGTATGACCTGGCCGACCTGAGCAGCCTGCCAGAGATCGACAACGCCCTGGTGGTTTTCTGCATGGCCACCTACGGTGAGGGAGACCCCACCGACAATGCCCAGGACTTCTACGACTGGCTGCAGGAGACAGACGTGGATCTCTCTGGGGTCAAGTTCGCGGTGTTTGGTCTTGGGAACAAGACCTACGAGCACTTCAATGCCATGGGCAAGTACGTGGACAAGCGGCTGGAGCAGCTCGGCGCCCAGCGCATCTTTGAGCTGGGGTTGGGCGACGACGATGGGAACTTGGAGGAGGACTTCATCACCTGGCGAGAGCAGTTCTGGCCGGCCGTGTGTGAACACTTTGGGGTGGAAGCCACTGGCGAGTAA</w:t>
            </w:r>
          </w:p>
          <w:p w14:paraId="6F68C4E7" w14:textId="3FC701C7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B593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pEAQ-HsCPR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62-241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925C" w14:textId="0B6E0208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Human cytochrome P450 reductase FMN-binding domain comprising residues 62-241 with transit peptide from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Arabidopsis 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>thaliana</w:t>
            </w:r>
            <w:r w:rsidR="00210A3A"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Fd2</w:t>
            </w:r>
          </w:p>
        </w:tc>
      </w:tr>
      <w:tr w:rsidR="00726C79" w:rsidRPr="00A05CE3" w14:paraId="273C1FB5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04BB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HsCPR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fl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2B02" w14:textId="77777777" w:rsidR="00726C79" w:rsidRPr="00210A3A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GGCTTCCACTGCTCTCTCAAGCGCCATCGTCGGAACTTCATTCATCCGTCGTTCCCCAGCTCCAATCAGTCTCCGTTCCCTTCCATCAGCCAACACACAATCCCTCTTCGGTCTCAAATCAGGCACCGCTCGTGGTGGACGTGTCACAGCCGCTGACTCCCACGTGGACACCAGCTCCACCGTGTCCGAGGCGGTGGCCGAAGAAGTATCTCTTTTCAGCATGACGGACATGATTCTGTTTTCGCTCATCGTGGGTCTCCTAACCTACTGGTTCCTCTTCAGAAAGAAAAAAGAAGAAGTCCCCGAGTTCACCAAAATTCAGACATTGACCTCCTCTGTCAGAGAGAGCAGCTTTGTGGAAAAGATGAAGAAAACGGGGAGGAACATCATCGTGTTCTACGGCTCCCAGACGGGGACTGCAGAGGAGTTTGCCAACCGCCTGTCCAAGGACGCCCACCGCTACGGGATGCGAGGCATGTCAGCGGACCCTGAGGAGTATGACCTGGCCGACCTGAGCAGCCTGCCAGAGATCGACAACGCCCTGGTGGTTTTCTGCATGGCCACCTACGGTGAGGGAGACCCCACCGACAATGCCCAGGACTTCTACGACTGGCTGCAGGAGACAGACGTGGATCTCTCTGGGGTCAAGTTCGCGGTGTTTGGTCTTGGGAACAAGACCTACGAGCACTTCAATGCCATGGGCAAGTACGTGGACAAGCGGCTGGAGCAGCTCGGCGCCCAGCGCATCTTTGAGCTGGGGTTGGGCGACGACGATGGGAACTTGGAGGAGGACTTCATCACCTGGCGAGAGCAGTTCTGGCCGGCCGTGTGTGAACACTTTGGGGTGGAAGCCACTGGCGAGGAGTCCAGCATTCGCCAGTACGAGCTTGTGGTCCACACCGACATAGATGCGGCCAAGGTGTACATGGGGGAGATGGGCCGGCTGAAGAGCTACGAGAACCAGAAGCCCCCCTTTGATGCCAAGAATCCGTTCCTGGCTGCAGTCACCACCAACCGGAAGCTGAACCAGGGAACCGAGCGCCACCTCATGCACCTGGAATTGGACATCTCGGACTCCAAAATCAGGTATGAATCTGGGGACCACGTGGCTGTGTACCCAGCCAACGACTCTGCTCTCGTCAACCAGCTGGGCAAAATCCTGGGTGCCGACCTGGACGTCGTCATGTCCCTGAACAACCTGGATGAGGAGTCCAACAAGAAGCACCCATTCCCGTGCCCTACGTCCTACCGCACGGCCCTCACCTACTACCTGGACATCACCAACCCGCCGCGTACCAACGTGCTGTACGAGCTGGCGCAGTACGCCTCGGAGCCCTCGGAGCAGGAGCTGCTGCGCAAGATGGCCTCCTCCTCCGGCGAGGGCAAGGAGCTGTACCTGAGCTGGGTGGTGGAGGCCCGGAGGCACATCCTGGCCATCCTGCAGGACTGCCCGTCCCTGCGGCCCCCCATCGACCACCTGTGTGAGCTGCTGCCGCGCCTGCAGGCCCGCTACTACTCCATCGCCTCATCCTCCAAGGTCCACCCCAACTCTGTGCACATCTGTGCGGTGGTTGTGGAGTACGAGACCAAGGCCGGCCGCATCAACAAGGGCGTGGCCACCAACTGGCTGCGGGCCAAGGAGCCTGCCGGGGAGAACGGCGGCCGTGCGCTGGTGCCCATGTTCGTGCGCAAGTCCCAGTTCCGCCTGCCCTTCAAGGCCACCACGCCTGTCATCATGGTGGGCCCCGGCACCGGGGTGGCACCCTTCATAGGCTTCATCCAGGAGCGGGCCTGGCTGCGACAGCAGGGCAAGGAGGTGGGGGAGACGCTGCTGTACTACGGCTGCCGCCGCTCGGATGAGGACTACCTGTACCGGGAGGAGCTGGCGCAGTTCCACAGGGACGGTGCGCTCACCCAGCTCAACGTGGCCTTCTCCCGGGAGCAGTCCCACAAGGTCTACGTCCAGCACCTGCTAAAGCAAGACCGAGAGCACCTGTGGAAGTTGATCGAAGGCGGTGCCCACATCTACGTCTGTGGGGATGCACGGAACATGGCCAGGGATGTGCAGAACACCTTCTACGACATCGTGGCTGAGCTCGGGGCCATGGAGCACGCGCAGGCGGTGGACTACATCAAGAAACTGATGACCAAGGGCCGCTACTCCCTGGACGTGTGGAGCTAA</w:t>
            </w:r>
          </w:p>
          <w:p w14:paraId="2B586BD4" w14:textId="0D0BAF8B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5B16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proofErr w:type="spellStart"/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pEAQ-HsCPR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val="en-DK" w:eastAsia="en-DK"/>
              </w:rPr>
              <w:t>fl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C483D" w14:textId="001A21BD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Full-length human cytochrome P450 reductase with transit peptide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 xml:space="preserve"> thaliana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 xml:space="preserve"> 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Fd2</w:t>
            </w:r>
          </w:p>
        </w:tc>
      </w:tr>
      <w:tr w:rsidR="00726C79" w:rsidRPr="00A05CE3" w14:paraId="6E652EDC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2A89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A40F" w14:textId="77777777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A891" w14:textId="77777777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A9B3" w14:textId="77777777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</w:p>
        </w:tc>
      </w:tr>
      <w:tr w:rsidR="00726C79" w:rsidRPr="00A05CE3" w14:paraId="5FCCD509" w14:textId="77777777" w:rsidTr="00210A3A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B16C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DK" w:eastAsia="en-DK"/>
              </w:rPr>
              <w:t>Promoters and terminators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4DB0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F70E" w14:textId="77777777" w:rsidR="00726C79" w:rsidRPr="00A05CE3" w:rsidRDefault="00726C79" w:rsidP="00726C79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DK" w:eastAsia="en-DK"/>
              </w:rPr>
            </w:pPr>
          </w:p>
        </w:tc>
      </w:tr>
      <w:tr w:rsidR="00726C79" w:rsidRPr="00A05CE3" w14:paraId="6592B8A4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B6E0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At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val="en-DK" w:eastAsia="en-DK"/>
              </w:rPr>
              <w:t>UBQ10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13FC" w14:textId="0B948B69" w:rsidR="00726C79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210A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GTCGACGAGTCAGTAATAAACGGCGTCAAAGTGGTTGCAGCCGGCACACACGAGTCGTGTTTATCAACTCAAAGCACAAATACTTTTCCTCAACCTAAAAATAAGGCAATTAGCCAAAAACAACTTTGCGTGTAAACAACGCTCAATACACGTGTCATTTTATTATTAGCTATTGCTTCACCGCCTTAGCTTTCTCGTGACCTAGTCGTCCTCGTCTTTTCTTCTTCTTCTTCTATAAAACAATACCCAAAGAGCTCTTCTTCTTCACAATTCAGATTTCAATTTCTCAAAATCTTAAAAACTTTCTCTCAATTCTCTCTACCGTGATCAAGGTAAATTTCTGTGTTCCTTATTCTCTCAAAATCTTCGATTTTGTTTTCGTTCGATCCCAATTTCGTATATGTTCTTTGGTTTAGATTCTGTTAATCTTAGATCGAAGACGATTTTCTGGGTTTGATCGTTAGATATCATCTTAATTCTCGATTAGGGTTTCATAGATATCATCCGATTTGTTCAAATAATTTGAGTTTTGTCGAATAATTACTCTTCGATTTGTGATTTCTATCTAGATCTGGTGTTAGTTTCTAGTTTGTGCGATCGAATTTGTCGATTAATCTGAGTTTTTCTGATTAACAG</w:t>
            </w:r>
          </w:p>
          <w:p w14:paraId="0A99D40F" w14:textId="77777777" w:rsidR="00210A3A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6C158BD6" w14:textId="6230B874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7021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pBJ1-1, pBJ1-2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5E4F" w14:textId="4C6EF2FC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Ubiquitin 10 promoter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 xml:space="preserve"> thaliana</w:t>
            </w:r>
          </w:p>
        </w:tc>
      </w:tr>
      <w:tr w:rsidR="00726C79" w:rsidRPr="00A05CE3" w14:paraId="4043A318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5168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Nt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val="en-DK" w:eastAsia="en-DK"/>
              </w:rPr>
              <w:t>UBQ.U4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13EA" w14:textId="5A92A200" w:rsidR="00726C79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210A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GGAGGCTAACTACGTTAGAGCGCTAACGAGAATACTTCATATACCGTATTTTTTACGATAATAATAATGTAATGTGAAATTGCTATCCAAAAGGCACCTAATTTTGTCCACCGTTCAAAGGAAAGGACAAGGAAGTAGTAGCGTGTAGGTTTGGTGCTGTACAAAATAAGCAAGACACGTGTTGCCTTATTATAGGATAATCCATAAGGCAATTTCGTCTTAAGTCGGCCATTGCACCTTTAAAAGGAGCCTCTTTGTTCCCAAAATCTTCATCCTTTGATTTCTCTATTCTCAATATCTCCTCAATTTTTCTCTAGTCTTCAAACACTTCTCAAGGTACATTAACTTCTTCTTTCTTTTTGTTCCTCTTATTTTATGCTACTTTTATTTAATTTCGATCTATATTTTTAGGATCTAAATACTCATTTTTGATTTGTTTAATCGCTCTGTATATATGCACCAAGTTGAAATTTTTGTAAGTTTATTTTGTTCGGTCTATATTTTAAGATCTGAAATACCCTTTACTGAGAAAAAAAAAACTCAACCTTGATTTTGTTGTACCTGGTTGAATTTGTTATTGTTGTGTATACAGTTAAAAAACTCAAGTCTTGATTTTATTGTTTCCCTTTTGTAGTTTGTATATACATAGAGCTGAATTGGTGTTCTAATTTTGGTTGATTTTTATGTATACAGTATAAAATCGATCTTAGTTTTGTTCATTGATTTGTATTTGCACAAAGTTGGAATTTTGCGTTTGTTATTTTGATGATTGAAACCTTTTCTGTATATACAG</w:t>
            </w:r>
          </w:p>
          <w:p w14:paraId="0A967C23" w14:textId="77777777" w:rsidR="00210A3A" w:rsidRPr="00210A3A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  <w:p w14:paraId="61B9D6D9" w14:textId="744FCE81" w:rsidR="00210A3A" w:rsidRPr="00A05CE3" w:rsidRDefault="00210A3A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3B65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pBJ1-1, pBJ1-2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4F22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Ubiquitin 10 promoter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Nicotiana tabacum</w:t>
            </w:r>
          </w:p>
        </w:tc>
      </w:tr>
      <w:tr w:rsidR="00726C79" w:rsidRPr="00A05CE3" w14:paraId="44B0F7E1" w14:textId="77777777" w:rsidTr="00210A3A">
        <w:trPr>
          <w:trHeight w:val="300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D49E17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At</w:t>
            </w:r>
            <w:r w:rsidRPr="00A05CE3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val="en-DK" w:eastAsia="en-DK"/>
              </w:rPr>
              <w:t>HSP18.2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C1D868" w14:textId="3E4F3C64" w:rsidR="00210A3A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DK" w:eastAsia="en-DK"/>
              </w:rPr>
              <w:t>ATATGAAGATGAAGATGAAATATTTGGTGTGTCAAATAAAAAGCTTGTGTGCTTAAGTTTGTGTTTTTTTCTTGGCTTGTTGTGTTATGAATTTGTGGCTTTTTCTAATATTAAATGAATGTAAGATCTCATTATAATGAATAAACAAATGTTTCTATAATCCATTGTGAATGTTTTGTTGGATCTCTTCTGCAGCATATAACTACTGTATGTGCTATGGTATGGACTATGGAATATGATTAAAGATAAG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97F7F5" w14:textId="77777777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>pBJ1-1, pBJ1-2</w:t>
            </w: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10343D" w14:textId="66A0FD6D" w:rsidR="00726C79" w:rsidRPr="00A05CE3" w:rsidRDefault="00726C79" w:rsidP="00726C79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en-GB" w:eastAsia="en-DK"/>
              </w:rPr>
            </w:pPr>
            <w:r w:rsidRPr="00A05CE3">
              <w:rPr>
                <w:rFonts w:ascii="Calibri" w:eastAsia="Times New Roman" w:hAnsi="Calibri" w:cs="Calibri"/>
                <w:color w:val="000000"/>
                <w:sz w:val="22"/>
                <w:lang w:val="en-DK" w:eastAsia="en-DK"/>
              </w:rPr>
              <w:t xml:space="preserve">Heat shock protein 18.2 terminator from </w:t>
            </w:r>
            <w:r w:rsidRPr="00A05CE3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DK" w:eastAsia="en-DK"/>
              </w:rPr>
              <w:t>Arabidopsis</w:t>
            </w:r>
            <w:r w:rsidR="00210A3A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val="en-GB" w:eastAsia="en-DK"/>
              </w:rPr>
              <w:t xml:space="preserve"> thaliana</w:t>
            </w:r>
          </w:p>
        </w:tc>
      </w:tr>
    </w:tbl>
    <w:p w14:paraId="17415005" w14:textId="77777777" w:rsidR="00994A3D" w:rsidRPr="00A05CE3" w:rsidRDefault="00994A3D" w:rsidP="00994A3D">
      <w:pPr>
        <w:keepNext/>
        <w:rPr>
          <w:rFonts w:cs="Times New Roman"/>
          <w:szCs w:val="24"/>
          <w:lang w:val="en-DK"/>
        </w:rPr>
      </w:pPr>
    </w:p>
    <w:p w14:paraId="0B54FDB2" w14:textId="77777777" w:rsidR="00C45ADD" w:rsidRDefault="00C45ADD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6712FC19" w14:textId="70CA4C00" w:rsidR="00195142" w:rsidRPr="001A6CC4" w:rsidRDefault="00195142" w:rsidP="00195142">
      <w:pPr>
        <w:spacing w:before="0" w:after="200" w:line="276" w:lineRule="auto"/>
        <w:rPr>
          <w:rFonts w:cs="Times New Roman"/>
          <w:b/>
          <w:szCs w:val="24"/>
        </w:rPr>
      </w:pPr>
      <w:r w:rsidRPr="00D618DA">
        <w:rPr>
          <w:b/>
        </w:rPr>
        <w:t>Supplementary</w:t>
      </w:r>
      <w:r>
        <w:t xml:space="preserve"> </w:t>
      </w:r>
      <w:r w:rsidRPr="001A6CC4">
        <w:rPr>
          <w:rFonts w:cs="Times New Roman"/>
          <w:b/>
          <w:szCs w:val="24"/>
        </w:rPr>
        <w:t>Table S</w:t>
      </w:r>
      <w:r w:rsidR="00C67F34">
        <w:rPr>
          <w:rFonts w:cs="Times New Roman"/>
          <w:b/>
          <w:szCs w:val="24"/>
        </w:rPr>
        <w:t>2</w:t>
      </w:r>
      <w:r w:rsidRPr="001A6CC4">
        <w:rPr>
          <w:rFonts w:cs="Times New Roman"/>
          <w:b/>
          <w:szCs w:val="24"/>
        </w:rPr>
        <w:t xml:space="preserve">: </w:t>
      </w:r>
      <w:r w:rsidRPr="001A6CC4">
        <w:rPr>
          <w:rFonts w:cs="Times New Roman"/>
          <w:szCs w:val="24"/>
        </w:rPr>
        <w:t xml:space="preserve">MRM transitions for </w:t>
      </w:r>
      <w:proofErr w:type="spellStart"/>
      <w:r w:rsidRPr="001A6CC4">
        <w:rPr>
          <w:rFonts w:cs="Times New Roman"/>
          <w:szCs w:val="24"/>
        </w:rPr>
        <w:t>indican</w:t>
      </w:r>
      <w:proofErr w:type="spellEnd"/>
      <w:r w:rsidRPr="001A6CC4">
        <w:rPr>
          <w:rFonts w:cs="Times New Roman"/>
          <w:szCs w:val="24"/>
        </w:rPr>
        <w:t xml:space="preserve"> analysis </w:t>
      </w:r>
      <w:r>
        <w:rPr>
          <w:rFonts w:cs="Times New Roman"/>
          <w:szCs w:val="24"/>
        </w:rPr>
        <w:t xml:space="preserve">by </w:t>
      </w:r>
      <w:r w:rsidR="00974952" w:rsidRPr="00974952">
        <w:rPr>
          <w:bCs/>
        </w:rPr>
        <w:t>LC-</w:t>
      </w:r>
      <w:proofErr w:type="spellStart"/>
      <w:r w:rsidR="00974952" w:rsidRPr="00974952">
        <w:rPr>
          <w:bCs/>
        </w:rPr>
        <w:t>QqQ</w:t>
      </w:r>
      <w:proofErr w:type="spellEnd"/>
      <w:r w:rsidR="00974952" w:rsidRPr="00974952">
        <w:rPr>
          <w:bCs/>
        </w:rPr>
        <w:t>-MS/MS</w:t>
      </w:r>
      <w:r w:rsidRPr="001A6CC4">
        <w:rPr>
          <w:rFonts w:cs="Times New Roman"/>
          <w:szCs w:val="24"/>
        </w:rPr>
        <w:t>.</w:t>
      </w:r>
    </w:p>
    <w:tbl>
      <w:tblPr>
        <w:tblW w:w="8837" w:type="dxa"/>
        <w:tblInd w:w="5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923"/>
        <w:gridCol w:w="800"/>
        <w:gridCol w:w="1134"/>
        <w:gridCol w:w="1510"/>
        <w:gridCol w:w="604"/>
      </w:tblGrid>
      <w:tr w:rsidR="00195142" w:rsidRPr="001A6CC4" w14:paraId="4B3FBFE7" w14:textId="77777777" w:rsidTr="00526159">
        <w:trPr>
          <w:trHeight w:val="227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5E2837" w14:textId="77777777" w:rsidR="00195142" w:rsidRPr="001A6CC4" w:rsidRDefault="00195142" w:rsidP="00526159">
            <w:pPr>
              <w:spacing w:before="0" w:after="0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proofErr w:type="spellStart"/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Analyte</w:t>
            </w:r>
            <w:proofErr w:type="spellEnd"/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 xml:space="preserve"> 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39BDB7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 xml:space="preserve">Retention Time </w:t>
            </w:r>
          </w:p>
          <w:p w14:paraId="0B2FF95D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[min]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7E1D22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 xml:space="preserve">Q1 </w:t>
            </w:r>
          </w:p>
          <w:p w14:paraId="63306B9B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[</w:t>
            </w:r>
            <w:r w:rsidRPr="001A6CC4">
              <w:rPr>
                <w:rFonts w:eastAsia="Times New Roman" w:cs="Times New Roman"/>
                <w:b/>
                <w:i/>
                <w:szCs w:val="24"/>
                <w:lang w:val="da-DK" w:eastAsia="da-DK"/>
              </w:rPr>
              <w:t>m/z</w:t>
            </w: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9CF35F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Q3 [</w:t>
            </w:r>
            <w:r w:rsidRPr="001A6CC4">
              <w:rPr>
                <w:rFonts w:eastAsia="Times New Roman" w:cs="Times New Roman"/>
                <w:b/>
                <w:i/>
                <w:szCs w:val="24"/>
                <w:lang w:val="da-DK" w:eastAsia="da-DK"/>
              </w:rPr>
              <w:t>m/z</w:t>
            </w: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]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7316A17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proofErr w:type="spellStart"/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Fragmentor</w:t>
            </w:r>
            <w:proofErr w:type="spellEnd"/>
          </w:p>
          <w:p w14:paraId="4DBFC162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[V]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506A9BF3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CE</w:t>
            </w:r>
          </w:p>
          <w:p w14:paraId="24EDA0D5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b/>
                <w:szCs w:val="24"/>
                <w:lang w:val="da-DK" w:eastAsia="da-DK"/>
              </w:rPr>
            </w:pPr>
            <w:r w:rsidRPr="001A6CC4">
              <w:rPr>
                <w:rFonts w:eastAsia="Times New Roman" w:cs="Times New Roman"/>
                <w:b/>
                <w:szCs w:val="24"/>
                <w:lang w:val="da-DK" w:eastAsia="da-DK"/>
              </w:rPr>
              <w:t>[V]</w:t>
            </w:r>
          </w:p>
        </w:tc>
      </w:tr>
      <w:tr w:rsidR="00195142" w:rsidRPr="001A6CC4" w14:paraId="4D6BDF4B" w14:textId="77777777" w:rsidTr="00526159">
        <w:trPr>
          <w:trHeight w:val="210"/>
        </w:trPr>
        <w:tc>
          <w:tcPr>
            <w:tcW w:w="28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7B1E76B" w14:textId="77777777" w:rsidR="00195142" w:rsidRPr="001A6CC4" w:rsidRDefault="00195142" w:rsidP="00526159">
            <w:pPr>
              <w:tabs>
                <w:tab w:val="left" w:pos="1127"/>
              </w:tabs>
              <w:spacing w:before="0" w:after="0"/>
              <w:rPr>
                <w:rFonts w:eastAsia="Times New Roman" w:cs="Times New Roman"/>
                <w:szCs w:val="24"/>
                <w:lang w:eastAsia="da-DK"/>
              </w:rPr>
            </w:pPr>
            <w:proofErr w:type="spellStart"/>
            <w:r w:rsidRPr="001A6CC4">
              <w:rPr>
                <w:rFonts w:eastAsia="Times New Roman" w:cs="Times New Roman"/>
                <w:szCs w:val="24"/>
                <w:lang w:eastAsia="da-DK"/>
              </w:rPr>
              <w:t>Indican</w:t>
            </w:r>
            <w:proofErr w:type="spellEnd"/>
            <w:r w:rsidRPr="001A6CC4">
              <w:rPr>
                <w:rFonts w:eastAsia="Times New Roman" w:cs="Times New Roman"/>
                <w:szCs w:val="24"/>
                <w:lang w:eastAsia="da-DK"/>
              </w:rPr>
              <w:t xml:space="preserve"> [M-H]</w:t>
            </w:r>
            <w:r w:rsidRPr="001A6CC4">
              <w:rPr>
                <w:rFonts w:eastAsia="Times New Roman" w:cs="Times New Roman"/>
                <w:szCs w:val="24"/>
                <w:vertAlign w:val="superscript"/>
                <w:lang w:eastAsia="da-DK"/>
              </w:rPr>
              <w:t>-</w:t>
            </w: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F07E04B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1.63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C3470B7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294.1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2D503A8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160.8</w:t>
            </w:r>
            <w:r w:rsidRPr="001A6CC4">
              <w:rPr>
                <w:rFonts w:eastAsia="Times New Roman" w:cs="Times New Roman"/>
                <w:szCs w:val="24"/>
                <w:vertAlign w:val="superscript"/>
                <w:lang w:eastAsia="da-DK"/>
              </w:rPr>
              <w:t>Qt</w:t>
            </w:r>
          </w:p>
        </w:tc>
        <w:tc>
          <w:tcPr>
            <w:tcW w:w="1510" w:type="dxa"/>
            <w:tcBorders>
              <w:top w:val="single" w:sz="4" w:space="0" w:color="auto"/>
              <w:bottom w:val="nil"/>
            </w:tcBorders>
          </w:tcPr>
          <w:p w14:paraId="20FA2271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83</w:t>
            </w:r>
          </w:p>
        </w:tc>
        <w:tc>
          <w:tcPr>
            <w:tcW w:w="604" w:type="dxa"/>
            <w:tcBorders>
              <w:top w:val="single" w:sz="4" w:space="0" w:color="auto"/>
              <w:bottom w:val="nil"/>
            </w:tcBorders>
          </w:tcPr>
          <w:p w14:paraId="37081DCC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4</w:t>
            </w:r>
          </w:p>
        </w:tc>
      </w:tr>
      <w:tr w:rsidR="00195142" w:rsidRPr="001A6CC4" w14:paraId="2C300B90" w14:textId="77777777" w:rsidTr="00526159">
        <w:trPr>
          <w:trHeight w:val="210"/>
        </w:trPr>
        <w:tc>
          <w:tcPr>
            <w:tcW w:w="28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E622553" w14:textId="77777777" w:rsidR="00195142" w:rsidRPr="001A6CC4" w:rsidRDefault="00195142" w:rsidP="00526159">
            <w:pPr>
              <w:tabs>
                <w:tab w:val="left" w:pos="1127"/>
              </w:tabs>
              <w:spacing w:before="0" w:after="0"/>
              <w:rPr>
                <w:rFonts w:eastAsia="Times New Roman" w:cs="Times New Roman"/>
                <w:szCs w:val="24"/>
                <w:lang w:eastAsia="da-DK"/>
              </w:rPr>
            </w:pPr>
            <w:bookmarkStart w:id="0" w:name="_Hlk106873268"/>
            <w:r w:rsidRPr="001A6CC4">
              <w:rPr>
                <w:rFonts w:eastAsia="Times New Roman" w:cs="Times New Roman"/>
                <w:szCs w:val="24"/>
                <w:lang w:eastAsia="da-DK"/>
              </w:rPr>
              <w:t>pOH-benzaldehyde [M-H]</w:t>
            </w:r>
            <w:r w:rsidRPr="001A6CC4">
              <w:rPr>
                <w:rFonts w:eastAsia="Times New Roman" w:cs="Times New Roman"/>
                <w:szCs w:val="24"/>
                <w:vertAlign w:val="superscript"/>
                <w:lang w:eastAsia="da-DK"/>
              </w:rPr>
              <w:t>-</w:t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3EBC44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1.88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FC951BF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1"/>
            <w:bookmarkStart w:id="6" w:name="OLE_LINK12"/>
            <w:bookmarkStart w:id="7" w:name="OLE_LINK13"/>
            <w:bookmarkStart w:id="8" w:name="OLE_LINK14"/>
            <w:r w:rsidRPr="001A6CC4">
              <w:rPr>
                <w:rFonts w:eastAsia="Times New Roman" w:cs="Times New Roman"/>
                <w:szCs w:val="24"/>
                <w:lang w:eastAsia="da-DK"/>
              </w:rPr>
              <w:t>121.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1A6CC4">
              <w:rPr>
                <w:rFonts w:eastAsia="Times New Roman" w:cs="Times New Roman"/>
                <w:szCs w:val="24"/>
                <w:lang w:eastAsia="da-DK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51EC72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93.1</w:t>
            </w:r>
            <w:r w:rsidRPr="001A6CC4">
              <w:rPr>
                <w:rFonts w:eastAsia="Times New Roman" w:cs="Times New Roman"/>
                <w:szCs w:val="24"/>
                <w:vertAlign w:val="superscript"/>
                <w:lang w:eastAsia="da-DK"/>
              </w:rPr>
              <w:t>Qt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14:paraId="46E8A602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83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</w:tcPr>
          <w:p w14:paraId="66357756" w14:textId="77777777" w:rsidR="00195142" w:rsidRPr="001A6CC4" w:rsidRDefault="00195142" w:rsidP="00526159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da-DK"/>
              </w:rPr>
            </w:pPr>
            <w:r w:rsidRPr="001A6CC4">
              <w:rPr>
                <w:rFonts w:eastAsia="Times New Roman" w:cs="Times New Roman"/>
                <w:szCs w:val="24"/>
                <w:lang w:eastAsia="da-DK"/>
              </w:rPr>
              <w:t>28</w:t>
            </w:r>
          </w:p>
        </w:tc>
      </w:tr>
    </w:tbl>
    <w:bookmarkEnd w:id="0"/>
    <w:p w14:paraId="4A386DAD" w14:textId="77777777" w:rsidR="00195142" w:rsidRPr="001A6CC4" w:rsidRDefault="00195142" w:rsidP="00195142">
      <w:pPr>
        <w:spacing w:before="0" w:after="200" w:line="276" w:lineRule="auto"/>
        <w:rPr>
          <w:rFonts w:cs="Times New Roman"/>
          <w:szCs w:val="24"/>
        </w:rPr>
      </w:pPr>
      <w:r w:rsidRPr="001A6CC4">
        <w:rPr>
          <w:rFonts w:cs="Times New Roman"/>
          <w:noProof/>
          <w:szCs w:val="24"/>
        </w:rPr>
        <w:t>Qt = quantifier ion</w:t>
      </w:r>
      <w:r>
        <w:rPr>
          <w:rFonts w:cs="Times New Roman"/>
          <w:noProof/>
          <w:szCs w:val="24"/>
        </w:rPr>
        <w:t>, CE = collision energy</w:t>
      </w:r>
      <w:r w:rsidRPr="001A6CC4">
        <w:rPr>
          <w:rFonts w:cs="Times New Roman"/>
          <w:noProof/>
          <w:szCs w:val="24"/>
          <w:lang w:val="da-DK"/>
        </w:rPr>
        <w:fldChar w:fldCharType="begin"/>
      </w:r>
      <w:r w:rsidRPr="001A6CC4">
        <w:rPr>
          <w:rFonts w:cs="Times New Roman"/>
          <w:szCs w:val="24"/>
        </w:rPr>
        <w:instrText xml:space="preserve"> ADDIN EN.REFLIST </w:instrText>
      </w:r>
      <w:r w:rsidRPr="001A6CC4">
        <w:rPr>
          <w:rFonts w:cs="Times New Roman"/>
          <w:noProof/>
          <w:szCs w:val="24"/>
          <w:lang w:val="da-DK"/>
        </w:rPr>
        <w:fldChar w:fldCharType="end"/>
      </w:r>
    </w:p>
    <w:p w14:paraId="1384C1FE" w14:textId="77777777" w:rsidR="00195142" w:rsidRDefault="00195142" w:rsidP="00F143ED">
      <w:pPr>
        <w:pStyle w:val="Caption"/>
      </w:pPr>
    </w:p>
    <w:p w14:paraId="37F33B05" w14:textId="77777777" w:rsidR="00195142" w:rsidRDefault="00195142" w:rsidP="00F143ED">
      <w:pPr>
        <w:pStyle w:val="Caption"/>
      </w:pPr>
      <w:r>
        <w:br/>
      </w:r>
    </w:p>
    <w:p w14:paraId="78D38C85" w14:textId="77777777" w:rsidR="00195142" w:rsidRDefault="00195142">
      <w:pPr>
        <w:spacing w:before="0" w:after="200" w:line="276" w:lineRule="auto"/>
        <w:rPr>
          <w:rFonts w:cs="Times New Roman"/>
          <w:b/>
          <w:bCs/>
          <w:szCs w:val="24"/>
        </w:rPr>
      </w:pPr>
      <w:r>
        <w:br w:type="page"/>
      </w:r>
    </w:p>
    <w:p w14:paraId="6E733A21" w14:textId="75EB14CF" w:rsidR="00F143ED" w:rsidRDefault="00F143ED" w:rsidP="00F143ED">
      <w:pPr>
        <w:pStyle w:val="Caption"/>
        <w:rPr>
          <w:b w:val="0"/>
          <w:bCs w:val="0"/>
        </w:rPr>
      </w:pPr>
      <w:r>
        <w:t xml:space="preserve">Supplementary Table </w:t>
      </w:r>
      <w:r w:rsidR="00195142">
        <w:t>S</w:t>
      </w:r>
      <w:r w:rsidR="00C67F34">
        <w:t>3</w:t>
      </w:r>
      <w:r>
        <w:t xml:space="preserve">. </w:t>
      </w:r>
      <w:r w:rsidRPr="00481796">
        <w:rPr>
          <w:b w:val="0"/>
          <w:bCs w:val="0"/>
        </w:rPr>
        <w:t xml:space="preserve">Average absolute </w:t>
      </w:r>
      <w:r>
        <w:rPr>
          <w:b w:val="0"/>
          <w:bCs w:val="0"/>
        </w:rPr>
        <w:t xml:space="preserve">amounts </w:t>
      </w:r>
      <w:r w:rsidRPr="00481796">
        <w:rPr>
          <w:b w:val="0"/>
          <w:bCs w:val="0"/>
        </w:rPr>
        <w:t xml:space="preserve">and ratios of aromatic amino acids in tobacco plants after transient expression of </w:t>
      </w:r>
      <w:proofErr w:type="spellStart"/>
      <w:r w:rsidRPr="00481796">
        <w:rPr>
          <w:b w:val="0"/>
          <w:bCs w:val="0"/>
        </w:rPr>
        <w:t>pEAQ</w:t>
      </w:r>
      <w:proofErr w:type="spellEnd"/>
      <w:r w:rsidRPr="00481796">
        <w:rPr>
          <w:b w:val="0"/>
          <w:bCs w:val="0"/>
        </w:rPr>
        <w:t xml:space="preserve">-EV or </w:t>
      </w:r>
      <w:proofErr w:type="spellStart"/>
      <w:r w:rsidRPr="00481796">
        <w:rPr>
          <w:b w:val="0"/>
          <w:bCs w:val="0"/>
        </w:rPr>
        <w:t>pEAQ</w:t>
      </w:r>
      <w:proofErr w:type="spellEnd"/>
      <w:r w:rsidRPr="00481796">
        <w:rPr>
          <w:b w:val="0"/>
          <w:bCs w:val="0"/>
        </w:rPr>
        <w:t xml:space="preserve">-EV + </w:t>
      </w:r>
      <w:proofErr w:type="spellStart"/>
      <w:r w:rsidRPr="00481796">
        <w:rPr>
          <w:b w:val="0"/>
          <w:bCs w:val="0"/>
        </w:rPr>
        <w:t>pN-AroG</w:t>
      </w:r>
      <w:proofErr w:type="spellEnd"/>
      <w:r w:rsidRPr="00481796">
        <w:rPr>
          <w:b w:val="0"/>
          <w:bCs w:val="0"/>
        </w:rPr>
        <w:t xml:space="preserve">* construct. Concentrations measured on extracts from single leaves of similar age from individual plants (n=7 per </w:t>
      </w:r>
      <w:r>
        <w:rPr>
          <w:b w:val="0"/>
          <w:bCs w:val="0"/>
        </w:rPr>
        <w:t>condition</w:t>
      </w:r>
      <w:r w:rsidRPr="00481796">
        <w:rPr>
          <w:b w:val="0"/>
          <w:bCs w:val="0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1"/>
        <w:gridCol w:w="1701"/>
        <w:gridCol w:w="2410"/>
      </w:tblGrid>
      <w:tr w:rsidR="00F143ED" w:rsidRPr="00B61A24" w14:paraId="16624C56" w14:textId="77777777" w:rsidTr="00271D64">
        <w:tc>
          <w:tcPr>
            <w:tcW w:w="2410" w:type="dxa"/>
            <w:tcBorders>
              <w:top w:val="single" w:sz="4" w:space="0" w:color="auto"/>
            </w:tcBorders>
          </w:tcPr>
          <w:p w14:paraId="5589E937" w14:textId="77777777" w:rsidR="00F143ED" w:rsidRPr="00B61A24" w:rsidRDefault="00F143ED" w:rsidP="00271D64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6C4CC1B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B61A24">
              <w:rPr>
                <w:rFonts w:cs="Times New Roman"/>
              </w:rPr>
              <w:t>pEAQ</w:t>
            </w:r>
            <w:proofErr w:type="spellEnd"/>
            <w:r w:rsidRPr="00B61A24">
              <w:rPr>
                <w:rFonts w:cs="Times New Roman"/>
              </w:rPr>
              <w:t>-EV</w:t>
            </w:r>
          </w:p>
          <w:p w14:paraId="66D6FB94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7E397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B61A24">
              <w:rPr>
                <w:rFonts w:cs="Times New Roman"/>
              </w:rPr>
              <w:t>pEAQ</w:t>
            </w:r>
            <w:proofErr w:type="spellEnd"/>
            <w:r w:rsidRPr="00B61A24">
              <w:rPr>
                <w:rFonts w:cs="Times New Roman"/>
              </w:rPr>
              <w:t xml:space="preserve">-EV + </w:t>
            </w:r>
            <w:proofErr w:type="spellStart"/>
            <w:r w:rsidRPr="00B61A24">
              <w:rPr>
                <w:rFonts w:cs="Times New Roman"/>
              </w:rPr>
              <w:t>pN-AroG</w:t>
            </w:r>
            <w:proofErr w:type="spellEnd"/>
            <w:r w:rsidRPr="00B61A24">
              <w:rPr>
                <w:rFonts w:cs="Times New Roman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6EE51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 xml:space="preserve">Ratio </w:t>
            </w:r>
          </w:p>
          <w:p w14:paraId="6A56936A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(</w:t>
            </w:r>
            <w:proofErr w:type="spellStart"/>
            <w:r w:rsidRPr="00B61A24">
              <w:rPr>
                <w:rFonts w:cs="Times New Roman"/>
              </w:rPr>
              <w:t>AroG</w:t>
            </w:r>
            <w:proofErr w:type="spellEnd"/>
            <w:r w:rsidRPr="00B61A24">
              <w:rPr>
                <w:rFonts w:cs="Times New Roman"/>
              </w:rPr>
              <w:t>*/EV)</w:t>
            </w:r>
          </w:p>
        </w:tc>
      </w:tr>
      <w:tr w:rsidR="00F143ED" w:rsidRPr="00B61A24" w14:paraId="7BF82832" w14:textId="77777777" w:rsidTr="00271D64">
        <w:tc>
          <w:tcPr>
            <w:tcW w:w="2410" w:type="dxa"/>
            <w:tcBorders>
              <w:bottom w:val="single" w:sz="12" w:space="0" w:color="auto"/>
            </w:tcBorders>
          </w:tcPr>
          <w:p w14:paraId="54173843" w14:textId="77777777" w:rsidR="00F143ED" w:rsidRPr="00B61A24" w:rsidRDefault="00F143ED" w:rsidP="00271D64">
            <w:pPr>
              <w:spacing w:before="0" w:after="0"/>
              <w:rPr>
                <w:rFonts w:cs="Times New Roman"/>
              </w:rPr>
            </w:pPr>
            <w:r w:rsidRPr="00B61A24">
              <w:rPr>
                <w:rFonts w:cs="Times New Roman"/>
              </w:rPr>
              <w:t>Amino acid</w:t>
            </w:r>
          </w:p>
        </w:tc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14:paraId="19D644F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  <w:i/>
                <w:iCs/>
              </w:rPr>
            </w:pPr>
            <w:r w:rsidRPr="00B61A24">
              <w:rPr>
                <w:rFonts w:cs="Times New Roman"/>
                <w:i/>
                <w:iCs/>
                <w:sz w:val="20"/>
                <w:szCs w:val="20"/>
              </w:rPr>
              <w:t>nmol gFW</w:t>
            </w:r>
            <w:r w:rsidRPr="00B61A24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C1FD34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F143ED" w:rsidRPr="00B61A24" w14:paraId="49D21147" w14:textId="77777777" w:rsidTr="00271D64">
        <w:tc>
          <w:tcPr>
            <w:tcW w:w="2410" w:type="dxa"/>
            <w:tcBorders>
              <w:top w:val="single" w:sz="12" w:space="0" w:color="auto"/>
            </w:tcBorders>
            <w:vAlign w:val="bottom"/>
          </w:tcPr>
          <w:p w14:paraId="7A2B0038" w14:textId="77777777" w:rsidR="00F143ED" w:rsidRPr="00B61A24" w:rsidRDefault="00F143ED" w:rsidP="00271D64">
            <w:pPr>
              <w:spacing w:before="0" w:after="0"/>
              <w:rPr>
                <w:rFonts w:cs="Times New Roman"/>
              </w:rPr>
            </w:pPr>
            <w:r w:rsidRPr="00B61A24">
              <w:rPr>
                <w:rFonts w:cs="Times New Roman"/>
              </w:rPr>
              <w:t>Ala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14:paraId="5EB4608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37.3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E6E79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30.7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bottom"/>
          </w:tcPr>
          <w:p w14:paraId="5D4F6492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0.8</w:t>
            </w:r>
          </w:p>
        </w:tc>
      </w:tr>
      <w:tr w:rsidR="00F143ED" w:rsidRPr="00B61A24" w14:paraId="42775450" w14:textId="77777777" w:rsidTr="00271D64">
        <w:tc>
          <w:tcPr>
            <w:tcW w:w="2410" w:type="dxa"/>
            <w:vAlign w:val="bottom"/>
          </w:tcPr>
          <w:p w14:paraId="1AED9B46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Arg</w:t>
            </w:r>
          </w:p>
        </w:tc>
        <w:tc>
          <w:tcPr>
            <w:tcW w:w="1271" w:type="dxa"/>
          </w:tcPr>
          <w:p w14:paraId="286A9509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2.8</w:t>
            </w:r>
          </w:p>
        </w:tc>
        <w:tc>
          <w:tcPr>
            <w:tcW w:w="1701" w:type="dxa"/>
          </w:tcPr>
          <w:p w14:paraId="1BE4547C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18.1</w:t>
            </w:r>
          </w:p>
        </w:tc>
        <w:tc>
          <w:tcPr>
            <w:tcW w:w="2410" w:type="dxa"/>
            <w:vAlign w:val="bottom"/>
          </w:tcPr>
          <w:p w14:paraId="2189E73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6.5</w:t>
            </w:r>
          </w:p>
        </w:tc>
      </w:tr>
      <w:tr w:rsidR="00F143ED" w:rsidRPr="00B61A24" w14:paraId="1AEE1852" w14:textId="77777777" w:rsidTr="00271D64">
        <w:tc>
          <w:tcPr>
            <w:tcW w:w="2410" w:type="dxa"/>
            <w:vAlign w:val="bottom"/>
          </w:tcPr>
          <w:p w14:paraId="76EA5128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proofErr w:type="spellStart"/>
            <w:r w:rsidRPr="00B61A24">
              <w:rPr>
                <w:rFonts w:cs="Times New Roman"/>
              </w:rPr>
              <w:t>Asn</w:t>
            </w:r>
            <w:proofErr w:type="spellEnd"/>
          </w:p>
        </w:tc>
        <w:tc>
          <w:tcPr>
            <w:tcW w:w="1271" w:type="dxa"/>
          </w:tcPr>
          <w:p w14:paraId="16387268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29.7</w:t>
            </w:r>
          </w:p>
        </w:tc>
        <w:tc>
          <w:tcPr>
            <w:tcW w:w="1701" w:type="dxa"/>
          </w:tcPr>
          <w:p w14:paraId="0E89B176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19.9</w:t>
            </w:r>
          </w:p>
        </w:tc>
        <w:tc>
          <w:tcPr>
            <w:tcW w:w="2410" w:type="dxa"/>
            <w:vAlign w:val="bottom"/>
          </w:tcPr>
          <w:p w14:paraId="5369BFC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0.7</w:t>
            </w:r>
          </w:p>
        </w:tc>
      </w:tr>
      <w:tr w:rsidR="00F143ED" w:rsidRPr="00B61A24" w14:paraId="3315174E" w14:textId="77777777" w:rsidTr="00271D64">
        <w:tc>
          <w:tcPr>
            <w:tcW w:w="2410" w:type="dxa"/>
            <w:vAlign w:val="bottom"/>
          </w:tcPr>
          <w:p w14:paraId="3B27C706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Asp</w:t>
            </w:r>
          </w:p>
        </w:tc>
        <w:tc>
          <w:tcPr>
            <w:tcW w:w="1271" w:type="dxa"/>
          </w:tcPr>
          <w:p w14:paraId="000B04BB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80.0</w:t>
            </w:r>
          </w:p>
        </w:tc>
        <w:tc>
          <w:tcPr>
            <w:tcW w:w="1701" w:type="dxa"/>
          </w:tcPr>
          <w:p w14:paraId="41C11B5A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64.9</w:t>
            </w:r>
          </w:p>
        </w:tc>
        <w:tc>
          <w:tcPr>
            <w:tcW w:w="2410" w:type="dxa"/>
            <w:vAlign w:val="bottom"/>
          </w:tcPr>
          <w:p w14:paraId="284325F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0.8</w:t>
            </w:r>
          </w:p>
        </w:tc>
      </w:tr>
      <w:tr w:rsidR="00F143ED" w:rsidRPr="00B61A24" w14:paraId="303E1486" w14:textId="77777777" w:rsidTr="00271D64">
        <w:tc>
          <w:tcPr>
            <w:tcW w:w="2410" w:type="dxa"/>
            <w:vAlign w:val="bottom"/>
          </w:tcPr>
          <w:p w14:paraId="4B2BCE3F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Glu</w:t>
            </w:r>
          </w:p>
        </w:tc>
        <w:tc>
          <w:tcPr>
            <w:tcW w:w="1271" w:type="dxa"/>
          </w:tcPr>
          <w:p w14:paraId="6A94289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216.2</w:t>
            </w:r>
          </w:p>
        </w:tc>
        <w:tc>
          <w:tcPr>
            <w:tcW w:w="1701" w:type="dxa"/>
          </w:tcPr>
          <w:p w14:paraId="50E623AA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132.2</w:t>
            </w:r>
          </w:p>
        </w:tc>
        <w:tc>
          <w:tcPr>
            <w:tcW w:w="2410" w:type="dxa"/>
            <w:vAlign w:val="bottom"/>
          </w:tcPr>
          <w:p w14:paraId="27F2FF6F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0.6</w:t>
            </w:r>
          </w:p>
        </w:tc>
      </w:tr>
      <w:tr w:rsidR="00F143ED" w:rsidRPr="00B61A24" w14:paraId="559A49EA" w14:textId="77777777" w:rsidTr="00271D64">
        <w:tc>
          <w:tcPr>
            <w:tcW w:w="2410" w:type="dxa"/>
            <w:vAlign w:val="bottom"/>
          </w:tcPr>
          <w:p w14:paraId="58A6324B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Gln</w:t>
            </w:r>
          </w:p>
        </w:tc>
        <w:tc>
          <w:tcPr>
            <w:tcW w:w="1271" w:type="dxa"/>
          </w:tcPr>
          <w:p w14:paraId="7AE44A5F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712.7</w:t>
            </w:r>
          </w:p>
        </w:tc>
        <w:tc>
          <w:tcPr>
            <w:tcW w:w="1701" w:type="dxa"/>
          </w:tcPr>
          <w:p w14:paraId="23062AA1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774.7</w:t>
            </w:r>
          </w:p>
        </w:tc>
        <w:tc>
          <w:tcPr>
            <w:tcW w:w="2410" w:type="dxa"/>
            <w:vAlign w:val="bottom"/>
          </w:tcPr>
          <w:p w14:paraId="3E9E2FB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1.1</w:t>
            </w:r>
          </w:p>
        </w:tc>
      </w:tr>
      <w:tr w:rsidR="00F143ED" w:rsidRPr="00B61A24" w14:paraId="5C511280" w14:textId="77777777" w:rsidTr="00271D64">
        <w:tc>
          <w:tcPr>
            <w:tcW w:w="2410" w:type="dxa"/>
            <w:vAlign w:val="bottom"/>
          </w:tcPr>
          <w:p w14:paraId="1B127133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His</w:t>
            </w:r>
          </w:p>
        </w:tc>
        <w:tc>
          <w:tcPr>
            <w:tcW w:w="1271" w:type="dxa"/>
          </w:tcPr>
          <w:p w14:paraId="2D8D672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1.7</w:t>
            </w:r>
          </w:p>
        </w:tc>
        <w:tc>
          <w:tcPr>
            <w:tcW w:w="1701" w:type="dxa"/>
          </w:tcPr>
          <w:p w14:paraId="24BC0549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9.9</w:t>
            </w:r>
          </w:p>
        </w:tc>
        <w:tc>
          <w:tcPr>
            <w:tcW w:w="2410" w:type="dxa"/>
            <w:vAlign w:val="bottom"/>
          </w:tcPr>
          <w:p w14:paraId="5C23967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5.9</w:t>
            </w:r>
          </w:p>
        </w:tc>
      </w:tr>
      <w:tr w:rsidR="00F143ED" w:rsidRPr="00B61A24" w14:paraId="6014E9EE" w14:textId="77777777" w:rsidTr="00271D64">
        <w:tc>
          <w:tcPr>
            <w:tcW w:w="2410" w:type="dxa"/>
            <w:vAlign w:val="bottom"/>
          </w:tcPr>
          <w:p w14:paraId="2D3F9137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Ile</w:t>
            </w:r>
          </w:p>
        </w:tc>
        <w:tc>
          <w:tcPr>
            <w:tcW w:w="1271" w:type="dxa"/>
          </w:tcPr>
          <w:p w14:paraId="7AB2C73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5.0</w:t>
            </w:r>
          </w:p>
        </w:tc>
        <w:tc>
          <w:tcPr>
            <w:tcW w:w="1701" w:type="dxa"/>
          </w:tcPr>
          <w:p w14:paraId="379179D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27.0</w:t>
            </w:r>
          </w:p>
        </w:tc>
        <w:tc>
          <w:tcPr>
            <w:tcW w:w="2410" w:type="dxa"/>
            <w:vAlign w:val="bottom"/>
          </w:tcPr>
          <w:p w14:paraId="62FB5C68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5.4</w:t>
            </w:r>
          </w:p>
        </w:tc>
      </w:tr>
      <w:tr w:rsidR="00F143ED" w:rsidRPr="00B61A24" w14:paraId="4B51F67C" w14:textId="77777777" w:rsidTr="00271D64">
        <w:tc>
          <w:tcPr>
            <w:tcW w:w="2410" w:type="dxa"/>
            <w:vAlign w:val="bottom"/>
          </w:tcPr>
          <w:p w14:paraId="1D5F3BBC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Leu</w:t>
            </w:r>
          </w:p>
        </w:tc>
        <w:tc>
          <w:tcPr>
            <w:tcW w:w="1271" w:type="dxa"/>
          </w:tcPr>
          <w:p w14:paraId="698360D4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7.7</w:t>
            </w:r>
          </w:p>
        </w:tc>
        <w:tc>
          <w:tcPr>
            <w:tcW w:w="1701" w:type="dxa"/>
          </w:tcPr>
          <w:p w14:paraId="7026946E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45.4</w:t>
            </w:r>
          </w:p>
        </w:tc>
        <w:tc>
          <w:tcPr>
            <w:tcW w:w="2410" w:type="dxa"/>
            <w:vAlign w:val="bottom"/>
          </w:tcPr>
          <w:p w14:paraId="131943F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5.9</w:t>
            </w:r>
          </w:p>
        </w:tc>
      </w:tr>
      <w:tr w:rsidR="00F143ED" w:rsidRPr="00B61A24" w14:paraId="712D3A09" w14:textId="77777777" w:rsidTr="00271D64">
        <w:tc>
          <w:tcPr>
            <w:tcW w:w="2410" w:type="dxa"/>
            <w:vAlign w:val="bottom"/>
          </w:tcPr>
          <w:p w14:paraId="2269C805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Lys</w:t>
            </w:r>
          </w:p>
        </w:tc>
        <w:tc>
          <w:tcPr>
            <w:tcW w:w="1271" w:type="dxa"/>
          </w:tcPr>
          <w:p w14:paraId="4F2B1A8B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156.8</w:t>
            </w:r>
          </w:p>
        </w:tc>
        <w:tc>
          <w:tcPr>
            <w:tcW w:w="1701" w:type="dxa"/>
          </w:tcPr>
          <w:p w14:paraId="43A61F36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184.0</w:t>
            </w:r>
          </w:p>
        </w:tc>
        <w:tc>
          <w:tcPr>
            <w:tcW w:w="2410" w:type="dxa"/>
            <w:vAlign w:val="bottom"/>
          </w:tcPr>
          <w:p w14:paraId="570836DA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1.2</w:t>
            </w:r>
          </w:p>
        </w:tc>
      </w:tr>
      <w:tr w:rsidR="00F143ED" w:rsidRPr="00B61A24" w14:paraId="2732F6B6" w14:textId="77777777" w:rsidTr="00271D64">
        <w:tc>
          <w:tcPr>
            <w:tcW w:w="2410" w:type="dxa"/>
            <w:vAlign w:val="bottom"/>
          </w:tcPr>
          <w:p w14:paraId="6F185A3C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Met</w:t>
            </w:r>
          </w:p>
        </w:tc>
        <w:tc>
          <w:tcPr>
            <w:tcW w:w="1271" w:type="dxa"/>
          </w:tcPr>
          <w:p w14:paraId="144AB074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1.0</w:t>
            </w:r>
          </w:p>
        </w:tc>
        <w:tc>
          <w:tcPr>
            <w:tcW w:w="1701" w:type="dxa"/>
          </w:tcPr>
          <w:p w14:paraId="106000F9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1.8</w:t>
            </w:r>
          </w:p>
        </w:tc>
        <w:tc>
          <w:tcPr>
            <w:tcW w:w="2410" w:type="dxa"/>
            <w:vAlign w:val="bottom"/>
          </w:tcPr>
          <w:p w14:paraId="4E12181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1.9</w:t>
            </w:r>
          </w:p>
        </w:tc>
      </w:tr>
      <w:tr w:rsidR="00F143ED" w:rsidRPr="00B61A24" w14:paraId="42C08436" w14:textId="77777777" w:rsidTr="00271D64">
        <w:tc>
          <w:tcPr>
            <w:tcW w:w="2410" w:type="dxa"/>
            <w:vAlign w:val="bottom"/>
          </w:tcPr>
          <w:p w14:paraId="692F5B1D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proofErr w:type="spellStart"/>
            <w:r w:rsidRPr="00B61A24">
              <w:rPr>
                <w:rFonts w:cs="Times New Roman"/>
              </w:rPr>
              <w:t>Phe</w:t>
            </w:r>
            <w:proofErr w:type="spellEnd"/>
          </w:p>
        </w:tc>
        <w:tc>
          <w:tcPr>
            <w:tcW w:w="1271" w:type="dxa"/>
          </w:tcPr>
          <w:p w14:paraId="58C74DD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12.0</w:t>
            </w:r>
          </w:p>
        </w:tc>
        <w:tc>
          <w:tcPr>
            <w:tcW w:w="1701" w:type="dxa"/>
          </w:tcPr>
          <w:p w14:paraId="7100FC1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1374.0</w:t>
            </w:r>
          </w:p>
        </w:tc>
        <w:tc>
          <w:tcPr>
            <w:tcW w:w="2410" w:type="dxa"/>
            <w:vAlign w:val="bottom"/>
          </w:tcPr>
          <w:p w14:paraId="4DD36B19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114.8</w:t>
            </w:r>
          </w:p>
        </w:tc>
      </w:tr>
      <w:tr w:rsidR="00F143ED" w:rsidRPr="00B61A24" w14:paraId="3FCD9109" w14:textId="77777777" w:rsidTr="00271D64">
        <w:tc>
          <w:tcPr>
            <w:tcW w:w="2410" w:type="dxa"/>
            <w:vAlign w:val="bottom"/>
          </w:tcPr>
          <w:p w14:paraId="6E9CD532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Pro</w:t>
            </w:r>
          </w:p>
        </w:tc>
        <w:tc>
          <w:tcPr>
            <w:tcW w:w="1271" w:type="dxa"/>
          </w:tcPr>
          <w:p w14:paraId="11ABC73E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311.3</w:t>
            </w:r>
          </w:p>
        </w:tc>
        <w:tc>
          <w:tcPr>
            <w:tcW w:w="1701" w:type="dxa"/>
          </w:tcPr>
          <w:p w14:paraId="0607548B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377.1</w:t>
            </w:r>
          </w:p>
        </w:tc>
        <w:tc>
          <w:tcPr>
            <w:tcW w:w="2410" w:type="dxa"/>
            <w:vAlign w:val="bottom"/>
          </w:tcPr>
          <w:p w14:paraId="624302C1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1.2</w:t>
            </w:r>
          </w:p>
        </w:tc>
      </w:tr>
      <w:tr w:rsidR="00F143ED" w:rsidRPr="00B61A24" w14:paraId="3F7E30A4" w14:textId="77777777" w:rsidTr="00271D64">
        <w:tc>
          <w:tcPr>
            <w:tcW w:w="2410" w:type="dxa"/>
            <w:vAlign w:val="bottom"/>
          </w:tcPr>
          <w:p w14:paraId="4C41E7D3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Ser</w:t>
            </w:r>
          </w:p>
        </w:tc>
        <w:tc>
          <w:tcPr>
            <w:tcW w:w="1271" w:type="dxa"/>
          </w:tcPr>
          <w:p w14:paraId="1767768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49.0</w:t>
            </w:r>
          </w:p>
        </w:tc>
        <w:tc>
          <w:tcPr>
            <w:tcW w:w="1701" w:type="dxa"/>
          </w:tcPr>
          <w:p w14:paraId="773AC998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54.1</w:t>
            </w:r>
          </w:p>
        </w:tc>
        <w:tc>
          <w:tcPr>
            <w:tcW w:w="2410" w:type="dxa"/>
            <w:vAlign w:val="bottom"/>
          </w:tcPr>
          <w:p w14:paraId="2554C109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1.1</w:t>
            </w:r>
          </w:p>
        </w:tc>
      </w:tr>
      <w:tr w:rsidR="00F143ED" w:rsidRPr="00B61A24" w14:paraId="2F62EA39" w14:textId="77777777" w:rsidTr="00271D64">
        <w:tc>
          <w:tcPr>
            <w:tcW w:w="2410" w:type="dxa"/>
            <w:vAlign w:val="bottom"/>
          </w:tcPr>
          <w:p w14:paraId="671CCA29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proofErr w:type="spellStart"/>
            <w:r w:rsidRPr="00B61A24">
              <w:rPr>
                <w:rFonts w:cs="Times New Roman"/>
              </w:rPr>
              <w:t>Thr</w:t>
            </w:r>
            <w:proofErr w:type="spellEnd"/>
          </w:p>
        </w:tc>
        <w:tc>
          <w:tcPr>
            <w:tcW w:w="1271" w:type="dxa"/>
          </w:tcPr>
          <w:p w14:paraId="568464C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21.7</w:t>
            </w:r>
          </w:p>
        </w:tc>
        <w:tc>
          <w:tcPr>
            <w:tcW w:w="1701" w:type="dxa"/>
          </w:tcPr>
          <w:p w14:paraId="301B16FD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32.2</w:t>
            </w:r>
          </w:p>
        </w:tc>
        <w:tc>
          <w:tcPr>
            <w:tcW w:w="2410" w:type="dxa"/>
            <w:vAlign w:val="bottom"/>
          </w:tcPr>
          <w:p w14:paraId="1A4DA295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1.5</w:t>
            </w:r>
          </w:p>
        </w:tc>
      </w:tr>
      <w:tr w:rsidR="00F143ED" w:rsidRPr="00B61A24" w14:paraId="139C3FB3" w14:textId="77777777" w:rsidTr="00271D64">
        <w:tc>
          <w:tcPr>
            <w:tcW w:w="2410" w:type="dxa"/>
            <w:vAlign w:val="bottom"/>
          </w:tcPr>
          <w:p w14:paraId="00C05A1D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proofErr w:type="spellStart"/>
            <w:r w:rsidRPr="00B61A24">
              <w:rPr>
                <w:rFonts w:cs="Times New Roman"/>
              </w:rPr>
              <w:t>Trp</w:t>
            </w:r>
            <w:proofErr w:type="spellEnd"/>
          </w:p>
        </w:tc>
        <w:tc>
          <w:tcPr>
            <w:tcW w:w="1271" w:type="dxa"/>
          </w:tcPr>
          <w:p w14:paraId="6E4DAFFF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0.6</w:t>
            </w:r>
          </w:p>
        </w:tc>
        <w:tc>
          <w:tcPr>
            <w:tcW w:w="1701" w:type="dxa"/>
          </w:tcPr>
          <w:p w14:paraId="3565C2F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21.3</w:t>
            </w:r>
          </w:p>
        </w:tc>
        <w:tc>
          <w:tcPr>
            <w:tcW w:w="2410" w:type="dxa"/>
            <w:vAlign w:val="bottom"/>
          </w:tcPr>
          <w:p w14:paraId="1BF4A64B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36.7</w:t>
            </w:r>
          </w:p>
        </w:tc>
      </w:tr>
      <w:tr w:rsidR="00F143ED" w:rsidRPr="00B61A24" w14:paraId="678E1BD6" w14:textId="77777777" w:rsidTr="00271D64">
        <w:tc>
          <w:tcPr>
            <w:tcW w:w="2410" w:type="dxa"/>
            <w:vAlign w:val="bottom"/>
          </w:tcPr>
          <w:p w14:paraId="6C446F32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Tyr</w:t>
            </w:r>
          </w:p>
        </w:tc>
        <w:tc>
          <w:tcPr>
            <w:tcW w:w="1271" w:type="dxa"/>
          </w:tcPr>
          <w:p w14:paraId="186AC1B6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5.8</w:t>
            </w:r>
          </w:p>
        </w:tc>
        <w:tc>
          <w:tcPr>
            <w:tcW w:w="1701" w:type="dxa"/>
          </w:tcPr>
          <w:p w14:paraId="5296100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286.3</w:t>
            </w:r>
          </w:p>
        </w:tc>
        <w:tc>
          <w:tcPr>
            <w:tcW w:w="2410" w:type="dxa"/>
            <w:vAlign w:val="bottom"/>
          </w:tcPr>
          <w:p w14:paraId="61F0A245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49.4</w:t>
            </w:r>
          </w:p>
        </w:tc>
      </w:tr>
      <w:tr w:rsidR="00F143ED" w:rsidRPr="00B61A24" w14:paraId="47D57EA4" w14:textId="77777777" w:rsidTr="00271D64">
        <w:tc>
          <w:tcPr>
            <w:tcW w:w="2410" w:type="dxa"/>
            <w:vAlign w:val="bottom"/>
          </w:tcPr>
          <w:p w14:paraId="51CEDABA" w14:textId="77777777" w:rsidR="00F143ED" w:rsidRPr="00B61A24" w:rsidRDefault="00F143ED" w:rsidP="00271D64">
            <w:pPr>
              <w:spacing w:before="0" w:after="0"/>
              <w:rPr>
                <w:rFonts w:cs="Times New Roman"/>
                <w:vertAlign w:val="superscript"/>
              </w:rPr>
            </w:pPr>
            <w:r w:rsidRPr="00B61A24">
              <w:rPr>
                <w:rFonts w:cs="Times New Roman"/>
              </w:rPr>
              <w:t>Val</w:t>
            </w:r>
          </w:p>
        </w:tc>
        <w:tc>
          <w:tcPr>
            <w:tcW w:w="1271" w:type="dxa"/>
          </w:tcPr>
          <w:p w14:paraId="07A9E053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12.1</w:t>
            </w:r>
          </w:p>
        </w:tc>
        <w:tc>
          <w:tcPr>
            <w:tcW w:w="1701" w:type="dxa"/>
          </w:tcPr>
          <w:p w14:paraId="1B0F7FF6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37.3</w:t>
            </w:r>
          </w:p>
        </w:tc>
        <w:tc>
          <w:tcPr>
            <w:tcW w:w="2410" w:type="dxa"/>
            <w:vAlign w:val="bottom"/>
          </w:tcPr>
          <w:p w14:paraId="3CACAF7F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3.1</w:t>
            </w:r>
          </w:p>
        </w:tc>
      </w:tr>
      <w:tr w:rsidR="00F143ED" w:rsidRPr="00B61A24" w14:paraId="17548F62" w14:textId="77777777" w:rsidTr="00271D64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4683BCF" w14:textId="77777777" w:rsidR="00F143ED" w:rsidRPr="00B61A24" w:rsidRDefault="00F143ED" w:rsidP="00271D64">
            <w:pPr>
              <w:spacing w:before="0" w:after="0"/>
              <w:rPr>
                <w:rFonts w:cs="Times New Roman"/>
              </w:rPr>
            </w:pPr>
            <w:r w:rsidRPr="00B61A24">
              <w:rPr>
                <w:rFonts w:cs="Times New Roman"/>
              </w:rPr>
              <w:t>Total amino acids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DCB5310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1663.1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3E3EA4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  <w:r w:rsidRPr="00B61A24">
              <w:rPr>
                <w:rFonts w:cs="Times New Roman"/>
              </w:rPr>
              <w:t>3491.0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AF5EB67" w14:textId="77777777" w:rsidR="00F143ED" w:rsidRPr="00B61A24" w:rsidRDefault="00F143ED" w:rsidP="00271D64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14:paraId="220D6896" w14:textId="77777777" w:rsidR="00F143ED" w:rsidRDefault="00F143ED" w:rsidP="00F143ED">
      <w:pPr>
        <w:pStyle w:val="Caption"/>
        <w:rPr>
          <w:rFonts w:eastAsia="Cambria"/>
          <w:b w:val="0"/>
        </w:rPr>
      </w:pPr>
      <w:r>
        <w:rPr>
          <w:rFonts w:eastAsia="Cambria"/>
          <w:b w:val="0"/>
        </w:rPr>
        <w:br w:type="page"/>
      </w:r>
    </w:p>
    <w:p w14:paraId="5DEECCC9" w14:textId="1214E768" w:rsidR="00B24C13" w:rsidRPr="00B24C13" w:rsidRDefault="00B24C13" w:rsidP="00B24C13">
      <w:pPr>
        <w:pStyle w:val="Caption"/>
        <w:rPr>
          <w:b w:val="0"/>
          <w:bCs w:val="0"/>
        </w:rPr>
      </w:pPr>
      <w:bookmarkStart w:id="9" w:name="OLE_LINK59"/>
      <w:bookmarkStart w:id="10" w:name="OLE_LINK60"/>
      <w:bookmarkStart w:id="11" w:name="OLE_LINK61"/>
      <w:r>
        <w:t xml:space="preserve">Supplementary </w:t>
      </w:r>
      <w:bookmarkEnd w:id="9"/>
      <w:bookmarkEnd w:id="10"/>
      <w:bookmarkEnd w:id="11"/>
      <w:r>
        <w:t xml:space="preserve">Table </w:t>
      </w:r>
      <w:r w:rsidR="00195142">
        <w:t>S</w:t>
      </w:r>
      <w:r w:rsidR="00C67F34">
        <w:t>4</w:t>
      </w:r>
      <w:r>
        <w:t xml:space="preserve">. </w:t>
      </w:r>
      <w:r w:rsidR="00A559ED">
        <w:rPr>
          <w:b w:val="0"/>
          <w:bCs w:val="0"/>
        </w:rPr>
        <w:t>Average t</w:t>
      </w:r>
      <w:r w:rsidR="00A559ED" w:rsidRPr="00A559ED">
        <w:rPr>
          <w:b w:val="0"/>
          <w:bCs w:val="0"/>
        </w:rPr>
        <w:t xml:space="preserve">hermodynamic parameters for binding of FMN to flavodoxins calculated from </w:t>
      </w:r>
      <w:r w:rsidR="00A559ED">
        <w:rPr>
          <w:b w:val="0"/>
          <w:bCs w:val="0"/>
        </w:rPr>
        <w:t xml:space="preserve">3 technical replicate </w:t>
      </w:r>
      <w:r w:rsidR="00A559ED" w:rsidRPr="00A559ED">
        <w:rPr>
          <w:b w:val="0"/>
          <w:bCs w:val="0"/>
        </w:rPr>
        <w:t>ITC</w:t>
      </w:r>
      <w:r w:rsidR="00A559ED">
        <w:rPr>
          <w:b w:val="0"/>
          <w:bCs w:val="0"/>
        </w:rPr>
        <w:t xml:space="preserve"> titrations for each flavodoxin</w:t>
      </w:r>
      <w:r w:rsidR="00A559ED" w:rsidRPr="00A559ED">
        <w:rPr>
          <w:b w:val="0"/>
          <w:bCs w:val="0"/>
        </w:rPr>
        <w:t>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199"/>
        <w:gridCol w:w="1559"/>
        <w:gridCol w:w="1500"/>
        <w:gridCol w:w="1500"/>
        <w:gridCol w:w="1722"/>
      </w:tblGrid>
      <w:tr w:rsidR="00B24C13" w:rsidRPr="00FF65A8" w14:paraId="1828A15F" w14:textId="77777777" w:rsidTr="00295FAC">
        <w:trPr>
          <w:trHeight w:val="300"/>
        </w:trPr>
        <w:tc>
          <w:tcPr>
            <w:tcW w:w="21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6042" w14:textId="77777777" w:rsidR="00B24C13" w:rsidRPr="00FF65A8" w:rsidRDefault="00B24C13" w:rsidP="00295FAC">
            <w:pPr>
              <w:spacing w:after="0"/>
              <w:rPr>
                <w:rFonts w:eastAsia="Times New Roman" w:cs="Times New Roman"/>
                <w:color w:val="000000"/>
                <w:lang w:eastAsia="da-DK"/>
              </w:rPr>
            </w:pPr>
            <w:r w:rsidRPr="00FF65A8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  <w:p w14:paraId="34FF9B7E" w14:textId="77777777" w:rsidR="00B24C13" w:rsidRPr="00FF65A8" w:rsidRDefault="00B24C13" w:rsidP="00295FAC">
            <w:pPr>
              <w:spacing w:after="0"/>
              <w:rPr>
                <w:rFonts w:eastAsia="Times New Roman" w:cs="Times New Roman"/>
                <w:color w:val="000000"/>
                <w:lang w:eastAsia="da-DK"/>
              </w:rPr>
            </w:pPr>
            <w:r w:rsidRPr="00FF65A8">
              <w:rPr>
                <w:rFonts w:eastAsia="Times New Roman" w:cs="Times New Roman"/>
                <w:color w:val="000000"/>
                <w:lang w:eastAsia="da-DK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109B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val="da-DK" w:eastAsia="da-DK"/>
              </w:rPr>
            </w:pPr>
            <w:r w:rsidRPr="00FF65A8">
              <w:rPr>
                <w:rFonts w:cs="Times New Roman"/>
                <w:i/>
                <w:iCs/>
                <w:color w:val="000000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F05D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FF65A8">
              <w:rPr>
                <w:rFonts w:cs="Times New Roman"/>
                <w:i/>
                <w:iCs/>
                <w:color w:val="000000"/>
              </w:rPr>
              <w:t>K</w:t>
            </w:r>
            <w:r w:rsidRPr="00FF65A8">
              <w:rPr>
                <w:rFonts w:cs="Times New Roman"/>
                <w:i/>
                <w:iCs/>
                <w:color w:val="000000"/>
                <w:vertAlign w:val="subscript"/>
              </w:rPr>
              <w:t>D</w:t>
            </w:r>
            <w:r w:rsidRPr="00FF65A8">
              <w:rPr>
                <w:rFonts w:cs="Times New Roman"/>
                <w:i/>
                <w:iCs/>
                <w:color w:val="000000"/>
              </w:rPr>
              <w:t xml:space="preserve"> </w:t>
            </w:r>
          </w:p>
          <w:p w14:paraId="0B7BE266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cs="Times New Roman"/>
                <w:color w:val="000000"/>
              </w:rPr>
              <w:t>(×10</w:t>
            </w:r>
            <w:r w:rsidRPr="00FF65A8">
              <w:rPr>
                <w:rFonts w:cs="Times New Roman"/>
                <w:color w:val="000000"/>
                <w:vertAlign w:val="superscript"/>
              </w:rPr>
              <w:t>-9</w:t>
            </w:r>
            <w:r w:rsidRPr="00FF65A8">
              <w:rPr>
                <w:rFonts w:cs="Times New Roman"/>
                <w:color w:val="000000"/>
              </w:rPr>
              <w:t xml:space="preserve"> M)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AA928E4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FF65A8">
              <w:rPr>
                <w:rFonts w:cs="Times New Roman"/>
                <w:i/>
                <w:iCs/>
                <w:color w:val="000000"/>
              </w:rPr>
              <w:t xml:space="preserve">∆H </w:t>
            </w:r>
          </w:p>
          <w:p w14:paraId="36927165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(</w:t>
            </w:r>
            <w:proofErr w:type="gramStart"/>
            <w:r w:rsidRPr="00FF65A8">
              <w:rPr>
                <w:rFonts w:cs="Times New Roman"/>
                <w:color w:val="000000"/>
              </w:rPr>
              <w:t>kcal</w:t>
            </w:r>
            <w:proofErr w:type="gramEnd"/>
            <w:r w:rsidRPr="00FF65A8">
              <w:rPr>
                <w:rFonts w:cs="Times New Roman"/>
                <w:color w:val="000000"/>
              </w:rPr>
              <w:t xml:space="preserve"> mol</w:t>
            </w:r>
            <w:r w:rsidRPr="00FF65A8">
              <w:rPr>
                <w:rFonts w:cs="Times New Roman"/>
                <w:color w:val="000000"/>
                <w:vertAlign w:val="superscript"/>
              </w:rPr>
              <w:t>-1</w:t>
            </w:r>
            <w:r w:rsidRPr="00FF65A8">
              <w:rPr>
                <w:rFonts w:cs="Times New Roman"/>
                <w:color w:val="000000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B14FCDF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FF65A8">
              <w:rPr>
                <w:rFonts w:cs="Times New Roman"/>
                <w:i/>
                <w:iCs/>
                <w:color w:val="000000"/>
              </w:rPr>
              <w:t xml:space="preserve">∆G </w:t>
            </w:r>
          </w:p>
          <w:p w14:paraId="5F35ADEF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(</w:t>
            </w:r>
            <w:proofErr w:type="gramStart"/>
            <w:r w:rsidRPr="00FF65A8">
              <w:rPr>
                <w:rFonts w:cs="Times New Roman"/>
                <w:color w:val="000000"/>
              </w:rPr>
              <w:t>kcal</w:t>
            </w:r>
            <w:proofErr w:type="gramEnd"/>
            <w:r w:rsidRPr="00FF65A8">
              <w:rPr>
                <w:rFonts w:cs="Times New Roman"/>
                <w:color w:val="000000"/>
              </w:rPr>
              <w:t xml:space="preserve"> mol</w:t>
            </w:r>
            <w:r w:rsidRPr="00FF65A8">
              <w:rPr>
                <w:rFonts w:cs="Times New Roman"/>
                <w:color w:val="000000"/>
                <w:vertAlign w:val="superscript"/>
              </w:rPr>
              <w:t>-1</w:t>
            </w:r>
            <w:r w:rsidRPr="00FF65A8">
              <w:rPr>
                <w:rFonts w:cs="Times New Roman"/>
                <w:color w:val="000000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95E8922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FF65A8">
              <w:rPr>
                <w:rFonts w:cs="Times New Roman"/>
                <w:i/>
                <w:iCs/>
                <w:color w:val="000000"/>
              </w:rPr>
              <w:t xml:space="preserve">-T∆S </w:t>
            </w:r>
          </w:p>
          <w:p w14:paraId="2ABFB8FE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(</w:t>
            </w:r>
            <w:proofErr w:type="gramStart"/>
            <w:r w:rsidRPr="00FF65A8">
              <w:rPr>
                <w:rFonts w:cs="Times New Roman"/>
                <w:color w:val="000000"/>
              </w:rPr>
              <w:t>kcal</w:t>
            </w:r>
            <w:proofErr w:type="gramEnd"/>
            <w:r w:rsidRPr="00FF65A8">
              <w:rPr>
                <w:rFonts w:cs="Times New Roman"/>
                <w:color w:val="000000"/>
              </w:rPr>
              <w:t xml:space="preserve"> mol</w:t>
            </w:r>
            <w:r w:rsidRPr="00FF65A8">
              <w:rPr>
                <w:rFonts w:cs="Times New Roman"/>
                <w:color w:val="000000"/>
                <w:vertAlign w:val="superscript"/>
              </w:rPr>
              <w:t>-1</w:t>
            </w:r>
            <w:r w:rsidRPr="00FF65A8">
              <w:rPr>
                <w:rFonts w:cs="Times New Roman"/>
                <w:color w:val="000000"/>
              </w:rPr>
              <w:t>)</w:t>
            </w:r>
          </w:p>
        </w:tc>
      </w:tr>
      <w:tr w:rsidR="00B24C13" w:rsidRPr="00FF65A8" w14:paraId="7AEFBD42" w14:textId="77777777" w:rsidTr="00295FAC">
        <w:trPr>
          <w:trHeight w:val="3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CB8" w14:textId="77777777" w:rsidR="00B24C13" w:rsidRPr="00FF65A8" w:rsidRDefault="00B24C13" w:rsidP="00295FAC">
            <w:pPr>
              <w:spacing w:after="0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eastAsia="Times New Roman" w:cs="Times New Roman"/>
                <w:color w:val="000000"/>
                <w:lang w:val="da-DK" w:eastAsia="da-DK"/>
              </w:rPr>
              <w:t>IsiB</w:t>
            </w:r>
            <w:r w:rsidRPr="00FF65A8">
              <w:rPr>
                <w:rFonts w:eastAsia="Times New Roman" w:cs="Times New Roman"/>
                <w:color w:val="000000"/>
                <w:vertAlign w:val="superscript"/>
                <w:lang w:val="da-DK" w:eastAsia="da-DK"/>
              </w:rPr>
              <w:t>6803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C6D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cs="Times New Roman"/>
                <w:color w:val="000000"/>
              </w:rPr>
              <w:t>1.28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58E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cs="Times New Roman"/>
                <w:color w:val="000000"/>
              </w:rPr>
              <w:t>2.0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CF1F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-22.63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BFBC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-13.43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89A9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9.19</w:t>
            </w:r>
          </w:p>
        </w:tc>
      </w:tr>
      <w:tr w:rsidR="00B24C13" w:rsidRPr="00FF65A8" w14:paraId="5FFF4B35" w14:textId="77777777" w:rsidTr="00295FAC">
        <w:trPr>
          <w:trHeight w:val="300"/>
        </w:trPr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6F6E8" w14:textId="77777777" w:rsidR="00B24C13" w:rsidRPr="00FF65A8" w:rsidRDefault="00B24C13" w:rsidP="00295FAC">
            <w:pPr>
              <w:spacing w:after="0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eastAsia="Times New Roman" w:cs="Times New Roman"/>
                <w:color w:val="000000"/>
                <w:lang w:val="da-DK" w:eastAsia="da-DK"/>
              </w:rPr>
              <w:t>HsCPR</w:t>
            </w:r>
            <w:r w:rsidRPr="00FF65A8">
              <w:rPr>
                <w:rFonts w:eastAsia="Times New Roman" w:cs="Times New Roman"/>
                <w:color w:val="000000"/>
                <w:vertAlign w:val="superscript"/>
                <w:lang w:val="da-DK" w:eastAsia="da-DK"/>
              </w:rPr>
              <w:t>62-241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AE618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cs="Times New Roman"/>
                <w:color w:val="000000"/>
              </w:rPr>
              <w:t>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E8F4" w14:textId="77777777" w:rsidR="00B24C13" w:rsidRPr="00FF65A8" w:rsidRDefault="00B24C13" w:rsidP="00295FAC">
            <w:pPr>
              <w:spacing w:after="0"/>
              <w:jc w:val="center"/>
              <w:rPr>
                <w:rFonts w:eastAsia="Times New Roman" w:cs="Times New Roman"/>
                <w:color w:val="000000"/>
                <w:lang w:val="da-DK" w:eastAsia="da-DK"/>
              </w:rPr>
            </w:pPr>
            <w:r w:rsidRPr="00FF65A8">
              <w:rPr>
                <w:rFonts w:cs="Times New Roman"/>
                <w:color w:val="000000"/>
              </w:rPr>
              <w:t>25.7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AC85B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-24.50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54498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-10.40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54686" w14:textId="77777777" w:rsidR="00B24C13" w:rsidRPr="00FF65A8" w:rsidRDefault="00B24C13" w:rsidP="00295FAC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FF65A8">
              <w:rPr>
                <w:rFonts w:cs="Times New Roman"/>
                <w:color w:val="000000"/>
              </w:rPr>
              <w:t>14.15</w:t>
            </w:r>
          </w:p>
        </w:tc>
      </w:tr>
    </w:tbl>
    <w:p w14:paraId="4230FB20" w14:textId="77777777" w:rsidR="00B24C13" w:rsidRDefault="00B24C13" w:rsidP="00B24C13"/>
    <w:p w14:paraId="565F3E37" w14:textId="00C6A74E" w:rsidR="0092687E" w:rsidRDefault="0092687E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719C009C" w14:textId="77777777" w:rsidR="0092687E" w:rsidRDefault="0092687E" w:rsidP="009268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440DBD">
        <w:rPr>
          <w:rFonts w:cs="Times New Roman"/>
          <w:szCs w:val="24"/>
        </w:rPr>
        <w:t xml:space="preserve">UV 280 nm chromatograms from UPLC separation of tobacco samples extracted from plants infiltrated with </w:t>
      </w:r>
      <w:proofErr w:type="spellStart"/>
      <w:r>
        <w:rPr>
          <w:rFonts w:cs="Times New Roman"/>
          <w:szCs w:val="24"/>
        </w:rPr>
        <w:t>tnaA</w:t>
      </w:r>
      <w:proofErr w:type="spellEnd"/>
      <w:r>
        <w:rPr>
          <w:rFonts w:cs="Times New Roman"/>
          <w:szCs w:val="24"/>
        </w:rPr>
        <w:t xml:space="preserve"> and P450 transgene combinations as </w:t>
      </w:r>
      <w:r w:rsidRPr="00440DBD">
        <w:rPr>
          <w:rFonts w:cs="Times New Roman"/>
          <w:szCs w:val="24"/>
        </w:rPr>
        <w:t>indicated.</w:t>
      </w:r>
    </w:p>
    <w:p w14:paraId="08D059E9" w14:textId="77777777" w:rsidR="0092687E" w:rsidRDefault="0092687E" w:rsidP="0092687E">
      <w:pPr>
        <w:spacing w:before="0" w:after="200" w:line="276" w:lineRule="auto"/>
        <w:rPr>
          <w:rFonts w:cs="Times New Roman"/>
          <w:szCs w:val="24"/>
        </w:rPr>
      </w:pPr>
    </w:p>
    <w:p w14:paraId="3C15EF39" w14:textId="77777777" w:rsidR="0092687E" w:rsidRDefault="0092687E" w:rsidP="0092687E">
      <w:pPr>
        <w:spacing w:before="0" w:after="200" w:line="276" w:lineRule="auto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2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061023">
        <w:rPr>
          <w:rFonts w:cs="Times New Roman"/>
          <w:szCs w:val="24"/>
        </w:rPr>
        <w:t>Base peak chromatograms from UPLC-</w:t>
      </w:r>
      <w:r>
        <w:rPr>
          <w:rFonts w:cs="Times New Roman"/>
          <w:szCs w:val="24"/>
        </w:rPr>
        <w:t>Q</w:t>
      </w:r>
      <w:r w:rsidRPr="00061023">
        <w:rPr>
          <w:rFonts w:cs="Times New Roman"/>
          <w:szCs w:val="24"/>
        </w:rPr>
        <w:t xml:space="preserve">TOF MS analysis of </w:t>
      </w:r>
      <w:r>
        <w:rPr>
          <w:rFonts w:cs="Times New Roman"/>
          <w:szCs w:val="24"/>
        </w:rPr>
        <w:t xml:space="preserve">tobacco </w:t>
      </w:r>
      <w:r w:rsidRPr="00061023">
        <w:rPr>
          <w:rFonts w:cs="Times New Roman"/>
          <w:szCs w:val="24"/>
        </w:rPr>
        <w:t xml:space="preserve">infiltrated with different </w:t>
      </w:r>
      <w:proofErr w:type="spellStart"/>
      <w:r w:rsidRPr="00061023">
        <w:rPr>
          <w:rFonts w:cs="Times New Roman"/>
          <w:szCs w:val="24"/>
        </w:rPr>
        <w:t>tnaA</w:t>
      </w:r>
      <w:proofErr w:type="spellEnd"/>
      <w:r>
        <w:rPr>
          <w:rFonts w:cs="Times New Roman"/>
          <w:szCs w:val="24"/>
        </w:rPr>
        <w:t xml:space="preserve"> and </w:t>
      </w:r>
      <w:r w:rsidRPr="00061023">
        <w:rPr>
          <w:rFonts w:cs="Times New Roman"/>
          <w:szCs w:val="24"/>
        </w:rPr>
        <w:t xml:space="preserve">P450 </w:t>
      </w:r>
      <w:r>
        <w:rPr>
          <w:rFonts w:cs="Times New Roman"/>
          <w:szCs w:val="24"/>
        </w:rPr>
        <w:t>transgene combinations</w:t>
      </w:r>
      <w:r w:rsidRPr="00061023">
        <w:rPr>
          <w:rFonts w:cs="Times New Roman"/>
          <w:szCs w:val="24"/>
        </w:rPr>
        <w:t xml:space="preserve"> as indicated. </w:t>
      </w:r>
      <w:r>
        <w:rPr>
          <w:rFonts w:cs="Times New Roman"/>
          <w:szCs w:val="24"/>
        </w:rPr>
        <w:t>Peaks for abundant u</w:t>
      </w:r>
      <w:r w:rsidRPr="00061023">
        <w:rPr>
          <w:rFonts w:cs="Times New Roman"/>
          <w:szCs w:val="24"/>
        </w:rPr>
        <w:t>nknown</w:t>
      </w:r>
      <w:r>
        <w:rPr>
          <w:rFonts w:cs="Times New Roman"/>
          <w:szCs w:val="24"/>
        </w:rPr>
        <w:t xml:space="preserve"> compounds specific to </w:t>
      </w:r>
      <w:proofErr w:type="spellStart"/>
      <w:r>
        <w:rPr>
          <w:rFonts w:cs="Times New Roman"/>
          <w:szCs w:val="24"/>
        </w:rPr>
        <w:t>tnaA</w:t>
      </w:r>
      <w:proofErr w:type="spellEnd"/>
      <w:r>
        <w:rPr>
          <w:rFonts w:cs="Times New Roman"/>
          <w:szCs w:val="24"/>
        </w:rPr>
        <w:t xml:space="preserve"> or </w:t>
      </w:r>
      <w:proofErr w:type="spellStart"/>
      <w:r>
        <w:rPr>
          <w:rFonts w:cs="Times New Roman"/>
          <w:szCs w:val="24"/>
        </w:rPr>
        <w:t>tnaA</w:t>
      </w:r>
      <w:proofErr w:type="spellEnd"/>
      <w:r>
        <w:rPr>
          <w:rFonts w:cs="Times New Roman"/>
          <w:szCs w:val="24"/>
        </w:rPr>
        <w:t xml:space="preserve"> and P450 samples</w:t>
      </w:r>
      <w:r w:rsidRPr="00061023">
        <w:rPr>
          <w:rFonts w:cs="Times New Roman"/>
          <w:szCs w:val="24"/>
        </w:rPr>
        <w:t xml:space="preserve"> are indicated with 1-4. </w:t>
      </w:r>
      <w:r>
        <w:rPr>
          <w:rFonts w:cs="Times New Roman"/>
          <w:szCs w:val="24"/>
        </w:rPr>
        <w:t xml:space="preserve">B, </w:t>
      </w:r>
      <w:proofErr w:type="gramStart"/>
      <w:r>
        <w:rPr>
          <w:rFonts w:cs="Times New Roman"/>
          <w:szCs w:val="24"/>
        </w:rPr>
        <w:t>Extracted</w:t>
      </w:r>
      <w:proofErr w:type="gramEnd"/>
      <w:r>
        <w:rPr>
          <w:rFonts w:cs="Times New Roman"/>
          <w:szCs w:val="24"/>
        </w:rPr>
        <w:t xml:space="preserve"> ion chromatograms for m/z 310.0932 consistent with </w:t>
      </w:r>
      <w:proofErr w:type="spellStart"/>
      <w:r>
        <w:rPr>
          <w:rFonts w:cs="Times New Roman"/>
          <w:szCs w:val="24"/>
        </w:rPr>
        <w:t>dioxindole</w:t>
      </w:r>
      <w:proofErr w:type="spellEnd"/>
      <w:r>
        <w:rPr>
          <w:rFonts w:cs="Times New Roman"/>
          <w:szCs w:val="24"/>
        </w:rPr>
        <w:t xml:space="preserve"> glucoside (p</w:t>
      </w:r>
      <w:r w:rsidRPr="00061023">
        <w:rPr>
          <w:rFonts w:cs="Times New Roman"/>
          <w:szCs w:val="24"/>
        </w:rPr>
        <w:t>eaks 1-3</w:t>
      </w:r>
      <w:r>
        <w:rPr>
          <w:rFonts w:cs="Times New Roman"/>
          <w:szCs w:val="24"/>
        </w:rPr>
        <w:t>)</w:t>
      </w:r>
      <w:r w:rsidRPr="00061023">
        <w:rPr>
          <w:rFonts w:cs="Times New Roman"/>
          <w:szCs w:val="24"/>
        </w:rPr>
        <w:t xml:space="preserve"> have m/z values consistent with </w:t>
      </w:r>
      <w:proofErr w:type="spellStart"/>
      <w:r w:rsidRPr="00061023">
        <w:rPr>
          <w:rFonts w:cs="Times New Roman"/>
          <w:szCs w:val="24"/>
        </w:rPr>
        <w:t>dioxindole</w:t>
      </w:r>
      <w:proofErr w:type="spellEnd"/>
      <w:r w:rsidRPr="00061023">
        <w:rPr>
          <w:rFonts w:cs="Times New Roman"/>
          <w:szCs w:val="24"/>
        </w:rPr>
        <w:t xml:space="preserve"> glucosides</w:t>
      </w:r>
      <w:r>
        <w:rPr>
          <w:rFonts w:cs="Times New Roman"/>
          <w:szCs w:val="24"/>
        </w:rPr>
        <w:t xml:space="preserve">. C, Extracted ion chromatograms for </w:t>
      </w:r>
      <w:r w:rsidRPr="00A96FE6">
        <w:rPr>
          <w:rFonts w:cs="Times New Roman"/>
          <w:i/>
          <w:iCs/>
          <w:szCs w:val="24"/>
        </w:rPr>
        <w:t>m/z</w:t>
      </w:r>
      <w:r>
        <w:rPr>
          <w:rFonts w:cs="Times New Roman"/>
          <w:szCs w:val="24"/>
        </w:rPr>
        <w:t xml:space="preserve"> 352.1038 consistent with</w:t>
      </w:r>
      <w:r w:rsidRPr="00061023">
        <w:rPr>
          <w:rFonts w:cs="Times New Roman"/>
          <w:szCs w:val="24"/>
        </w:rPr>
        <w:t xml:space="preserve"> hydroxylated indole acetic acid glucoside</w:t>
      </w:r>
      <w:r>
        <w:rPr>
          <w:rFonts w:cs="Times New Roman"/>
          <w:szCs w:val="24"/>
        </w:rPr>
        <w:t xml:space="preserve"> (peak 4)</w:t>
      </w:r>
      <w:r w:rsidRPr="00061023">
        <w:rPr>
          <w:rFonts w:cs="Times New Roman"/>
          <w:szCs w:val="24"/>
        </w:rPr>
        <w:t>.</w:t>
      </w:r>
    </w:p>
    <w:p w14:paraId="308744A9" w14:textId="77777777" w:rsidR="0092687E" w:rsidRPr="00F143ED" w:rsidRDefault="0092687E" w:rsidP="0092687E">
      <w:pPr>
        <w:spacing w:before="0" w:after="200" w:line="276" w:lineRule="auto"/>
        <w:rPr>
          <w:rFonts w:cs="Times New Roman"/>
          <w:szCs w:val="24"/>
        </w:rPr>
      </w:pPr>
    </w:p>
    <w:p w14:paraId="5061D0E6" w14:textId="77777777" w:rsidR="0092687E" w:rsidRDefault="0092687E" w:rsidP="009268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3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00EF7">
        <w:rPr>
          <w:rFonts w:cs="Times New Roman"/>
          <w:szCs w:val="24"/>
        </w:rPr>
        <w:t xml:space="preserve">Principal component analysis from untargeted QTOF-MS analysis (positive mode). Data was processed with MS-DIAL, log-transformed and auto-scaled before PCA. Only features for which MS-DIAL produced matches </w:t>
      </w:r>
      <w:r>
        <w:rPr>
          <w:rFonts w:cs="Times New Roman"/>
          <w:szCs w:val="24"/>
        </w:rPr>
        <w:t>to the MONA positive mode MS spectral library (https://</w:t>
      </w:r>
      <w:r w:rsidRPr="00D849FB">
        <w:rPr>
          <w:rFonts w:cs="Times New Roman"/>
          <w:szCs w:val="24"/>
        </w:rPr>
        <w:t>mona.fiehnlab.ucdavis.edu</w:t>
      </w:r>
      <w:r>
        <w:rPr>
          <w:rFonts w:cs="Times New Roman"/>
          <w:szCs w:val="24"/>
        </w:rPr>
        <w:t xml:space="preserve">) </w:t>
      </w:r>
      <w:r w:rsidRPr="00A00EF7">
        <w:rPr>
          <w:rFonts w:cs="Times New Roman"/>
          <w:szCs w:val="24"/>
        </w:rPr>
        <w:t xml:space="preserve">were used to generate the PCA scores. </w:t>
      </w:r>
      <w:proofErr w:type="gramStart"/>
      <w:r w:rsidRPr="00A00EF7">
        <w:rPr>
          <w:rFonts w:cs="Times New Roman"/>
          <w:szCs w:val="24"/>
        </w:rPr>
        <w:t>A,</w:t>
      </w:r>
      <w:proofErr w:type="gramEnd"/>
      <w:r w:rsidRPr="00A00EF7">
        <w:rPr>
          <w:rFonts w:cs="Times New Roman"/>
          <w:szCs w:val="24"/>
        </w:rPr>
        <w:t xml:space="preserve"> Score plot showing the separation of EV and </w:t>
      </w:r>
      <w:proofErr w:type="spellStart"/>
      <w:r w:rsidRPr="00A00EF7">
        <w:rPr>
          <w:rFonts w:cs="Times New Roman"/>
          <w:szCs w:val="24"/>
        </w:rPr>
        <w:t>AroG</w:t>
      </w:r>
      <w:proofErr w:type="spellEnd"/>
      <w:r w:rsidRPr="00A00EF7">
        <w:rPr>
          <w:rFonts w:cs="Times New Roman"/>
          <w:szCs w:val="24"/>
        </w:rPr>
        <w:t>* samples</w:t>
      </w:r>
      <w:r>
        <w:rPr>
          <w:rFonts w:cs="Times New Roman"/>
          <w:szCs w:val="24"/>
        </w:rPr>
        <w:t xml:space="preserve"> along the first principal component axis</w:t>
      </w:r>
      <w:r w:rsidRPr="00A00EF7">
        <w:rPr>
          <w:rFonts w:cs="Times New Roman"/>
          <w:szCs w:val="24"/>
        </w:rPr>
        <w:t xml:space="preserve">. B, Loading plot. Aromatic amino acids are colored black, tryptophan derivatives are red, and 2-oxindoles colored yellow. The remaining compounds are shown as grey dots. </w:t>
      </w:r>
    </w:p>
    <w:p w14:paraId="5397E8A9" w14:textId="77777777" w:rsidR="0092687E" w:rsidRDefault="0092687E" w:rsidP="0092687E">
      <w:pPr>
        <w:spacing w:before="0" w:after="200" w:line="276" w:lineRule="auto"/>
        <w:rPr>
          <w:rFonts w:cs="Times New Roman"/>
          <w:b/>
          <w:szCs w:val="24"/>
        </w:rPr>
      </w:pPr>
    </w:p>
    <w:p w14:paraId="05C584D3" w14:textId="77777777" w:rsidR="0092687E" w:rsidRDefault="0092687E" w:rsidP="009268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4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9F031C">
        <w:rPr>
          <w:rFonts w:cs="Times New Roman"/>
          <w:szCs w:val="24"/>
        </w:rPr>
        <w:t xml:space="preserve">Peak areas from four features </w:t>
      </w:r>
      <w:r>
        <w:rPr>
          <w:rFonts w:cs="Times New Roman"/>
          <w:szCs w:val="24"/>
        </w:rPr>
        <w:t xml:space="preserve">with </w:t>
      </w:r>
      <w:r w:rsidRPr="009F031C">
        <w:rPr>
          <w:rFonts w:cs="Times New Roman"/>
          <w:szCs w:val="24"/>
        </w:rPr>
        <w:t xml:space="preserve">spectral matches to 2-oxindoles. </w:t>
      </w:r>
      <w:r>
        <w:rPr>
          <w:rFonts w:cs="Times New Roman"/>
          <w:szCs w:val="24"/>
        </w:rPr>
        <w:t>The ‘</w:t>
      </w:r>
      <w:r w:rsidRPr="009F031C">
        <w:rPr>
          <w:rFonts w:cs="Times New Roman"/>
          <w:szCs w:val="24"/>
        </w:rPr>
        <w:t>#</w:t>
      </w:r>
      <w:r>
        <w:rPr>
          <w:rFonts w:cs="Times New Roman"/>
          <w:szCs w:val="24"/>
        </w:rPr>
        <w:t>’ prefix</w:t>
      </w:r>
      <w:r w:rsidRPr="009F03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denotes </w:t>
      </w:r>
      <w:r w:rsidRPr="009F031C">
        <w:rPr>
          <w:rFonts w:cs="Times New Roman"/>
          <w:szCs w:val="24"/>
        </w:rPr>
        <w:t xml:space="preserve">feature number. #504 and #506 have nearly identical retention times that coincide with that of </w:t>
      </w:r>
      <w:proofErr w:type="spellStart"/>
      <w:r w:rsidRPr="009F031C">
        <w:rPr>
          <w:rFonts w:cs="Times New Roman"/>
          <w:szCs w:val="24"/>
        </w:rPr>
        <w:t>indican</w:t>
      </w:r>
      <w:proofErr w:type="spellEnd"/>
      <w:r w:rsidRPr="009F031C">
        <w:rPr>
          <w:rFonts w:cs="Times New Roman"/>
          <w:szCs w:val="24"/>
        </w:rPr>
        <w:t>. Peak areas were normaliz</w:t>
      </w:r>
      <w:r>
        <w:rPr>
          <w:rFonts w:cs="Times New Roman"/>
          <w:szCs w:val="24"/>
        </w:rPr>
        <w:t>ed</w:t>
      </w:r>
      <w:r w:rsidRPr="009F031C">
        <w:rPr>
          <w:rFonts w:cs="Times New Roman"/>
          <w:szCs w:val="24"/>
        </w:rPr>
        <w:t xml:space="preserve"> to internal standard peak area</w:t>
      </w:r>
      <w:r>
        <w:rPr>
          <w:rFonts w:cs="Times New Roman"/>
          <w:szCs w:val="24"/>
        </w:rPr>
        <w:t>s</w:t>
      </w:r>
      <w:r w:rsidRPr="009F031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Bars show a</w:t>
      </w:r>
      <w:r w:rsidRPr="009F031C">
        <w:rPr>
          <w:rFonts w:cs="Times New Roman"/>
          <w:szCs w:val="24"/>
        </w:rPr>
        <w:t xml:space="preserve">verages </w:t>
      </w:r>
      <w:r>
        <w:rPr>
          <w:rFonts w:cs="Times New Roman"/>
          <w:szCs w:val="24"/>
        </w:rPr>
        <w:t xml:space="preserve">peak areas (n=5 per </w:t>
      </w:r>
      <w:r w:rsidRPr="009F031C">
        <w:rPr>
          <w:rFonts w:cs="Times New Roman"/>
          <w:szCs w:val="24"/>
        </w:rPr>
        <w:t>condition</w:t>
      </w:r>
      <w:r>
        <w:rPr>
          <w:rFonts w:cs="Times New Roman"/>
          <w:szCs w:val="24"/>
        </w:rPr>
        <w:t xml:space="preserve">), </w:t>
      </w:r>
      <w:r w:rsidRPr="009F031C">
        <w:rPr>
          <w:rFonts w:cs="Times New Roman"/>
          <w:szCs w:val="24"/>
        </w:rPr>
        <w:t xml:space="preserve">with error bars showing standard deviations.  </w:t>
      </w:r>
    </w:p>
    <w:p w14:paraId="05853593" w14:textId="77777777" w:rsidR="0092687E" w:rsidRPr="002B4A57" w:rsidRDefault="0092687E" w:rsidP="0092687E">
      <w:pPr>
        <w:keepNext/>
        <w:jc w:val="center"/>
        <w:rPr>
          <w:rFonts w:cs="Times New Roman"/>
          <w:b/>
          <w:szCs w:val="24"/>
        </w:rPr>
      </w:pPr>
    </w:p>
    <w:p w14:paraId="6264EE3D" w14:textId="77777777" w:rsidR="0092687E" w:rsidRDefault="0092687E" w:rsidP="009268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5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3B2F0D">
        <w:rPr>
          <w:rFonts w:cs="Times New Roman"/>
          <w:szCs w:val="24"/>
        </w:rPr>
        <w:t xml:space="preserve">UV-Visible spectra of purified electron carrier proteins. </w:t>
      </w:r>
      <w:proofErr w:type="gramStart"/>
      <w:r w:rsidRPr="003B2F0D">
        <w:rPr>
          <w:rFonts w:cs="Times New Roman"/>
          <w:szCs w:val="24"/>
        </w:rPr>
        <w:t>A,</w:t>
      </w:r>
      <w:proofErr w:type="gramEnd"/>
      <w:r w:rsidRPr="003B2F0D">
        <w:rPr>
          <w:rFonts w:cs="Times New Roman"/>
          <w:szCs w:val="24"/>
        </w:rPr>
        <w:t xml:space="preserve"> spectrum of purified AtFd1. B, spectra of purified IsiB</w:t>
      </w:r>
      <w:r w:rsidRPr="003B2F0D">
        <w:rPr>
          <w:rFonts w:cs="Times New Roman"/>
          <w:szCs w:val="24"/>
          <w:vertAlign w:val="superscript"/>
        </w:rPr>
        <w:t>6803</w:t>
      </w:r>
      <w:r>
        <w:rPr>
          <w:rFonts w:cs="Times New Roman"/>
          <w:szCs w:val="24"/>
        </w:rPr>
        <w:t xml:space="preserve"> </w:t>
      </w:r>
      <w:r w:rsidRPr="003B2F0D">
        <w:rPr>
          <w:rFonts w:cs="Times New Roman"/>
          <w:szCs w:val="24"/>
        </w:rPr>
        <w:t>and HsCPR</w:t>
      </w:r>
      <w:r w:rsidRPr="003B2F0D">
        <w:rPr>
          <w:rFonts w:cs="Times New Roman"/>
          <w:szCs w:val="24"/>
          <w:vertAlign w:val="superscript"/>
        </w:rPr>
        <w:t>62-241</w:t>
      </w:r>
      <w:r w:rsidRPr="003B2F0D">
        <w:rPr>
          <w:rFonts w:cs="Times New Roman"/>
          <w:szCs w:val="24"/>
        </w:rPr>
        <w:t>. Spectra shown are normalized to the maximal absorbance in the visible range (330, 466 and 454 nm, respectively for AtFd1, IsiB</w:t>
      </w:r>
      <w:r w:rsidRPr="003B2F0D">
        <w:rPr>
          <w:rFonts w:cs="Times New Roman"/>
          <w:szCs w:val="24"/>
          <w:vertAlign w:val="superscript"/>
        </w:rPr>
        <w:t>6803</w:t>
      </w:r>
      <w:r>
        <w:rPr>
          <w:rFonts w:cs="Times New Roman"/>
          <w:szCs w:val="24"/>
          <w:vertAlign w:val="superscript"/>
        </w:rPr>
        <w:t xml:space="preserve"> </w:t>
      </w:r>
      <w:r w:rsidRPr="003B2F0D">
        <w:rPr>
          <w:rFonts w:cs="Times New Roman"/>
          <w:szCs w:val="24"/>
        </w:rPr>
        <w:t>and HsCPR</w:t>
      </w:r>
      <w:r w:rsidRPr="003B2F0D">
        <w:rPr>
          <w:rFonts w:cs="Times New Roman"/>
          <w:szCs w:val="24"/>
          <w:vertAlign w:val="superscript"/>
        </w:rPr>
        <w:t>62-241</w:t>
      </w:r>
      <w:r w:rsidRPr="003B2F0D">
        <w:rPr>
          <w:rFonts w:cs="Times New Roman"/>
          <w:szCs w:val="24"/>
        </w:rPr>
        <w:t>).</w:t>
      </w:r>
    </w:p>
    <w:p w14:paraId="55148FF2" w14:textId="77777777" w:rsidR="0092687E" w:rsidRDefault="0092687E" w:rsidP="0092687E">
      <w:pPr>
        <w:spacing w:before="0" w:after="200" w:line="276" w:lineRule="auto"/>
        <w:rPr>
          <w:rFonts w:cs="Times New Roman"/>
          <w:szCs w:val="24"/>
        </w:rPr>
      </w:pPr>
    </w:p>
    <w:p w14:paraId="10E32570" w14:textId="77777777" w:rsidR="0092687E" w:rsidRDefault="0092687E" w:rsidP="0092687E">
      <w:pPr>
        <w:keepNext/>
        <w:rPr>
          <w:rFonts w:cs="Times New Roman"/>
          <w:b/>
          <w:szCs w:val="24"/>
        </w:rPr>
      </w:pPr>
    </w:p>
    <w:p w14:paraId="751FEA17" w14:textId="77777777" w:rsidR="0092687E" w:rsidRDefault="0092687E" w:rsidP="0092687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6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7244A">
        <w:rPr>
          <w:rFonts w:cs="Times New Roman"/>
          <w:szCs w:val="24"/>
        </w:rPr>
        <w:t xml:space="preserve">Representative thermograms and binding isotherms for titration of FMN into purified </w:t>
      </w:r>
      <w:proofErr w:type="spellStart"/>
      <w:r w:rsidRPr="00A7244A">
        <w:rPr>
          <w:rFonts w:cs="Times New Roman"/>
          <w:szCs w:val="24"/>
        </w:rPr>
        <w:t>apoflavodoxins</w:t>
      </w:r>
      <w:proofErr w:type="spellEnd"/>
      <w:r w:rsidRPr="00A7244A">
        <w:rPr>
          <w:rFonts w:cs="Times New Roman"/>
          <w:szCs w:val="24"/>
        </w:rPr>
        <w:t>. Top</w:t>
      </w:r>
      <w:r>
        <w:rPr>
          <w:rFonts w:cs="Times New Roman"/>
          <w:szCs w:val="24"/>
        </w:rPr>
        <w:t xml:space="preserve">, </w:t>
      </w:r>
      <w:r w:rsidRPr="00A7244A">
        <w:rPr>
          <w:rFonts w:cs="Times New Roman"/>
          <w:szCs w:val="24"/>
        </w:rPr>
        <w:t xml:space="preserve">baseline subtracted thermograms </w:t>
      </w:r>
      <w:r>
        <w:rPr>
          <w:rFonts w:cs="Times New Roman"/>
          <w:szCs w:val="24"/>
        </w:rPr>
        <w:t xml:space="preserve">from </w:t>
      </w:r>
      <w:r w:rsidRPr="00A7244A">
        <w:rPr>
          <w:rFonts w:cs="Times New Roman"/>
          <w:szCs w:val="24"/>
        </w:rPr>
        <w:t>titrati</w:t>
      </w:r>
      <w:r>
        <w:rPr>
          <w:rFonts w:cs="Times New Roman"/>
          <w:szCs w:val="24"/>
        </w:rPr>
        <w:t>ng</w:t>
      </w:r>
      <w:r w:rsidRPr="00A7244A">
        <w:rPr>
          <w:rFonts w:cs="Times New Roman"/>
          <w:szCs w:val="24"/>
        </w:rPr>
        <w:t xml:space="preserve"> 150 µM FMN into a </w:t>
      </w:r>
      <w:r>
        <w:rPr>
          <w:rFonts w:cs="Times New Roman"/>
          <w:szCs w:val="24"/>
        </w:rPr>
        <w:t xml:space="preserve">15 µM </w:t>
      </w:r>
      <w:r w:rsidRPr="00A7244A">
        <w:rPr>
          <w:rFonts w:cs="Times New Roman"/>
          <w:szCs w:val="24"/>
        </w:rPr>
        <w:t xml:space="preserve">solution of </w:t>
      </w:r>
      <w:r>
        <w:rPr>
          <w:rFonts w:cs="Times New Roman"/>
          <w:szCs w:val="24"/>
        </w:rPr>
        <w:t xml:space="preserve">each </w:t>
      </w:r>
      <w:proofErr w:type="spellStart"/>
      <w:r w:rsidRPr="00A7244A">
        <w:rPr>
          <w:rFonts w:cs="Times New Roman"/>
          <w:szCs w:val="24"/>
        </w:rPr>
        <w:t>apoflavodoxin</w:t>
      </w:r>
      <w:proofErr w:type="spellEnd"/>
      <w:r>
        <w:rPr>
          <w:rFonts w:cs="Times New Roman"/>
          <w:szCs w:val="24"/>
        </w:rPr>
        <w:t xml:space="preserve"> as indicated</w:t>
      </w:r>
      <w:r w:rsidRPr="00A7244A">
        <w:rPr>
          <w:rFonts w:cs="Times New Roman"/>
          <w:szCs w:val="24"/>
        </w:rPr>
        <w:t>. Lower</w:t>
      </w:r>
      <w:r>
        <w:rPr>
          <w:rFonts w:cs="Times New Roman"/>
          <w:szCs w:val="24"/>
        </w:rPr>
        <w:t xml:space="preserve">, </w:t>
      </w:r>
      <w:r w:rsidRPr="00A7244A">
        <w:rPr>
          <w:rFonts w:cs="Times New Roman"/>
          <w:szCs w:val="24"/>
        </w:rPr>
        <w:t xml:space="preserve">binding isotherms and fits for the titrations shown </w:t>
      </w:r>
      <w:r>
        <w:rPr>
          <w:rFonts w:cs="Times New Roman"/>
          <w:szCs w:val="24"/>
        </w:rPr>
        <w:t>above</w:t>
      </w:r>
      <w:r w:rsidRPr="00A7244A">
        <w:rPr>
          <w:rFonts w:cs="Times New Roman"/>
          <w:szCs w:val="24"/>
        </w:rPr>
        <w:t>.</w:t>
      </w:r>
    </w:p>
    <w:p w14:paraId="600D199A" w14:textId="77777777" w:rsidR="00EE64BC" w:rsidRPr="00F23257" w:rsidRDefault="00EE64BC" w:rsidP="00313C31">
      <w:pPr>
        <w:spacing w:before="0" w:after="200" w:line="276" w:lineRule="auto"/>
        <w:rPr>
          <w:b/>
        </w:rPr>
      </w:pPr>
    </w:p>
    <w:sectPr w:rsidR="00EE64BC" w:rsidRPr="00F2325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0D44" w14:textId="77777777" w:rsidR="0064478C" w:rsidRDefault="0064478C" w:rsidP="00117666">
      <w:pPr>
        <w:spacing w:after="0"/>
      </w:pPr>
      <w:r>
        <w:separator/>
      </w:r>
    </w:p>
  </w:endnote>
  <w:endnote w:type="continuationSeparator" w:id="0">
    <w:p w14:paraId="74572711" w14:textId="77777777" w:rsidR="0064478C" w:rsidRDefault="006447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CD3F92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618D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3CD3F92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618DA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F41DB0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618D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F41DB0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618D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4F6C" w14:textId="77777777" w:rsidR="0064478C" w:rsidRDefault="0064478C" w:rsidP="00117666">
      <w:pPr>
        <w:spacing w:after="0"/>
      </w:pPr>
      <w:r>
        <w:separator/>
      </w:r>
    </w:p>
  </w:footnote>
  <w:footnote w:type="continuationSeparator" w:id="0">
    <w:p w14:paraId="5EC67C35" w14:textId="77777777" w:rsidR="0064478C" w:rsidRDefault="006447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66437868">
    <w:abstractNumId w:val="0"/>
  </w:num>
  <w:num w:numId="2" w16cid:durableId="724179434">
    <w:abstractNumId w:val="4"/>
  </w:num>
  <w:num w:numId="3" w16cid:durableId="1730302113">
    <w:abstractNumId w:val="1"/>
  </w:num>
  <w:num w:numId="4" w16cid:durableId="1366516519">
    <w:abstractNumId w:val="5"/>
  </w:num>
  <w:num w:numId="5" w16cid:durableId="792868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30212">
    <w:abstractNumId w:val="3"/>
  </w:num>
  <w:num w:numId="7" w16cid:durableId="1647080559">
    <w:abstractNumId w:val="6"/>
  </w:num>
  <w:num w:numId="8" w16cid:durableId="308023179">
    <w:abstractNumId w:val="6"/>
  </w:num>
  <w:num w:numId="9" w16cid:durableId="68506364">
    <w:abstractNumId w:val="6"/>
  </w:num>
  <w:num w:numId="10" w16cid:durableId="1032995662">
    <w:abstractNumId w:val="6"/>
  </w:num>
  <w:num w:numId="11" w16cid:durableId="1292594432">
    <w:abstractNumId w:val="6"/>
  </w:num>
  <w:num w:numId="12" w16cid:durableId="1741831578">
    <w:abstractNumId w:val="6"/>
  </w:num>
  <w:num w:numId="13" w16cid:durableId="765927662">
    <w:abstractNumId w:val="3"/>
  </w:num>
  <w:num w:numId="14" w16cid:durableId="1917977426">
    <w:abstractNumId w:val="2"/>
  </w:num>
  <w:num w:numId="15" w16cid:durableId="27950776">
    <w:abstractNumId w:val="2"/>
  </w:num>
  <w:num w:numId="16" w16cid:durableId="814638818">
    <w:abstractNumId w:val="2"/>
  </w:num>
  <w:num w:numId="17" w16cid:durableId="860750810">
    <w:abstractNumId w:val="2"/>
  </w:num>
  <w:num w:numId="18" w16cid:durableId="1678271256">
    <w:abstractNumId w:val="2"/>
  </w:num>
  <w:num w:numId="19" w16cid:durableId="35423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46C5"/>
    <w:rsid w:val="0001436A"/>
    <w:rsid w:val="00034304"/>
    <w:rsid w:val="00035434"/>
    <w:rsid w:val="00052A14"/>
    <w:rsid w:val="00061023"/>
    <w:rsid w:val="00072D52"/>
    <w:rsid w:val="00075BAC"/>
    <w:rsid w:val="00077D53"/>
    <w:rsid w:val="00090B2B"/>
    <w:rsid w:val="000F1E7A"/>
    <w:rsid w:val="000F29F2"/>
    <w:rsid w:val="00105FD9"/>
    <w:rsid w:val="00117666"/>
    <w:rsid w:val="001549D3"/>
    <w:rsid w:val="00160065"/>
    <w:rsid w:val="00177D84"/>
    <w:rsid w:val="00191E15"/>
    <w:rsid w:val="00195142"/>
    <w:rsid w:val="001A6CC4"/>
    <w:rsid w:val="00210A3A"/>
    <w:rsid w:val="00267D18"/>
    <w:rsid w:val="00274347"/>
    <w:rsid w:val="00280906"/>
    <w:rsid w:val="002868E2"/>
    <w:rsid w:val="002869C3"/>
    <w:rsid w:val="002936E4"/>
    <w:rsid w:val="002B4A57"/>
    <w:rsid w:val="002C74CA"/>
    <w:rsid w:val="002D2D99"/>
    <w:rsid w:val="002E5599"/>
    <w:rsid w:val="002F46B3"/>
    <w:rsid w:val="003123F4"/>
    <w:rsid w:val="00313C31"/>
    <w:rsid w:val="00322800"/>
    <w:rsid w:val="00351182"/>
    <w:rsid w:val="003544FB"/>
    <w:rsid w:val="003A5126"/>
    <w:rsid w:val="003B2F0D"/>
    <w:rsid w:val="003D2F2D"/>
    <w:rsid w:val="003F200A"/>
    <w:rsid w:val="00401590"/>
    <w:rsid w:val="00440DBD"/>
    <w:rsid w:val="00447801"/>
    <w:rsid w:val="00452E9C"/>
    <w:rsid w:val="0045764A"/>
    <w:rsid w:val="00461FF7"/>
    <w:rsid w:val="004735C8"/>
    <w:rsid w:val="00481796"/>
    <w:rsid w:val="004947A6"/>
    <w:rsid w:val="004961FF"/>
    <w:rsid w:val="004B26B3"/>
    <w:rsid w:val="004C160C"/>
    <w:rsid w:val="004D7D7A"/>
    <w:rsid w:val="004E22E1"/>
    <w:rsid w:val="00517A89"/>
    <w:rsid w:val="005250F2"/>
    <w:rsid w:val="00526605"/>
    <w:rsid w:val="00592F00"/>
    <w:rsid w:val="00593EEA"/>
    <w:rsid w:val="005A5EEE"/>
    <w:rsid w:val="006071E6"/>
    <w:rsid w:val="006375C7"/>
    <w:rsid w:val="0064478C"/>
    <w:rsid w:val="00654E8F"/>
    <w:rsid w:val="00660D05"/>
    <w:rsid w:val="006820B1"/>
    <w:rsid w:val="006A691C"/>
    <w:rsid w:val="006B021E"/>
    <w:rsid w:val="006B0C96"/>
    <w:rsid w:val="006B7D14"/>
    <w:rsid w:val="006C2841"/>
    <w:rsid w:val="006F6259"/>
    <w:rsid w:val="00701727"/>
    <w:rsid w:val="0070566C"/>
    <w:rsid w:val="00714C50"/>
    <w:rsid w:val="00722E9C"/>
    <w:rsid w:val="00724268"/>
    <w:rsid w:val="00725A7D"/>
    <w:rsid w:val="00726C79"/>
    <w:rsid w:val="007501BE"/>
    <w:rsid w:val="00753370"/>
    <w:rsid w:val="00790BB3"/>
    <w:rsid w:val="007B30B1"/>
    <w:rsid w:val="007C206C"/>
    <w:rsid w:val="00815F85"/>
    <w:rsid w:val="00817DD6"/>
    <w:rsid w:val="00833535"/>
    <w:rsid w:val="0083759F"/>
    <w:rsid w:val="00841390"/>
    <w:rsid w:val="0086521C"/>
    <w:rsid w:val="00885156"/>
    <w:rsid w:val="008A5574"/>
    <w:rsid w:val="008D672C"/>
    <w:rsid w:val="008E056A"/>
    <w:rsid w:val="008E3691"/>
    <w:rsid w:val="00906F87"/>
    <w:rsid w:val="009151AA"/>
    <w:rsid w:val="0092687E"/>
    <w:rsid w:val="0093429D"/>
    <w:rsid w:val="00943573"/>
    <w:rsid w:val="00964134"/>
    <w:rsid w:val="00970F7D"/>
    <w:rsid w:val="00974952"/>
    <w:rsid w:val="00994A3D"/>
    <w:rsid w:val="009A2FA1"/>
    <w:rsid w:val="009C2B12"/>
    <w:rsid w:val="009D361F"/>
    <w:rsid w:val="009D5FE2"/>
    <w:rsid w:val="009E0F96"/>
    <w:rsid w:val="009F031C"/>
    <w:rsid w:val="00A00EF7"/>
    <w:rsid w:val="00A01DBE"/>
    <w:rsid w:val="00A05CE3"/>
    <w:rsid w:val="00A174D9"/>
    <w:rsid w:val="00A417A3"/>
    <w:rsid w:val="00A559ED"/>
    <w:rsid w:val="00A602A8"/>
    <w:rsid w:val="00A7244A"/>
    <w:rsid w:val="00A96FE6"/>
    <w:rsid w:val="00AA4D24"/>
    <w:rsid w:val="00AB6715"/>
    <w:rsid w:val="00AE5FED"/>
    <w:rsid w:val="00AE64DF"/>
    <w:rsid w:val="00AF1409"/>
    <w:rsid w:val="00B05FE4"/>
    <w:rsid w:val="00B1671E"/>
    <w:rsid w:val="00B24C13"/>
    <w:rsid w:val="00B25EB8"/>
    <w:rsid w:val="00B37F4D"/>
    <w:rsid w:val="00B61A24"/>
    <w:rsid w:val="00B80382"/>
    <w:rsid w:val="00B84AF1"/>
    <w:rsid w:val="00BD20AF"/>
    <w:rsid w:val="00BF6371"/>
    <w:rsid w:val="00C074C8"/>
    <w:rsid w:val="00C43786"/>
    <w:rsid w:val="00C45ADD"/>
    <w:rsid w:val="00C52A7B"/>
    <w:rsid w:val="00C56BAF"/>
    <w:rsid w:val="00C679AA"/>
    <w:rsid w:val="00C67F34"/>
    <w:rsid w:val="00C75972"/>
    <w:rsid w:val="00C9632C"/>
    <w:rsid w:val="00CB74BC"/>
    <w:rsid w:val="00CD066B"/>
    <w:rsid w:val="00CE4FEE"/>
    <w:rsid w:val="00D060CF"/>
    <w:rsid w:val="00D33A80"/>
    <w:rsid w:val="00D618DA"/>
    <w:rsid w:val="00D756BF"/>
    <w:rsid w:val="00D849FB"/>
    <w:rsid w:val="00DB59C3"/>
    <w:rsid w:val="00DC259A"/>
    <w:rsid w:val="00DE23E8"/>
    <w:rsid w:val="00E0435E"/>
    <w:rsid w:val="00E52377"/>
    <w:rsid w:val="00E537AD"/>
    <w:rsid w:val="00E64E17"/>
    <w:rsid w:val="00E7428A"/>
    <w:rsid w:val="00E753E7"/>
    <w:rsid w:val="00E866C9"/>
    <w:rsid w:val="00EA3D3C"/>
    <w:rsid w:val="00EA70DC"/>
    <w:rsid w:val="00EB4719"/>
    <w:rsid w:val="00EC090A"/>
    <w:rsid w:val="00ED20B5"/>
    <w:rsid w:val="00ED35BA"/>
    <w:rsid w:val="00EE64BC"/>
    <w:rsid w:val="00EF48C2"/>
    <w:rsid w:val="00F0455C"/>
    <w:rsid w:val="00F143ED"/>
    <w:rsid w:val="00F23257"/>
    <w:rsid w:val="00F42F79"/>
    <w:rsid w:val="00F46900"/>
    <w:rsid w:val="00F531A7"/>
    <w:rsid w:val="00F542FC"/>
    <w:rsid w:val="00F61D89"/>
    <w:rsid w:val="00F961F5"/>
    <w:rsid w:val="00FB4F6D"/>
    <w:rsid w:val="00FD3988"/>
    <w:rsid w:val="00FE31B0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EE6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4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79FDA0-DF26-4B1D-A166-3D1F6D03711C}">
  <we:reference id="wa104382081" version="1.46.0.0" store="da-DK" storeType="OMEX"/>
  <we:alternateReferences>
    <we:reference id="wa104382081" version="1.46.0.0" store="wa104382081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frontiers-in-bioengineering-and-biotechnology&quot;,&quot;title&quot;:&quot;Frontiers in Bioengineering and Biotechnology&quot;,&quot;format&quot;:&quot;author-date&quot;,&quot;defaultLocale&quot;:&quot;en-US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D6594C-4DEB-493C-944E-2A8BA8F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51</TotalTime>
  <Pages>1</Pages>
  <Words>3035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Silas Busck Mellor</cp:lastModifiedBy>
  <cp:revision>12</cp:revision>
  <cp:lastPrinted>2013-10-03T12:51:00Z</cp:lastPrinted>
  <dcterms:created xsi:type="dcterms:W3CDTF">2022-09-20T09:49:00Z</dcterms:created>
  <dcterms:modified xsi:type="dcterms:W3CDTF">2022-11-29T16:30:00Z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2022-09-06T16:00:20Z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1b3edaea-0474-4692-85d9-e654debe0afc</vt:lpwstr>
  </property>
  <property fmtid="{D5CDD505-2E9C-101B-9397-08002B2CF9AE}" pid="8" name="MSIP_Label_6a2630e2-1ac5-455e-8217-0156b1936a76_ContentBits">
    <vt:lpwstr>0</vt:lpwstr>
  </property>
  <property fmtid="{D5CDD505-2E9C-101B-9397-08002B2CF9AE}" pid="9" name="ContentRemapped">
    <vt:lpwstr>true</vt:lpwstr>
  </property>
</Properties>
</file>