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20" w:firstLineChars="0"/>
        <w:jc w:val="left"/>
        <w:rPr>
          <w:rFonts w:ascii="Times New Roman" w:hAnsi="Times New Roman" w:eastAsia="等线" w:cs="Times New Roman"/>
          <w:b/>
          <w:bCs/>
          <w:i/>
          <w:iCs/>
          <w:sz w:val="28"/>
          <w:szCs w:val="28"/>
        </w:rPr>
      </w:pPr>
      <w:bookmarkStart w:id="0" w:name="_Hlk79867015"/>
      <w:r>
        <w:rPr>
          <w:rFonts w:hint="eastAsia" w:ascii="Times New Roman" w:hAnsi="Times New Roman" w:eastAsia="等线" w:cs="Times New Roman"/>
          <w:b/>
          <w:bCs/>
          <w:i/>
          <w:iCs/>
          <w:sz w:val="28"/>
          <w:szCs w:val="28"/>
        </w:rPr>
        <w:t>S</w:t>
      </w:r>
      <w:r>
        <w:rPr>
          <w:rFonts w:ascii="Times New Roman" w:hAnsi="Times New Roman" w:eastAsia="等线" w:cs="Times New Roman"/>
          <w:b/>
          <w:bCs/>
          <w:i/>
          <w:iCs/>
          <w:sz w:val="28"/>
          <w:szCs w:val="28"/>
        </w:rPr>
        <w:t>upplementary Materials for</w:t>
      </w:r>
    </w:p>
    <w:p>
      <w:pPr>
        <w:spacing w:line="360" w:lineRule="auto"/>
        <w:ind w:firstLine="420"/>
        <w:jc w:val="center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A high-quality chromosome</w:t>
      </w:r>
      <w:r>
        <w:rPr>
          <w:rFonts w:hint="eastAsia" w:ascii="Times New Roman" w:hAnsi="Times New Roman" w:cs="Times New Roman"/>
          <w:b/>
          <w:bCs/>
          <w:szCs w:val="21"/>
        </w:rPr>
        <w:t>-</w:t>
      </w:r>
      <w:r>
        <w:rPr>
          <w:rFonts w:ascii="Times New Roman" w:hAnsi="Times New Roman" w:cs="Times New Roman"/>
          <w:b/>
          <w:bCs/>
          <w:szCs w:val="21"/>
        </w:rPr>
        <w:t>level genome assembly of</w:t>
      </w:r>
      <w:r>
        <w:rPr>
          <w:rFonts w:ascii="Times New Roman" w:hAnsi="Times New Roman" w:cs="Times New Roman"/>
          <w:b/>
          <w:bCs/>
          <w:i/>
          <w:iCs/>
          <w:szCs w:val="21"/>
        </w:rPr>
        <w:t xml:space="preserve"> </w:t>
      </w:r>
      <w:bookmarkStart w:id="1" w:name="_Hlk85132492"/>
      <w:r>
        <w:rPr>
          <w:rFonts w:ascii="Times New Roman" w:hAnsi="Times New Roman" w:cs="Times New Roman"/>
          <w:b/>
          <w:bCs/>
          <w:i/>
          <w:iCs/>
          <w:szCs w:val="21"/>
        </w:rPr>
        <w:t xml:space="preserve">Pelteobagrus vachelli </w:t>
      </w:r>
      <w:bookmarkEnd w:id="1"/>
      <w:r>
        <w:rPr>
          <w:rFonts w:ascii="Times New Roman" w:hAnsi="Times New Roman" w:cs="Times New Roman"/>
          <w:b/>
          <w:bCs/>
          <w:szCs w:val="21"/>
        </w:rPr>
        <w:t xml:space="preserve">provides 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insights into its environmental adaptation and population history</w:t>
      </w:r>
    </w:p>
    <w:p>
      <w:pPr>
        <w:spacing w:line="360" w:lineRule="auto"/>
        <w:ind w:firstLine="420"/>
        <w:jc w:val="center"/>
        <w:rPr>
          <w:rFonts w:ascii="Times New Roman" w:hAnsi="Times New Roman" w:cs="Times New Roman"/>
          <w:b/>
          <w:bCs/>
          <w:szCs w:val="21"/>
        </w:rPr>
      </w:pPr>
    </w:p>
    <w:p>
      <w:pPr>
        <w:spacing w:line="360" w:lineRule="auto"/>
        <w:ind w:firstLine="420"/>
        <w:jc w:val="center"/>
        <w:rPr>
          <w:rFonts w:ascii="Times New Roman" w:hAnsi="Times New Roman" w:eastAsia="宋体" w:cs="Times New Roman"/>
          <w:bCs/>
          <w:szCs w:val="21"/>
          <w:vertAlign w:val="superscript"/>
        </w:rPr>
      </w:pPr>
      <w:r>
        <w:rPr>
          <w:rFonts w:ascii="Times New Roman" w:hAnsi="Times New Roman" w:cs="Times New Roman"/>
          <w:szCs w:val="21"/>
        </w:rPr>
        <w:t>Jie Li</w:t>
      </w:r>
      <w:r>
        <w:rPr>
          <w:rFonts w:ascii="Times New Roman" w:hAnsi="Times New Roman" w:cs="Times New Roman"/>
          <w:szCs w:val="21"/>
          <w:vertAlign w:val="superscript"/>
        </w:rPr>
        <w:t>#,1,2</w:t>
      </w:r>
      <w:r>
        <w:rPr>
          <w:rFonts w:ascii="Times New Roman" w:hAnsi="Times New Roman" w:cs="Times New Roman"/>
          <w:szCs w:val="21"/>
        </w:rPr>
        <w:t>, Tao Wang</w:t>
      </w:r>
      <w:r>
        <w:rPr>
          <w:rFonts w:ascii="Times New Roman" w:hAnsi="Times New Roman" w:cs="Times New Roman"/>
          <w:szCs w:val="21"/>
          <w:vertAlign w:val="superscript"/>
        </w:rPr>
        <w:t>#,</w:t>
      </w:r>
      <w:r>
        <w:rPr>
          <w:rFonts w:ascii="Times New Roman" w:hAnsi="Times New Roman" w:cs="Times New Roman"/>
          <w:szCs w:val="21"/>
        </w:rPr>
        <w:t>*</w:t>
      </w:r>
      <w:r>
        <w:rPr>
          <w:rFonts w:ascii="Times New Roman" w:hAnsi="Times New Roman" w:cs="Times New Roman"/>
          <w:szCs w:val="21"/>
          <w:vertAlign w:val="superscript"/>
        </w:rPr>
        <w:t>,1,2</w:t>
      </w:r>
      <w:r>
        <w:rPr>
          <w:rFonts w:ascii="Times New Roman" w:hAnsi="Times New Roman" w:cs="Times New Roman"/>
          <w:szCs w:val="21"/>
        </w:rPr>
        <w:t>, Wei Liu</w:t>
      </w:r>
      <w:r>
        <w:rPr>
          <w:rFonts w:ascii="Times New Roman" w:hAnsi="Times New Roman" w:cs="Times New Roman"/>
          <w:szCs w:val="21"/>
          <w:vertAlign w:val="superscript"/>
        </w:rPr>
        <w:t>#,3</w:t>
      </w:r>
      <w:r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eastAsia="宋体" w:cs="Times New Roman"/>
          <w:bCs/>
          <w:szCs w:val="21"/>
        </w:rPr>
        <w:t>Danqing Yin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4</w:t>
      </w:r>
      <w:r>
        <w:rPr>
          <w:rFonts w:ascii="Times New Roman" w:hAnsi="Times New Roman" w:eastAsia="宋体" w:cs="Times New Roman"/>
          <w:bCs/>
          <w:szCs w:val="21"/>
        </w:rPr>
        <w:t>, Zhengqing Lai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bCs/>
          <w:szCs w:val="21"/>
        </w:rPr>
        <w:t>,Guosong Zhang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1</w:t>
      </w:r>
      <w:r>
        <w:rPr>
          <w:rFonts w:ascii="Times New Roman" w:hAnsi="Times New Roman" w:eastAsia="宋体" w:cs="Times New Roman"/>
          <w:bCs/>
          <w:szCs w:val="21"/>
        </w:rPr>
        <w:t>, Kai Zhang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bCs/>
          <w:szCs w:val="21"/>
          <w:vertAlign w:val="superscript"/>
        </w:rPr>
        <w:t>,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, Jie Ji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1,2</w:t>
      </w:r>
      <w:r>
        <w:rPr>
          <w:rFonts w:ascii="Times New Roman" w:hAnsi="Times New Roman" w:eastAsia="宋体" w:cs="Times New Roman"/>
          <w:bCs/>
          <w:szCs w:val="21"/>
        </w:rPr>
        <w:t>, Shaowu Yin*</w:t>
      </w:r>
      <w:r>
        <w:rPr>
          <w:rFonts w:ascii="Times New Roman" w:hAnsi="Times New Roman" w:eastAsia="宋体" w:cs="Times New Roman"/>
          <w:bCs/>
          <w:szCs w:val="21"/>
          <w:vertAlign w:val="superscript"/>
        </w:rPr>
        <w:t>,1,2</w:t>
      </w:r>
    </w:p>
    <w:p>
      <w:pPr>
        <w:spacing w:line="360" w:lineRule="auto"/>
        <w:ind w:firstLine="420"/>
        <w:jc w:val="center"/>
        <w:rPr>
          <w:rFonts w:ascii="Times New Roman" w:hAnsi="Times New Roman" w:eastAsia="宋体" w:cs="Times New Roman"/>
          <w:bCs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# These authors contributed equally to this work.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Cs w:val="21"/>
        </w:rPr>
        <w:t xml:space="preserve">*Corresponding authors: Tao Wang, E-mails: </w:t>
      </w:r>
      <w:r>
        <w:fldChar w:fldCharType="begin"/>
      </w:r>
      <w:r>
        <w:instrText xml:space="preserve"> HYPERLINK "mailto:seawater88@126.com" </w:instrText>
      </w:r>
      <w:r>
        <w:fldChar w:fldCharType="separate"/>
      </w:r>
      <w:r>
        <w:rPr>
          <w:rStyle w:val="9"/>
          <w:rFonts w:ascii="Times New Roman" w:hAnsi="Times New Roman" w:cs="Times New Roman"/>
          <w:color w:val="auto"/>
          <w:szCs w:val="21"/>
          <w:u w:val="none"/>
        </w:rPr>
        <w:t>seawater88@126.com</w:t>
      </w:r>
      <w:r>
        <w:rPr>
          <w:rStyle w:val="9"/>
          <w:rFonts w:ascii="Times New Roman" w:hAnsi="Times New Roman" w:cs="Times New Roman"/>
          <w:color w:val="auto"/>
          <w:szCs w:val="21"/>
          <w:u w:val="none"/>
        </w:rPr>
        <w:fldChar w:fldCharType="end"/>
      </w:r>
      <w:r>
        <w:rPr>
          <w:rFonts w:ascii="Times New Roman" w:hAnsi="Times New Roman" w:cs="Times New Roman"/>
          <w:szCs w:val="21"/>
        </w:rPr>
        <w:t xml:space="preserve">; </w:t>
      </w:r>
      <w:r>
        <w:rPr>
          <w:rFonts w:ascii="Times New Roman" w:hAnsi="Times New Roman" w:eastAsia="宋体" w:cs="Times New Roman"/>
          <w:bCs/>
          <w:szCs w:val="21"/>
        </w:rPr>
        <w:t xml:space="preserve">Shaowu Yin, </w:t>
      </w:r>
      <w:r>
        <w:rPr>
          <w:rFonts w:ascii="Times New Roman" w:hAnsi="Times New Roman" w:cs="Times New Roman"/>
          <w:szCs w:val="21"/>
        </w:rPr>
        <w:t>E-mails: yinshaowu@163.com</w:t>
      </w:r>
    </w:p>
    <w:p>
      <w:pPr>
        <w:spacing w:line="360" w:lineRule="auto"/>
        <w:ind w:firstLine="420"/>
        <w:jc w:val="center"/>
        <w:rPr>
          <w:rFonts w:ascii="Times New Roman" w:hAnsi="Times New Roman" w:cs="Times New Roman"/>
          <w:szCs w:val="21"/>
        </w:rPr>
      </w:pPr>
    </w:p>
    <w:p>
      <w:pPr>
        <w:numPr>
          <w:ilvl w:val="0"/>
          <w:numId w:val="1"/>
        </w:numPr>
        <w:autoSpaceDE w:val="0"/>
        <w:autoSpaceDN w:val="0"/>
        <w:spacing w:line="360" w:lineRule="auto"/>
        <w:ind w:left="357" w:hanging="357" w:hangingChars="170"/>
        <w:rPr>
          <w:rFonts w:ascii="Times New Roman" w:hAnsi="Times New Roman" w:cs="Times New Roman"/>
          <w:i/>
          <w:kern w:val="0"/>
          <w:szCs w:val="21"/>
        </w:rPr>
      </w:pPr>
      <w:r>
        <w:rPr>
          <w:rFonts w:ascii="Times New Roman" w:hAnsi="Times New Roman" w:cs="Times New Roman"/>
          <w:i/>
          <w:kern w:val="0"/>
          <w:szCs w:val="21"/>
        </w:rPr>
        <w:t>College of Marine Science and Engineering,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szCs w:val="21"/>
        </w:rPr>
        <w:t>Jiangsu Province Engineering Research Center for Aquatic Animals Breeding and Green Efficient Aquacultural Technology</w:t>
      </w:r>
      <w:r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i/>
          <w:kern w:val="0"/>
          <w:szCs w:val="21"/>
        </w:rPr>
        <w:t xml:space="preserve"> Nanjing Normal University, Nanjing, Jiangsu 210023, China.</w:t>
      </w:r>
    </w:p>
    <w:p>
      <w:pPr>
        <w:numPr>
          <w:ilvl w:val="0"/>
          <w:numId w:val="1"/>
        </w:numPr>
        <w:spacing w:line="360" w:lineRule="auto"/>
        <w:ind w:left="357" w:hanging="357" w:hangingChars="170"/>
        <w:rPr>
          <w:rFonts w:ascii="Times New Roman" w:hAnsi="Times New Roman" w:cs="Times New Roman"/>
          <w:i/>
          <w:kern w:val="0"/>
          <w:szCs w:val="21"/>
        </w:rPr>
      </w:pPr>
      <w:r>
        <w:rPr>
          <w:rFonts w:ascii="Times New Roman" w:hAnsi="Times New Roman" w:cs="Times New Roman"/>
          <w:i/>
          <w:kern w:val="0"/>
          <w:szCs w:val="21"/>
        </w:rPr>
        <w:t>Co-Innovation Center for Marine Bio-Industry Technology of Jiangsu Province, Lianyungang, Jiangsu 222005, China.</w:t>
      </w:r>
    </w:p>
    <w:p>
      <w:pPr>
        <w:numPr>
          <w:ilvl w:val="0"/>
          <w:numId w:val="1"/>
        </w:numPr>
        <w:spacing w:line="360" w:lineRule="auto"/>
        <w:ind w:left="357" w:hanging="357" w:hangingChars="170"/>
        <w:rPr>
          <w:rFonts w:ascii="Times New Roman" w:hAnsi="Times New Roman" w:cs="Times New Roman"/>
          <w:i/>
          <w:kern w:val="0"/>
          <w:szCs w:val="21"/>
        </w:rPr>
      </w:pPr>
      <w:r>
        <w:rPr>
          <w:rFonts w:ascii="Times New Roman" w:hAnsi="Times New Roman" w:cs="Times New Roman"/>
          <w:i/>
          <w:kern w:val="0"/>
          <w:szCs w:val="21"/>
        </w:rPr>
        <w:t>Institute of Fisheries Science of Nanjing，Nanjing 210029，China.</w:t>
      </w:r>
    </w:p>
    <w:p>
      <w:pPr>
        <w:numPr>
          <w:ilvl w:val="0"/>
          <w:numId w:val="1"/>
        </w:numPr>
        <w:spacing w:line="360" w:lineRule="auto"/>
        <w:ind w:left="357" w:hanging="357" w:hangingChars="170"/>
        <w:rPr>
          <w:rFonts w:ascii="Times New Roman" w:hAnsi="Times New Roman" w:cs="Times New Roman"/>
          <w:i/>
          <w:iCs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i/>
          <w:color w:val="000000" w:themeColor="text1"/>
          <w:kern w:val="0"/>
          <w:szCs w:val="21"/>
        </w:rPr>
        <w:t>School of Biomedical Sciences, Li Ka Shing Faculty of Medicine, University of Hong Kong, Pokfulam, Hong Kong SAR, China</w:t>
      </w:r>
    </w:p>
    <w:p>
      <w:pPr>
        <w:widowControl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widowControl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kern w:val="0"/>
          <w:sz w:val="20"/>
        </w:rPr>
        <w:drawing>
          <wp:inline distT="0" distB="0" distL="0" distR="0">
            <wp:extent cx="4067175" cy="2824480"/>
            <wp:effectExtent l="0" t="0" r="0" b="0"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6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653" cy="282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Fig. S1 Genome survey of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P. vachelli </w:t>
      </w:r>
      <w:r>
        <w:rPr>
          <w:rFonts w:ascii="Times New Roman" w:hAnsi="Times New Roman" w:cs="Times New Roman"/>
          <w:color w:val="000000" w:themeColor="text1"/>
          <w:szCs w:val="21"/>
        </w:rPr>
        <w:t>using 17-mer analysis</w:t>
      </w:r>
    </w:p>
    <w:bookmarkEnd w:id="0"/>
    <w:p>
      <w:pPr>
        <w:rPr>
          <w:rFonts w:ascii="Times New Roman" w:hAnsi="Times New Roman" w:cs="Times New Roman"/>
        </w:rPr>
      </w:pPr>
    </w:p>
    <w:p>
      <w:pPr>
        <w:jc w:val="center"/>
        <w:rPr>
          <w:rFonts w:ascii="Times New Roman" w:hAnsi="Times New Roman" w:cs="Times New Roman"/>
        </w:rPr>
      </w:pPr>
      <w:bookmarkStart w:id="2" w:name="_Hlk79867063"/>
      <w:r>
        <w:rPr>
          <w:rFonts w:ascii="Times New Roman" w:hAnsi="Times New Roman" w:cs="Times New Roman"/>
        </w:rPr>
        <w:drawing>
          <wp:inline distT="0" distB="0" distL="0" distR="0">
            <wp:extent cx="4131945" cy="4104005"/>
            <wp:effectExtent l="0" t="0" r="1905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16" cy="41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Fig. S2 Sequence depth and GC content of the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P. vachelli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genome</w:t>
      </w:r>
      <w:r>
        <w:rPr>
          <w:rFonts w:hint="eastAsia" w:ascii="Times New Roman" w:hAnsi="Times New Roman" w:cs="Times New Roman"/>
          <w:color w:val="000000" w:themeColor="text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.</w:t>
      </w:r>
      <w:bookmarkEnd w:id="2"/>
    </w:p>
    <w:p>
      <w:pPr>
        <w:widowControl/>
        <w:jc w:val="center"/>
        <w:rPr>
          <w:rFonts w:ascii="Times New Roman" w:hAnsi="Times New Roman" w:cs="Times New Roman"/>
          <w:color w:val="4472C4" w:themeColor="accent1"/>
          <w:szCs w:val="21"/>
          <w:highlight w:val="green"/>
        </w:rPr>
      </w:pPr>
      <w:bookmarkStart w:id="3" w:name="_Hlk79867520"/>
      <w:r>
        <w:rPr>
          <w:rFonts w:ascii="宋体" w:hAnsi="Arial" w:eastAsia="Arial" w:cs="Arial"/>
          <w:b/>
          <w:kern w:val="0"/>
          <w:sz w:val="20"/>
        </w:rPr>
        <w:drawing>
          <wp:inline distT="0" distB="0" distL="0" distR="0">
            <wp:extent cx="4849495" cy="7355205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082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before="156" w:beforeLines="50" w:line="360" w:lineRule="auto"/>
        <w:jc w:val="center"/>
        <w:textAlignment w:val="baseline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F</w:t>
      </w:r>
      <w:r>
        <w:rPr>
          <w:rFonts w:hint="eastAsia" w:ascii="Times New Roman" w:hAnsi="Times New Roman" w:eastAsia="宋体" w:cs="Times New Roman"/>
          <w:bCs/>
          <w:szCs w:val="21"/>
        </w:rPr>
        <w:t>ig.</w:t>
      </w:r>
      <w:r>
        <w:rPr>
          <w:rFonts w:ascii="Times New Roman" w:hAnsi="Times New Roman" w:eastAsia="宋体" w:cs="Times New Roman"/>
          <w:bCs/>
          <w:szCs w:val="21"/>
        </w:rPr>
        <w:t xml:space="preserve"> S3</w:t>
      </w:r>
      <w:r>
        <w:rPr>
          <w:rFonts w:hint="eastAsia" w:ascii="Times New Roman" w:hAnsi="Times New Roman" w:eastAsia="宋体" w:cs="Times New Roman"/>
          <w:bCs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 xml:space="preserve">Characteristics comparison of protein-coding genes in genomes of </w:t>
      </w:r>
      <w:r>
        <w:rPr>
          <w:rFonts w:ascii="Times New Roman" w:hAnsi="Times New Roman" w:cs="Times New Roman"/>
          <w:bCs/>
          <w:i/>
          <w:color w:val="000000" w:themeColor="text1"/>
          <w:szCs w:val="21"/>
        </w:rPr>
        <w:t>P. vachelli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>and other teleosts.</w:t>
      </w:r>
    </w:p>
    <w:bookmarkEnd w:id="3"/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/>
        </w:rPr>
        <w:drawing>
          <wp:inline distT="0" distB="0" distL="0" distR="0">
            <wp:extent cx="5274310" cy="49764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bookmarkStart w:id="8" w:name="_GoBack"/>
      <w:r>
        <w:rPr>
          <w:rFonts w:ascii="Times New Roman" w:hAnsi="Times New Roman" w:eastAsia="宋体" w:cs="Times New Roman"/>
          <w:bCs/>
          <w:szCs w:val="21"/>
        </w:rPr>
        <w:t>F</w:t>
      </w:r>
      <w:r>
        <w:rPr>
          <w:rFonts w:hint="eastAsia" w:ascii="Times New Roman" w:hAnsi="Times New Roman" w:eastAsia="宋体" w:cs="Times New Roman"/>
          <w:bCs/>
          <w:szCs w:val="21"/>
        </w:rPr>
        <w:t>ig.</w:t>
      </w:r>
      <w:r>
        <w:rPr>
          <w:rFonts w:ascii="Times New Roman" w:hAnsi="Times New Roman" w:eastAsia="宋体" w:cs="Times New Roman"/>
          <w:bCs/>
          <w:szCs w:val="21"/>
        </w:rPr>
        <w:t xml:space="preserve"> S</w:t>
      </w:r>
      <w:r>
        <w:rPr>
          <w:rFonts w:hint="eastAsia" w:ascii="Times New Roman" w:hAnsi="Times New Roman" w:eastAsia="宋体" w:cs="Times New Roman"/>
          <w:bCs/>
          <w:szCs w:val="21"/>
          <w:lang w:val="en-US" w:eastAsia="zh-CN"/>
        </w:rPr>
        <w:t>4</w:t>
      </w:r>
      <w:bookmarkEnd w:id="8"/>
      <w:r>
        <w:rPr>
          <w:rFonts w:hint="eastAsia" w:ascii="Times New Roman" w:hAnsi="Times New Roman" w:eastAsia="宋体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Synteny analysis among the genomes </w:t>
      </w:r>
      <w:r>
        <w:rPr>
          <w:rFonts w:hint="eastAsia" w:ascii="Times New Roman" w:hAnsi="Times New Roman" w:cs="Times New Roman"/>
          <w:bCs/>
          <w:i/>
          <w:iCs/>
          <w:lang w:val="en-US" w:eastAsia="zh-CN"/>
        </w:rPr>
        <w:t>P</w:t>
      </w:r>
      <w:r>
        <w:rPr>
          <w:rFonts w:hint="eastAsia" w:ascii="Times New Roman" w:hAnsi="Times New Roman" w:cs="Times New Roman"/>
          <w:bCs/>
          <w:i/>
          <w:iCs/>
        </w:rPr>
        <w:t>elteobagrus vachelli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P</w:t>
      </w:r>
      <w:r>
        <w:rPr>
          <w:rFonts w:hint="eastAsia" w:ascii="Times New Roman" w:hAnsi="Times New Roman" w:cs="Times New Roman"/>
          <w:i/>
          <w:iCs/>
          <w:color w:val="000000" w:themeColor="text1"/>
          <w:szCs w:val="21"/>
        </w:rPr>
        <w:t>.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fulvidraco 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and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</w:t>
      </w:r>
      <w:r>
        <w:rPr>
          <w:rFonts w:hint="eastAsia" w:ascii="Times New Roman" w:hAnsi="Times New Roman" w:cs="Times New Roman"/>
          <w:i/>
          <w:iCs/>
          <w:color w:val="000000" w:themeColor="text1"/>
          <w:szCs w:val="21"/>
        </w:rPr>
        <w:t>Ictalurus punctatus</w:t>
      </w:r>
      <w:r>
        <w:rPr>
          <w:rFonts w:hint="eastAsia" w:ascii="Times New Roman" w:hAnsi="Times New Roman" w:cs="Times New Roman"/>
          <w:i/>
          <w:iCs/>
          <w:color w:val="000000" w:themeColor="text1"/>
          <w:szCs w:val="21"/>
          <w:lang w:val="en-US" w:eastAsia="zh-CN"/>
        </w:rPr>
        <w:t xml:space="preserve">. </w:t>
      </w:r>
      <w:r>
        <w:rPr>
          <w:rFonts w:ascii="Times New Roman" w:hAnsi="Times New Roman" w:cs="Times New Roman"/>
        </w:rPr>
        <w:t>(A) Macrosynteny between</w:t>
      </w:r>
      <w:r>
        <w:rPr>
          <w:rFonts w:ascii="Times New Roman" w:hAnsi="Times New Roman" w:cs="Times New Roman"/>
          <w:bCs/>
          <w:i/>
          <w:iCs/>
        </w:rPr>
        <w:t xml:space="preserve"> P. vachelli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P</w:t>
      </w:r>
      <w:r>
        <w:rPr>
          <w:rFonts w:hint="eastAsia" w:ascii="Times New Roman" w:hAnsi="Times New Roman" w:cs="Times New Roman"/>
          <w:i/>
          <w:iCs/>
          <w:color w:val="000000" w:themeColor="text1"/>
          <w:szCs w:val="21"/>
        </w:rPr>
        <w:t>.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fulvidraco 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and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 xml:space="preserve"> I. punctatus</w:t>
      </w:r>
      <w:r>
        <w:rPr>
          <w:rFonts w:ascii="Times New Roman" w:hAnsi="Times New Roman" w:cs="Times New Roman"/>
        </w:rPr>
        <w:t>. (B)</w:t>
      </w:r>
      <w:r>
        <w:t xml:space="preserve"> </w:t>
      </w:r>
      <w:r>
        <w:rPr>
          <w:rFonts w:ascii="Times New Roman" w:hAnsi="Times New Roman" w:cs="Times New Roman"/>
        </w:rPr>
        <w:t>Comparison with P</w:t>
      </w:r>
      <w:r>
        <w:rPr>
          <w:rFonts w:ascii="Times New Roman" w:hAnsi="Times New Roman" w:cs="Times New Roman"/>
          <w:i/>
        </w:rPr>
        <w:t>. fulvidraco</w:t>
      </w:r>
      <w:r>
        <w:rPr>
          <w:rFonts w:ascii="Times New Roman" w:hAnsi="Times New Roman" w:cs="Times New Roman"/>
        </w:rPr>
        <w:t xml:space="preserve"> (PF) and</w:t>
      </w:r>
      <w:r>
        <w:rPr>
          <w:rFonts w:ascii="Times New Roman" w:hAnsi="Times New Roman" w:cs="Times New Roman"/>
          <w:i/>
        </w:rPr>
        <w:t xml:space="preserve"> P. vachelli </w:t>
      </w:r>
      <w:r>
        <w:rPr>
          <w:rFonts w:ascii="Times New Roman" w:hAnsi="Times New Roman" w:cs="Times New Roman"/>
        </w:rPr>
        <w:t>(PV) chromosomes reveals synteny</w:t>
      </w:r>
      <w:r>
        <w:rPr>
          <w:rFonts w:hint="eastAsia"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the syntenic PF blocks are painted onto PV chromosomes.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52743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eastAsia="宋体" w:cs="Times New Roman"/>
          <w:bCs/>
          <w:szCs w:val="21"/>
        </w:rPr>
        <w:t>F</w:t>
      </w:r>
      <w:r>
        <w:rPr>
          <w:rFonts w:hint="eastAsia" w:ascii="Times New Roman" w:hAnsi="Times New Roman" w:eastAsia="宋体" w:cs="Times New Roman"/>
          <w:bCs/>
          <w:szCs w:val="21"/>
        </w:rPr>
        <w:t>ig.</w:t>
      </w:r>
      <w:r>
        <w:rPr>
          <w:rFonts w:hint="eastAsia" w:ascii="Times New Roman" w:hAnsi="Times New Roman" w:eastAsia="宋体" w:cs="Times New Roman"/>
          <w:bCs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>S</w:t>
      </w:r>
      <w:r>
        <w:rPr>
          <w:rFonts w:hint="eastAsia" w:ascii="Times New Roman" w:hAnsi="Times New Roman" w:eastAsia="宋体" w:cs="Times New Roman"/>
          <w:bCs/>
          <w:szCs w:val="21"/>
          <w:lang w:val="en-US" w:eastAsia="zh-CN"/>
        </w:rPr>
        <w:t>5</w:t>
      </w:r>
      <w:r>
        <w:rPr>
          <w:rFonts w:ascii="Times New Roman" w:hAnsi="Times New Roman" w:eastAsia="宋体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</w:rPr>
        <w:t xml:space="preserve">Hierarchical clustering of differentially expressed genes among six libraries. (A) </w:t>
      </w:r>
      <w:r>
        <w:rPr>
          <w:rFonts w:ascii="Times New Roman" w:hAnsi="Times New Roman" w:cs="Times New Roman"/>
          <w:bCs/>
          <w:i/>
        </w:rPr>
        <w:t xml:space="preserve">Edwardsiella ictaluri </w:t>
      </w:r>
      <w:r>
        <w:rPr>
          <w:rFonts w:ascii="Times New Roman" w:hAnsi="Times New Roman" w:cs="Times New Roman"/>
          <w:bCs/>
        </w:rPr>
        <w:t>infection transcriptome (3 control group BC vs 3 treatment group BT). (B) Hypoxia stress transcriptome (3 control group P0 vs 3 treatment group P4). (C) High temperature stress transcriptome (3 control group WC vs 3 treatment group WT).</w:t>
      </w:r>
    </w:p>
    <w:p>
      <w:pPr>
        <w:spacing w:line="360" w:lineRule="auto"/>
        <w:rPr>
          <w:rFonts w:ascii="Times New Roman" w:hAnsi="Times New Roman" w:cs="Times New Roman"/>
          <w:bCs/>
        </w:rPr>
      </w:pPr>
    </w:p>
    <w:p>
      <w:pPr>
        <w:spacing w:line="360" w:lineRule="auto"/>
        <w:jc w:val="center"/>
        <w:rPr>
          <w:rFonts w:cs="Times New Roman"/>
        </w:rPr>
      </w:pPr>
      <w:r>
        <w:drawing>
          <wp:inline distT="0" distB="0" distL="0" distR="0">
            <wp:extent cx="4145280" cy="3442970"/>
            <wp:effectExtent l="0" t="0" r="7620" b="5080"/>
            <wp:docPr id="1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37" cy="34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/>
          <w:bCs/>
        </w:rPr>
        <w:t>F</w:t>
      </w:r>
      <w:r>
        <w:rPr>
          <w:rFonts w:hint="eastAsia" w:ascii="Times New Roman" w:hAnsi="Times New Roman" w:cs="Times New Roman"/>
          <w:bCs/>
        </w:rPr>
        <w:t>ig.</w:t>
      </w:r>
      <w:r>
        <w:rPr>
          <w:rFonts w:ascii="Times New Roman" w:hAnsi="Times New Roman" w:cs="Times New Roman"/>
          <w:bCs/>
        </w:rPr>
        <w:t>S</w:t>
      </w:r>
      <w:r>
        <w:rPr>
          <w:rFonts w:hint="eastAsia" w:ascii="Times New Roman" w:hAnsi="Times New Roman" w:cs="Times New Roman"/>
          <w:bCs/>
          <w:lang w:val="en-US" w:eastAsia="zh-CN"/>
        </w:rPr>
        <w:t>6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hint="eastAsia" w:ascii="Times New Roman" w:hAnsi="Times New Roman" w:cs="Times New Roman"/>
          <w:bCs/>
          <w:lang w:val="en-US" w:eastAsia="zh-CN"/>
        </w:rPr>
        <w:t xml:space="preserve"> Linkage disequilibrium (LD) decay of </w:t>
      </w:r>
      <w:r>
        <w:rPr>
          <w:rFonts w:hint="eastAsia" w:ascii="Times New Roman" w:hAnsi="Times New Roman" w:cs="Times New Roman"/>
          <w:bCs/>
          <w:i/>
          <w:iCs/>
          <w:lang w:val="en-US" w:eastAsia="zh-CN"/>
        </w:rPr>
        <w:t>Pelteobagrus vachelli</w:t>
      </w:r>
      <w:r>
        <w:rPr>
          <w:rFonts w:hint="eastAsia" w:ascii="Times New Roman" w:hAnsi="Times New Roman" w:cs="Times New Roman"/>
          <w:bCs/>
          <w:lang w:val="en-US" w:eastAsia="zh-CN"/>
        </w:rPr>
        <w:t xml:space="preserve"> geographic populations.</w:t>
      </w:r>
    </w:p>
    <w:p>
      <w:pPr>
        <w:widowControl/>
        <w:jc w:val="center"/>
        <w:rPr>
          <w:rFonts w:hint="eastAsia" w:ascii="Arial" w:hAnsi="Arial" w:cs="Arial"/>
          <w:color w:val="2E3033"/>
          <w:sz w:val="18"/>
          <w:szCs w:val="18"/>
          <w:shd w:val="clear" w:color="auto" w:fill="FFFFFF"/>
          <w:lang w:val="en-US" w:eastAsia="zh-C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Table S1 </w:t>
      </w:r>
      <w:r>
        <w:rPr>
          <w:rFonts w:ascii="Times New Roman" w:hAnsi="Times New Roman" w:cs="Times New Roman"/>
          <w:bCs/>
        </w:rPr>
        <w:t xml:space="preserve">Chromosome lengths of the </w:t>
      </w:r>
      <w:bookmarkStart w:id="4" w:name="_Hlk74743811"/>
      <w:r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P. vachelli</w:t>
      </w:r>
      <w:bookmarkEnd w:id="4"/>
    </w:p>
    <w:tbl>
      <w:tblPr>
        <w:tblStyle w:val="7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1802"/>
        <w:gridCol w:w="246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</w:t>
            </w:r>
          </w:p>
        </w:tc>
        <w:tc>
          <w:tcPr>
            <w:tcW w:w="213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Number of Contigs</w:t>
            </w:r>
          </w:p>
        </w:tc>
        <w:tc>
          <w:tcPr>
            <w:tcW w:w="1802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Length of Contigs (bp)</w:t>
            </w:r>
          </w:p>
        </w:tc>
        <w:tc>
          <w:tcPr>
            <w:tcW w:w="246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Length of Superscaffold (bp)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auto" w:sz="4" w:space="0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</w:t>
            </w:r>
          </w:p>
        </w:tc>
        <w:tc>
          <w:tcPr>
            <w:tcW w:w="2130" w:type="dxa"/>
            <w:tcBorders>
              <w:top w:val="single" w:color="auto" w:sz="4" w:space="0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7</w:t>
            </w:r>
          </w:p>
        </w:tc>
        <w:tc>
          <w:tcPr>
            <w:tcW w:w="1802" w:type="dxa"/>
            <w:tcBorders>
              <w:top w:val="single" w:color="auto" w:sz="4" w:space="0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43,552,793</w:t>
            </w:r>
          </w:p>
        </w:tc>
        <w:tc>
          <w:tcPr>
            <w:tcW w:w="2460" w:type="dxa"/>
            <w:tcBorders>
              <w:top w:val="single" w:color="auto" w:sz="4" w:space="0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43,555,793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</w:t>
            </w:r>
          </w:p>
        </w:tc>
        <w:tc>
          <w:tcPr>
            <w:tcW w:w="2130" w:type="dxa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</w:t>
            </w:r>
          </w:p>
        </w:tc>
        <w:tc>
          <w:tcPr>
            <w:tcW w:w="1802" w:type="dxa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35,571,735</w:t>
            </w:r>
          </w:p>
        </w:tc>
        <w:tc>
          <w:tcPr>
            <w:tcW w:w="2460" w:type="dxa"/>
            <w:tcBorders>
              <w:top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35,574,235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Superscaffold3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33,723,873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33,724,373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Superscaffold4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32,900,106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32,901,106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Superscaffold5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32,416,300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32,418,800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Superscaffold6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32,163,036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32,164,536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Superscaffold7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30,600,000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30,601,500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Superscaffold8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28,411,188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28,412,688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Superscaffold9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28,350,000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28,351,000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Superscaffold10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28,145,298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28,145,798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Superscaffold11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26,780,157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26,782,657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Superscaffold12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26,348,281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26,348,281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Superscaffold13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11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25,896,723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25,901,723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Superscaffold14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23,636,113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23,638,113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Superscaffold15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22,908,928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22,908,928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Superscaffold16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22,358,250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22,358,750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Superscaffold17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22,311,938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22,312,938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Superscaffold18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22,250,000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22,251,000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Superscaffold19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22,249,745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22,250,245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Superscaffold20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18,725,326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18,726,326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Superscaffold21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17,967,260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17,969,260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Superscaffold22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17,647,768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17,647,768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Superscaffold23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17,201,210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17,203,710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Superscaffold24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17,155,006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17,155,506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Superscaffold25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16,673,453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16,674,953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Superscaffold26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5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16,186,400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16,188,400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TOTAL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101</w:t>
            </w:r>
          </w:p>
        </w:tc>
        <w:tc>
          <w:tcPr>
            <w:tcW w:w="18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662,130,887</w:t>
            </w:r>
          </w:p>
        </w:tc>
        <w:tc>
          <w:tcPr>
            <w:tcW w:w="2460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662,168,387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widowControl/>
        <w:jc w:val="center"/>
        <w:rPr>
          <w:rFonts w:hint="default" w:ascii="Times New Roman" w:hAnsi="Times New Roman" w:eastAsia="宋体" w:cs="Times New Roman"/>
          <w:color w:val="FF0000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Table S2. BUSCO assessment of the 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 xml:space="preserve">P. vachelli </w:t>
      </w:r>
      <w:r>
        <w:rPr>
          <w:rFonts w:ascii="Times New Roman" w:hAnsi="Times New Roman" w:eastAsia="宋体" w:cs="Times New Roman"/>
          <w:color w:val="000000"/>
          <w:szCs w:val="21"/>
        </w:rPr>
        <w:t>genome assembly</w:t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FF0000"/>
          <w:szCs w:val="21"/>
          <w:lang w:val="en-US" w:eastAsia="zh-CN"/>
        </w:rPr>
        <w:t>and a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nnotation</w:t>
      </w:r>
    </w:p>
    <w:tbl>
      <w:tblPr>
        <w:tblStyle w:val="13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9"/>
        <w:gridCol w:w="905"/>
        <w:gridCol w:w="1589"/>
        <w:gridCol w:w="943"/>
        <w:gridCol w:w="150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1449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Assembly</w:t>
            </w:r>
          </w:p>
        </w:tc>
        <w:tc>
          <w:tcPr>
            <w:tcW w:w="1446" w:type="pct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Annotation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</w:tblPrEx>
        <w:trPr>
          <w:trHeight w:val="267" w:hRule="atLeast"/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Term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Proteins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Percentage (%)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Proteins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Percentage (%)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complete BUSCOs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4,250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92.7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4200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91</w:t>
            </w: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Complete and single-copy BUSCOs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4,071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88.8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</w:rPr>
              <w:t>3940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86.0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Complete and duplicated BUSCOs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179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3.9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260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5.7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Fragmented BUSCOs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63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1.4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106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2.3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Missing BUSCOs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271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5.9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278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6.0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Total BUSCO groups searched</w:t>
            </w:r>
          </w:p>
        </w:tc>
        <w:tc>
          <w:tcPr>
            <w:tcW w:w="513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4,584</w:t>
            </w:r>
          </w:p>
        </w:tc>
        <w:tc>
          <w:tcPr>
            <w:tcW w:w="936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Cs w:val="21"/>
              </w:rPr>
              <w:t>100.0</w:t>
            </w:r>
          </w:p>
        </w:tc>
        <w:tc>
          <w:tcPr>
            <w:tcW w:w="557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4585</w:t>
            </w:r>
          </w:p>
        </w:tc>
        <w:tc>
          <w:tcPr>
            <w:tcW w:w="889" w:type="pct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FF0000"/>
                <w:szCs w:val="21"/>
                <w:lang w:val="en-US" w:eastAsia="zh-CN"/>
              </w:rPr>
              <w:t>100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widowControl/>
        <w:ind w:firstLine="420" w:firstLineChars="200"/>
        <w:jc w:val="center"/>
        <w:rPr>
          <w:rFonts w:ascii="Times New Roman" w:hAnsi="Times New Roman" w:cs="Times New Roman"/>
          <w:color w:val="000000" w:themeColor="text1"/>
          <w:szCs w:val="21"/>
        </w:rPr>
      </w:pPr>
      <w:bookmarkStart w:id="5" w:name="_Hlk79867153"/>
      <w:r>
        <w:rPr>
          <w:rFonts w:ascii="Times New Roman" w:hAnsi="Times New Roman" w:cs="Times New Roman"/>
          <w:color w:val="000000" w:themeColor="text1"/>
          <w:szCs w:val="21"/>
        </w:rPr>
        <w:t>Table S3. Categorization of repetitive sequences</w:t>
      </w:r>
    </w:p>
    <w:tbl>
      <w:tblPr>
        <w:tblStyle w:val="7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1312"/>
        <w:gridCol w:w="1015"/>
        <w:gridCol w:w="1600"/>
        <w:gridCol w:w="1020"/>
        <w:gridCol w:w="1455"/>
        <w:gridCol w:w="96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  <w:vMerge w:val="restart"/>
            <w:tcBorders>
              <w:top w:val="single" w:color="auto" w:sz="12" w:space="0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Type</w:t>
            </w:r>
          </w:p>
        </w:tc>
        <w:tc>
          <w:tcPr>
            <w:tcW w:w="1364" w:type="pct"/>
            <w:gridSpan w:val="2"/>
            <w:tcBorders>
              <w:top w:val="single" w:color="auto" w:sz="12" w:space="0"/>
              <w:bottom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10" w:firstLineChars="10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Repeat Masker TE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s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210" w:firstLineChars="10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(Repbase+Denovo)</w:t>
            </w:r>
          </w:p>
        </w:tc>
        <w:tc>
          <w:tcPr>
            <w:tcW w:w="1536" w:type="pct"/>
            <w:gridSpan w:val="2"/>
            <w:tcBorders>
              <w:top w:val="single" w:color="auto" w:sz="12" w:space="0"/>
              <w:bottom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Repeat Protein Mask TEs</w:t>
            </w:r>
          </w:p>
        </w:tc>
        <w:tc>
          <w:tcPr>
            <w:tcW w:w="1415" w:type="pct"/>
            <w:gridSpan w:val="2"/>
            <w:tcBorders>
              <w:top w:val="single" w:color="auto" w:sz="12" w:space="0"/>
              <w:bottom w:val="nil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Combined TEs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  <w:vMerge w:val="continue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769" w:type="pct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Length(bp)</w:t>
            </w:r>
          </w:p>
        </w:tc>
        <w:tc>
          <w:tcPr>
            <w:tcW w:w="595" w:type="pct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%in Genome</w:t>
            </w:r>
          </w:p>
        </w:tc>
        <w:tc>
          <w:tcPr>
            <w:tcW w:w="938" w:type="pct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Length (bp)</w:t>
            </w:r>
          </w:p>
        </w:tc>
        <w:tc>
          <w:tcPr>
            <w:tcW w:w="598" w:type="pct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% in Genome</w:t>
            </w:r>
          </w:p>
        </w:tc>
        <w:tc>
          <w:tcPr>
            <w:tcW w:w="853" w:type="pct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Length(bp)</w:t>
            </w:r>
          </w:p>
        </w:tc>
        <w:tc>
          <w:tcPr>
            <w:tcW w:w="562" w:type="pct"/>
            <w:tcBorders>
              <w:top w:val="nil"/>
              <w:bottom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% in Genome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DNA</w:t>
            </w:r>
          </w:p>
        </w:tc>
        <w:tc>
          <w:tcPr>
            <w:tcW w:w="769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76,377,513</w:t>
            </w:r>
          </w:p>
        </w:tc>
        <w:tc>
          <w:tcPr>
            <w:tcW w:w="595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11.51</w:t>
            </w:r>
          </w:p>
        </w:tc>
        <w:tc>
          <w:tcPr>
            <w:tcW w:w="938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232,667</w:t>
            </w:r>
          </w:p>
        </w:tc>
        <w:tc>
          <w:tcPr>
            <w:tcW w:w="598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0.04</w:t>
            </w:r>
          </w:p>
        </w:tc>
        <w:tc>
          <w:tcPr>
            <w:tcW w:w="853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126,941,218</w:t>
            </w:r>
          </w:p>
        </w:tc>
        <w:tc>
          <w:tcPr>
            <w:tcW w:w="562" w:type="pct"/>
            <w:tcBorders>
              <w:top w:val="single" w:color="auto" w:sz="12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19.13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LINE</w:t>
            </w:r>
          </w:p>
        </w:tc>
        <w:tc>
          <w:tcPr>
            <w:tcW w:w="769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25,491,478</w:t>
            </w:r>
          </w:p>
        </w:tc>
        <w:tc>
          <w:tcPr>
            <w:tcW w:w="595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3.84</w:t>
            </w:r>
          </w:p>
        </w:tc>
        <w:tc>
          <w:tcPr>
            <w:tcW w:w="93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16,800,962</w:t>
            </w:r>
          </w:p>
        </w:tc>
        <w:tc>
          <w:tcPr>
            <w:tcW w:w="59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2.53</w:t>
            </w:r>
          </w:p>
        </w:tc>
        <w:tc>
          <w:tcPr>
            <w:tcW w:w="85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57,253,770</w:t>
            </w:r>
          </w:p>
        </w:tc>
        <w:tc>
          <w:tcPr>
            <w:tcW w:w="562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8.63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SINE</w:t>
            </w:r>
          </w:p>
        </w:tc>
        <w:tc>
          <w:tcPr>
            <w:tcW w:w="769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15,732,540</w:t>
            </w:r>
          </w:p>
        </w:tc>
        <w:tc>
          <w:tcPr>
            <w:tcW w:w="595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2.37</w:t>
            </w:r>
          </w:p>
        </w:tc>
        <w:tc>
          <w:tcPr>
            <w:tcW w:w="93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59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0.00</w:t>
            </w:r>
          </w:p>
        </w:tc>
        <w:tc>
          <w:tcPr>
            <w:tcW w:w="85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21,308,179</w:t>
            </w:r>
          </w:p>
        </w:tc>
        <w:tc>
          <w:tcPr>
            <w:tcW w:w="562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3.21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LTR</w:t>
            </w:r>
          </w:p>
        </w:tc>
        <w:tc>
          <w:tcPr>
            <w:tcW w:w="769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15,528,438</w:t>
            </w:r>
          </w:p>
        </w:tc>
        <w:tc>
          <w:tcPr>
            <w:tcW w:w="595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2.34</w:t>
            </w:r>
          </w:p>
        </w:tc>
        <w:tc>
          <w:tcPr>
            <w:tcW w:w="93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6,861,644</w:t>
            </w:r>
          </w:p>
        </w:tc>
        <w:tc>
          <w:tcPr>
            <w:tcW w:w="59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1.03</w:t>
            </w:r>
          </w:p>
        </w:tc>
        <w:tc>
          <w:tcPr>
            <w:tcW w:w="85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49,980,860</w:t>
            </w:r>
          </w:p>
        </w:tc>
        <w:tc>
          <w:tcPr>
            <w:tcW w:w="562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7.53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Other</w:t>
            </w:r>
          </w:p>
        </w:tc>
        <w:tc>
          <w:tcPr>
            <w:tcW w:w="769" w:type="pct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13,409,564</w:t>
            </w:r>
          </w:p>
        </w:tc>
        <w:tc>
          <w:tcPr>
            <w:tcW w:w="595" w:type="pct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2.02</w:t>
            </w:r>
          </w:p>
        </w:tc>
        <w:tc>
          <w:tcPr>
            <w:tcW w:w="938" w:type="pct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598" w:type="pct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853" w:type="pct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23,644,032</w:t>
            </w:r>
          </w:p>
        </w:tc>
        <w:tc>
          <w:tcPr>
            <w:tcW w:w="562" w:type="pct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3.56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Unknown</w:t>
            </w:r>
          </w:p>
        </w:tc>
        <w:tc>
          <w:tcPr>
            <w:tcW w:w="769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456,025</w:t>
            </w:r>
          </w:p>
        </w:tc>
        <w:tc>
          <w:tcPr>
            <w:tcW w:w="595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0.07</w:t>
            </w:r>
          </w:p>
        </w:tc>
        <w:tc>
          <w:tcPr>
            <w:tcW w:w="93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59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0.00</w:t>
            </w:r>
          </w:p>
        </w:tc>
        <w:tc>
          <w:tcPr>
            <w:tcW w:w="85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1,485,802</w:t>
            </w:r>
          </w:p>
        </w:tc>
        <w:tc>
          <w:tcPr>
            <w:tcW w:w="562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0.22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Total</w:t>
            </w:r>
          </w:p>
        </w:tc>
        <w:tc>
          <w:tcPr>
            <w:tcW w:w="769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132,113,227</w:t>
            </w:r>
          </w:p>
        </w:tc>
        <w:tc>
          <w:tcPr>
            <w:tcW w:w="595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19.91</w:t>
            </w:r>
          </w:p>
        </w:tc>
        <w:tc>
          <w:tcPr>
            <w:tcW w:w="93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23,885,345</w:t>
            </w:r>
          </w:p>
        </w:tc>
        <w:tc>
          <w:tcPr>
            <w:tcW w:w="598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3.60</w:t>
            </w:r>
          </w:p>
        </w:tc>
        <w:tc>
          <w:tcPr>
            <w:tcW w:w="853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231,599,803</w:t>
            </w:r>
          </w:p>
        </w:tc>
        <w:tc>
          <w:tcPr>
            <w:tcW w:w="562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34.90</w:t>
            </w:r>
          </w:p>
        </w:tc>
      </w:tr>
      <w:bookmarkEnd w:id="5"/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  <w:bookmarkStart w:id="6" w:name="_Hlk74752123"/>
      <w:r>
        <w:rPr>
          <w:rFonts w:ascii="Times New Roman" w:hAnsi="Times New Roman" w:cs="Times New Roman"/>
          <w:color w:val="000000" w:themeColor="text1"/>
          <w:szCs w:val="21"/>
        </w:rPr>
        <w:t>Table S4.</w:t>
      </w:r>
      <w:bookmarkEnd w:id="6"/>
      <w:r>
        <w:rPr>
          <w:rFonts w:ascii="Times New Roman" w:hAnsi="Times New Roman" w:cs="Times New Roman"/>
          <w:color w:val="000000" w:themeColor="text1"/>
          <w:szCs w:val="21"/>
        </w:rPr>
        <w:t xml:space="preserve"> Statistics of gene prediction</w:t>
      </w:r>
    </w:p>
    <w:tbl>
      <w:tblPr>
        <w:tblStyle w:val="7"/>
        <w:tblW w:w="0" w:type="auto"/>
        <w:tblInd w:w="-405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0"/>
        <w:gridCol w:w="1337"/>
        <w:gridCol w:w="925"/>
        <w:gridCol w:w="1111"/>
        <w:gridCol w:w="1112"/>
        <w:gridCol w:w="1206"/>
        <w:gridCol w:w="1112"/>
        <w:gridCol w:w="112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Gene set</w:t>
            </w:r>
          </w:p>
        </w:tc>
        <w:tc>
          <w:tcPr>
            <w:tcW w:w="92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Number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Average gene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length(bp)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Average CDS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length(bp)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Average exon</w:t>
            </w:r>
            <w:r>
              <w:rPr>
                <w:rFonts w:hint="eastAsia" w:ascii="Times New Roman" w:hAnsi="Times New Roman" w:cs="Times New Roman"/>
              </w:rPr>
              <w:t xml:space="preserve"> </w:t>
            </w:r>
            <w:r>
              <w:rPr>
                <w:rFonts w:hint="default" w:ascii="Times New Roman" w:hAnsi="Times New Roman" w:cs="Times New Roman"/>
              </w:rPr>
              <w:t>per length(bp)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Average exon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length(bp)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Average intron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length(bp)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  <w:t>De novo</w:t>
            </w:r>
          </w:p>
        </w:tc>
        <w:tc>
          <w:tcPr>
            <w:tcW w:w="133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AUGUSTUS</w:t>
            </w:r>
          </w:p>
        </w:tc>
        <w:tc>
          <w:tcPr>
            <w:tcW w:w="925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17,603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16,245.98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1,581.11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9.12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173.33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1,805.55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Genscan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23,710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19,141.00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1,549.39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8.26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187.64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2,423.94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restar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Homolog</w:t>
            </w:r>
          </w:p>
        </w:tc>
        <w:tc>
          <w:tcPr>
            <w:tcW w:w="133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</w:rPr>
              <w:t>G.morhua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43,285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8,087.48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879.66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4.80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183.11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1,894.84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</w:rPr>
              <w:t>G.aculeatus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32,352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8,702.21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979.56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5.73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170.91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1,632.24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</w:pPr>
            <w:bookmarkStart w:id="7" w:name="_Hlk74857788"/>
            <w:r>
              <w:rPr>
                <w:rFonts w:hint="default" w:ascii="Times New Roman" w:hAnsi="Times New Roman" w:cs="Times New Roman"/>
                <w:i/>
                <w:iCs/>
              </w:rPr>
              <w:t>I.punctatus</w:t>
            </w:r>
            <w:bookmarkEnd w:id="7"/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45,763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8,606.38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973.61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5.26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185.14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1,792.29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</w:rPr>
              <w:t>P.fulvidraco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52,959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6,961.34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864.42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4.60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188.07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1,695.34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0" w:type="dxa"/>
            <w:vMerge w:val="continue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33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i/>
                <w:iCs/>
              </w:rPr>
              <w:t>D.rerio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44,363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8,647.72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1,003.06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5.08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197.62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1,875.73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7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BUSCO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4,533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15,043.30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1,977.62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13.89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142.34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1,013.34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7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MAKER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23,510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13,995.67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1,353.44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8.55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221.35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1,602.68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7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HiCESAP</w:t>
            </w:r>
          </w:p>
        </w:tc>
        <w:tc>
          <w:tcPr>
            <w:tcW w:w="92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21,974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14,636.47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1,570.73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9.50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202.61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1,495.69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Table S5 Gene annotation in different databases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Type</w:t>
            </w:r>
          </w:p>
        </w:tc>
        <w:tc>
          <w:tcPr>
            <w:tcW w:w="284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Number</w:t>
            </w:r>
          </w:p>
        </w:tc>
        <w:tc>
          <w:tcPr>
            <w:tcW w:w="284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Percent (%)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InterPro</w:t>
            </w:r>
          </w:p>
        </w:tc>
        <w:tc>
          <w:tcPr>
            <w:tcW w:w="284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18,962</w:t>
            </w:r>
          </w:p>
        </w:tc>
        <w:tc>
          <w:tcPr>
            <w:tcW w:w="284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86.29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GO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14,483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65.91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KEGG_ALL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21,335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97.09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KEGG_KO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13,760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62.62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Swissprot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19,917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90.64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TrEMBL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21,123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96.13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NR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20,995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95.54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Annotated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21,506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97.87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Total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</w:rPr>
              <w:t>21,974</w:t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-</w:t>
            </w:r>
          </w:p>
        </w:tc>
      </w:tr>
    </w:tbl>
    <w:p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 w:themeColor="text1"/>
          <w:szCs w:val="21"/>
          <w:lang w:val="en-US" w:eastAsia="zh-CN"/>
        </w:rPr>
      </w:pP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  <w:lang w:val="en-US" w:eastAsia="zh-CN"/>
        </w:rPr>
        <w:t>Table S6 P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</w:rPr>
        <w:t xml:space="preserve">ublic teleost 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  <w:lang w:val="en-US" w:eastAsia="zh-CN"/>
        </w:rPr>
        <w:t>g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</w:rPr>
        <w:t xml:space="preserve">enomics for 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  <w:lang w:val="en-US" w:eastAsia="zh-CN"/>
        </w:rPr>
        <w:t>c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</w:rPr>
        <w:t xml:space="preserve">omparative 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  <w:lang w:val="en-US" w:eastAsia="zh-CN"/>
        </w:rPr>
        <w:t>g</w:t>
      </w:r>
      <w:r>
        <w:rPr>
          <w:rFonts w:hint="eastAsia" w:ascii="Times New Roman" w:hAnsi="Times New Roman" w:eastAsia="等线" w:cs="Times New Roman"/>
          <w:b w:val="0"/>
          <w:bCs w:val="0"/>
          <w:i w:val="0"/>
          <w:iCs w:val="0"/>
          <w:color w:val="000000"/>
          <w:kern w:val="0"/>
          <w:sz w:val="22"/>
        </w:rPr>
        <w:t>enomics analysis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2500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等线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</w:rPr>
              <w:t>pecies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</w:rPr>
              <w:t>Genebank no.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Gasterosteus aculeatus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GCA_006229165.1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Hippocampus comes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GCF_001891065.1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Ictalurus punctatus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GCF_001660625.1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Latimeria chalumnae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GCF_000225785.1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Lepisosteus oculatus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GCF_000242695.1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Oreochromis niloticus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GCF_001858045.2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/>
                <w:iCs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Oryzias latipes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vertAlign w:val="baseli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GCF_002234675.1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Pelteobagrus fulvidraco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CaeciliaLTStd-Italic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GCF_003724035.1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Takifugu rubripes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GCF_901000725.2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Xiphophorus maculatus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GCF_002775205.1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Clupea harengus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GCF_900700415.1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Cynoglossus semilaevis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GCF_000523025.1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Danio rerio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GCF_000002035.6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Gadus morhua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GCF_902167405.1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Tetraodon nigroviridis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GCA_000180735.1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等线" w:cs="Times New Roman"/>
                <w:i/>
                <w:iCs/>
                <w:color w:val="000000"/>
                <w:kern w:val="2"/>
                <w:sz w:val="21"/>
                <w:szCs w:val="21"/>
                <w:lang w:val="en-US" w:eastAsia="zh-CN" w:bidi="ar"/>
              </w:rPr>
              <w:t>Dicentrarchus labrax</w:t>
            </w:r>
          </w:p>
        </w:tc>
        <w:tc>
          <w:tcPr>
            <w:tcW w:w="25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GCA_000689215.1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widowControl/>
        <w:rPr>
          <w:rFonts w:ascii="Times New Roman" w:hAnsi="Times New Roman" w:eastAsia="等线" w:cs="Times New Roman"/>
          <w:color w:val="000000"/>
          <w:kern w:val="0"/>
          <w:sz w:val="22"/>
        </w:rPr>
      </w:pPr>
    </w:p>
    <w:p>
      <w:pPr>
        <w:widowControl/>
        <w:rPr>
          <w:rFonts w:ascii="Times New Roman" w:hAnsi="Times New Roman" w:eastAsia="等线" w:cs="Times New Roman"/>
          <w:color w:val="000000"/>
          <w:kern w:val="0"/>
          <w:sz w:val="22"/>
        </w:rPr>
      </w:pPr>
    </w:p>
    <w:p>
      <w:pPr>
        <w:widowControl/>
        <w:rPr>
          <w:rFonts w:ascii="Times New Roman" w:hAnsi="Times New Roman" w:eastAsia="等线" w:cs="Times New Roman"/>
          <w:color w:val="000000"/>
          <w:kern w:val="0"/>
          <w:sz w:val="22"/>
        </w:rPr>
      </w:pPr>
    </w:p>
    <w:p>
      <w:pPr>
        <w:widowControl/>
        <w:rPr>
          <w:rFonts w:ascii="Times New Roman" w:hAnsi="Times New Roman" w:eastAsia="等线" w:cs="Times New Roman"/>
          <w:color w:val="000000"/>
          <w:kern w:val="0"/>
          <w:sz w:val="22"/>
        </w:rPr>
      </w:pPr>
    </w:p>
    <w:p>
      <w:pPr>
        <w:widowControl/>
        <w:rPr>
          <w:rFonts w:ascii="Times New Roman" w:hAnsi="Times New Roman" w:cs="Times New Roman"/>
        </w:rPr>
      </w:pPr>
    </w:p>
    <w:sectPr>
      <w:pgSz w:w="11906" w:h="16838"/>
      <w:pgMar w:top="1440" w:right="1797" w:bottom="144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eciliaLTStd-Italic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546668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BD69FC"/>
    <w:multiLevelType w:val="multilevel"/>
    <w:tmpl w:val="60BD69FC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I0Y2QyZjFjNTEyNDU3OTFiMjQwOWU5NjZhMzQ5YjgifQ=="/>
  </w:docVars>
  <w:rsids>
    <w:rsidRoot w:val="00E26D22"/>
    <w:rsid w:val="00006C77"/>
    <w:rsid w:val="00023FDD"/>
    <w:rsid w:val="00040298"/>
    <w:rsid w:val="000466E2"/>
    <w:rsid w:val="00056B91"/>
    <w:rsid w:val="00081EDD"/>
    <w:rsid w:val="00083BE6"/>
    <w:rsid w:val="000B7857"/>
    <w:rsid w:val="000E70AF"/>
    <w:rsid w:val="001023D2"/>
    <w:rsid w:val="00167DEA"/>
    <w:rsid w:val="0019461A"/>
    <w:rsid w:val="001B35CB"/>
    <w:rsid w:val="001F2A28"/>
    <w:rsid w:val="00201052"/>
    <w:rsid w:val="0027202E"/>
    <w:rsid w:val="002A345C"/>
    <w:rsid w:val="002B42D7"/>
    <w:rsid w:val="00303ECE"/>
    <w:rsid w:val="00324E3D"/>
    <w:rsid w:val="00330ADC"/>
    <w:rsid w:val="00330FCA"/>
    <w:rsid w:val="00366323"/>
    <w:rsid w:val="003E0417"/>
    <w:rsid w:val="003F1B7D"/>
    <w:rsid w:val="00420A72"/>
    <w:rsid w:val="00444262"/>
    <w:rsid w:val="004901A3"/>
    <w:rsid w:val="004A0B86"/>
    <w:rsid w:val="004E1499"/>
    <w:rsid w:val="0050048C"/>
    <w:rsid w:val="00502168"/>
    <w:rsid w:val="00503E37"/>
    <w:rsid w:val="00535394"/>
    <w:rsid w:val="005559D4"/>
    <w:rsid w:val="00556882"/>
    <w:rsid w:val="005A06D0"/>
    <w:rsid w:val="005A56E9"/>
    <w:rsid w:val="005F58F2"/>
    <w:rsid w:val="006417AC"/>
    <w:rsid w:val="00653ED2"/>
    <w:rsid w:val="00662129"/>
    <w:rsid w:val="006812E5"/>
    <w:rsid w:val="006952DC"/>
    <w:rsid w:val="006B4475"/>
    <w:rsid w:val="006C0699"/>
    <w:rsid w:val="006E20D4"/>
    <w:rsid w:val="00755A02"/>
    <w:rsid w:val="007A4CA4"/>
    <w:rsid w:val="007A74F6"/>
    <w:rsid w:val="007B5CBB"/>
    <w:rsid w:val="00822943"/>
    <w:rsid w:val="00846766"/>
    <w:rsid w:val="00857768"/>
    <w:rsid w:val="008A5D9D"/>
    <w:rsid w:val="008B2FBE"/>
    <w:rsid w:val="008B356F"/>
    <w:rsid w:val="008B6907"/>
    <w:rsid w:val="009351B5"/>
    <w:rsid w:val="009466DD"/>
    <w:rsid w:val="009610DE"/>
    <w:rsid w:val="00984B23"/>
    <w:rsid w:val="00987323"/>
    <w:rsid w:val="009D3D9F"/>
    <w:rsid w:val="009D7EF7"/>
    <w:rsid w:val="009E573C"/>
    <w:rsid w:val="00A37499"/>
    <w:rsid w:val="00A40AB5"/>
    <w:rsid w:val="00A84AEC"/>
    <w:rsid w:val="00A96D25"/>
    <w:rsid w:val="00AA29B3"/>
    <w:rsid w:val="00AD7940"/>
    <w:rsid w:val="00B512B3"/>
    <w:rsid w:val="00B61B3A"/>
    <w:rsid w:val="00B63B45"/>
    <w:rsid w:val="00B862DC"/>
    <w:rsid w:val="00B9349B"/>
    <w:rsid w:val="00BB3402"/>
    <w:rsid w:val="00BC6215"/>
    <w:rsid w:val="00BF1243"/>
    <w:rsid w:val="00BF3693"/>
    <w:rsid w:val="00BF5F24"/>
    <w:rsid w:val="00C05D19"/>
    <w:rsid w:val="00C1227A"/>
    <w:rsid w:val="00C16BA4"/>
    <w:rsid w:val="00C46940"/>
    <w:rsid w:val="00C6492D"/>
    <w:rsid w:val="00C764A3"/>
    <w:rsid w:val="00C8610B"/>
    <w:rsid w:val="00CB34E2"/>
    <w:rsid w:val="00CD3FF5"/>
    <w:rsid w:val="00CE2E26"/>
    <w:rsid w:val="00D0184E"/>
    <w:rsid w:val="00D132F9"/>
    <w:rsid w:val="00D16420"/>
    <w:rsid w:val="00D43EA0"/>
    <w:rsid w:val="00DD7C90"/>
    <w:rsid w:val="00DE13FD"/>
    <w:rsid w:val="00E000C0"/>
    <w:rsid w:val="00E01846"/>
    <w:rsid w:val="00E26D22"/>
    <w:rsid w:val="00E3061C"/>
    <w:rsid w:val="00E35BB5"/>
    <w:rsid w:val="00E458C2"/>
    <w:rsid w:val="00E65473"/>
    <w:rsid w:val="00E90661"/>
    <w:rsid w:val="00E90C36"/>
    <w:rsid w:val="00F34DAF"/>
    <w:rsid w:val="00F4011F"/>
    <w:rsid w:val="00F4735D"/>
    <w:rsid w:val="00FB3774"/>
    <w:rsid w:val="00FF0109"/>
    <w:rsid w:val="00FF60D1"/>
    <w:rsid w:val="02A3330E"/>
    <w:rsid w:val="02FC6E9E"/>
    <w:rsid w:val="29C54E43"/>
    <w:rsid w:val="3B5D137F"/>
    <w:rsid w:val="6180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uiPriority w:val="99"/>
    <w:rPr>
      <w:color w:val="0563C1" w:themeColor="hyperlink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8"/>
    <w:link w:val="4"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uiPriority w:val="99"/>
    <w:rPr>
      <w:sz w:val="18"/>
      <w:szCs w:val="18"/>
    </w:rPr>
  </w:style>
  <w:style w:type="table" w:customStyle="1" w:styleId="13">
    <w:name w:val="网格型1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批注文字 字符"/>
    <w:basedOn w:val="8"/>
    <w:link w:val="2"/>
    <w:semiHidden/>
    <w:qFormat/>
    <w:uiPriority w:val="99"/>
  </w:style>
  <w:style w:type="character" w:customStyle="1" w:styleId="15">
    <w:name w:val="批注主题 字符"/>
    <w:basedOn w:val="14"/>
    <w:link w:val="5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730</Words>
  <Characters>4962</Characters>
  <Lines>39</Lines>
  <Paragraphs>11</Paragraphs>
  <TotalTime>8</TotalTime>
  <ScaleCrop>false</ScaleCrop>
  <LinksUpToDate>false</LinksUpToDate>
  <CharactersWithSpaces>5317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2021-08-23T10:09:00Z</dcterms:created>
  <dc:creator>li jie</dc:creator>
  <cp:lastModifiedBy>木子木。。。。</cp:lastModifiedBy>
  <dcterms:modified xsi:type="dcterms:W3CDTF">2022-10-23T09:20:03Z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668F116910B8446DB76B83844DB0DE38</vt:lpwstr>
  </property>
</Properties>
</file>