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FA7D" w14:textId="4249BF0A" w:rsidR="0019743C" w:rsidRPr="00653CE5" w:rsidRDefault="0019743C" w:rsidP="009C759A">
      <w:pPr>
        <w:autoSpaceDE w:val="0"/>
        <w:autoSpaceDN w:val="0"/>
        <w:adjustRightInd w:val="0"/>
        <w:spacing w:before="200" w:after="200" w:line="360" w:lineRule="auto"/>
        <w:rPr>
          <w:b/>
          <w:lang w:val="en-US"/>
        </w:rPr>
      </w:pPr>
      <w:r w:rsidRPr="00653CE5">
        <w:rPr>
          <w:b/>
          <w:lang w:val="en-US"/>
        </w:rPr>
        <w:t>Supplementary Methods</w:t>
      </w:r>
    </w:p>
    <w:p w14:paraId="6A5F32DF" w14:textId="3FAB3A1C" w:rsidR="0019743C" w:rsidRDefault="00277728" w:rsidP="00080F4E">
      <w:pPr>
        <w:autoSpaceDE w:val="0"/>
        <w:autoSpaceDN w:val="0"/>
        <w:adjustRightInd w:val="0"/>
        <w:rPr>
          <w:lang w:val="en-US"/>
        </w:rPr>
      </w:pPr>
      <w:r>
        <w:rPr>
          <w:b/>
          <w:i/>
          <w:lang w:val="en-US"/>
        </w:rPr>
        <w:t>Sample</w:t>
      </w:r>
      <w:r w:rsidR="003574C7">
        <w:rPr>
          <w:b/>
          <w:i/>
          <w:lang w:val="en-US"/>
        </w:rPr>
        <w:t xml:space="preserve">s’ </w:t>
      </w:r>
      <w:r>
        <w:rPr>
          <w:b/>
          <w:i/>
          <w:lang w:val="en-US"/>
        </w:rPr>
        <w:t>processing</w:t>
      </w:r>
    </w:p>
    <w:p w14:paraId="5556CF8B" w14:textId="6781A9E5" w:rsidR="0019743C" w:rsidRDefault="00277728" w:rsidP="00277728">
      <w:pPr>
        <w:autoSpaceDE w:val="0"/>
        <w:autoSpaceDN w:val="0"/>
        <w:adjustRightInd w:val="0"/>
        <w:jc w:val="both"/>
        <w:rPr>
          <w:lang w:val="en-US"/>
        </w:rPr>
      </w:pPr>
      <w:r w:rsidRPr="00277728">
        <w:rPr>
          <w:lang w:val="en-US"/>
        </w:rPr>
        <w:t xml:space="preserve">Genomic DNA was extracted by automated TECAN system (Freedom EVO) from venous peripheral blood using the </w:t>
      </w:r>
      <w:proofErr w:type="spellStart"/>
      <w:r w:rsidRPr="00277728">
        <w:rPr>
          <w:lang w:val="en-US"/>
        </w:rPr>
        <w:t>NucleoSpin</w:t>
      </w:r>
      <w:proofErr w:type="spellEnd"/>
      <w:r w:rsidRPr="00277728">
        <w:rPr>
          <w:lang w:val="en-US"/>
        </w:rPr>
        <w:t xml:space="preserve"> Blood method (</w:t>
      </w:r>
      <w:proofErr w:type="spellStart"/>
      <w:r w:rsidRPr="00277728">
        <w:rPr>
          <w:lang w:val="en-US"/>
        </w:rPr>
        <w:t>Macherey</w:t>
      </w:r>
      <w:proofErr w:type="spellEnd"/>
      <w:r w:rsidRPr="00277728">
        <w:rPr>
          <w:lang w:val="en-US"/>
        </w:rPr>
        <w:t xml:space="preserve">-Nagel). Genomic DNA is isolated following lysis, which is achieved by incubating whole blood in a lysis solution. The appropriate conditions for DNA binding to the silica membrane of the corresponding </w:t>
      </w:r>
      <w:proofErr w:type="spellStart"/>
      <w:r w:rsidRPr="00277728">
        <w:rPr>
          <w:lang w:val="en-US"/>
        </w:rPr>
        <w:t>NucleoSpin</w:t>
      </w:r>
      <w:proofErr w:type="spellEnd"/>
      <w:r w:rsidRPr="00277728">
        <w:rPr>
          <w:lang w:val="en-US"/>
        </w:rPr>
        <w:t xml:space="preserve"> Blood columns are obtained by adding ethanol to the lysate. Wash steps effectively remove contamination, and pure genomic DNA is finally eluted in a slightly alkaline buffer.</w:t>
      </w:r>
    </w:p>
    <w:p w14:paraId="745F96FF" w14:textId="77777777" w:rsidR="00277728" w:rsidRPr="00277728" w:rsidRDefault="00277728" w:rsidP="00080F4E">
      <w:pPr>
        <w:autoSpaceDE w:val="0"/>
        <w:autoSpaceDN w:val="0"/>
        <w:adjustRightInd w:val="0"/>
        <w:rPr>
          <w:lang w:val="en-GB"/>
        </w:rPr>
      </w:pPr>
    </w:p>
    <w:p w14:paraId="521900C5" w14:textId="67283378" w:rsidR="0019743C" w:rsidRDefault="0019743C" w:rsidP="00277728">
      <w:pPr>
        <w:autoSpaceDE w:val="0"/>
        <w:autoSpaceDN w:val="0"/>
        <w:adjustRightInd w:val="0"/>
        <w:rPr>
          <w:b/>
          <w:i/>
          <w:lang w:val="en-US"/>
        </w:rPr>
      </w:pPr>
      <w:r>
        <w:rPr>
          <w:b/>
          <w:i/>
          <w:lang w:val="en-US"/>
        </w:rPr>
        <w:t xml:space="preserve">Genetic </w:t>
      </w:r>
      <w:r w:rsidR="00277728">
        <w:rPr>
          <w:b/>
          <w:i/>
          <w:lang w:val="en-US"/>
        </w:rPr>
        <w:t>characterization tools</w:t>
      </w:r>
    </w:p>
    <w:p w14:paraId="0C4B7AB5" w14:textId="5BDBB91C" w:rsidR="00277728" w:rsidRDefault="00277728" w:rsidP="00277728">
      <w:pPr>
        <w:autoSpaceDE w:val="0"/>
        <w:autoSpaceDN w:val="0"/>
        <w:adjustRightInd w:val="0"/>
        <w:jc w:val="both"/>
        <w:rPr>
          <w:lang w:val="en-US"/>
        </w:rPr>
      </w:pPr>
      <w:r w:rsidRPr="00806A9F">
        <w:rPr>
          <w:rFonts w:cs="Arial"/>
          <w:szCs w:val="20"/>
          <w:lang w:val="en-GB"/>
        </w:rPr>
        <w:t>Th</w:t>
      </w:r>
      <w:r>
        <w:rPr>
          <w:rFonts w:cs="Arial"/>
          <w:szCs w:val="20"/>
          <w:lang w:val="en-GB"/>
        </w:rPr>
        <w:t>is</w:t>
      </w:r>
      <w:r w:rsidRPr="00806A9F">
        <w:rPr>
          <w:rFonts w:cs="Arial"/>
          <w:szCs w:val="20"/>
          <w:lang w:val="en-GB"/>
        </w:rPr>
        <w:t xml:space="preserve"> deletion was studied through </w:t>
      </w:r>
      <w:proofErr w:type="spellStart"/>
      <w:r w:rsidRPr="00806A9F">
        <w:rPr>
          <w:rFonts w:cs="Arial"/>
          <w:szCs w:val="20"/>
          <w:lang w:val="en-GB"/>
        </w:rPr>
        <w:t>ClinVar</w:t>
      </w:r>
      <w:proofErr w:type="spellEnd"/>
      <w:r>
        <w:rPr>
          <w:rStyle w:val="FootnoteReference"/>
          <w:rFonts w:cs="Arial"/>
          <w:szCs w:val="20"/>
          <w:lang w:val="en-GB"/>
        </w:rPr>
        <w:t xml:space="preserve"> </w:t>
      </w:r>
      <w:r>
        <w:rPr>
          <w:rFonts w:cs="Arial"/>
          <w:szCs w:val="20"/>
          <w:lang w:val="en-GB"/>
        </w:rPr>
        <w:t>[1]</w:t>
      </w:r>
      <w:r w:rsidRPr="00806A9F">
        <w:rPr>
          <w:rFonts w:cs="Arial"/>
          <w:szCs w:val="20"/>
          <w:lang w:val="en-GB"/>
        </w:rPr>
        <w:t xml:space="preserve">, a public genetic archive where relationships between genetic variations and human phenotypes can be assessed, with supporting evidence. Alleles described are mapped to reference sequences and reported according to the HGVS standard. </w:t>
      </w:r>
      <w:proofErr w:type="spellStart"/>
      <w:r w:rsidRPr="00806A9F">
        <w:rPr>
          <w:rFonts w:cs="Arial"/>
          <w:szCs w:val="20"/>
          <w:lang w:val="en-GB"/>
        </w:rPr>
        <w:t>ClinVar</w:t>
      </w:r>
      <w:proofErr w:type="spellEnd"/>
      <w:r w:rsidRPr="00806A9F">
        <w:rPr>
          <w:rFonts w:cs="Arial"/>
          <w:szCs w:val="20"/>
          <w:lang w:val="en-GB"/>
        </w:rPr>
        <w:t xml:space="preserve"> uses standard terms for clinical significance recommended by an authoritative source when available</w:t>
      </w:r>
      <w:r>
        <w:rPr>
          <w:rFonts w:cs="Arial"/>
          <w:szCs w:val="20"/>
          <w:lang w:val="en-GB"/>
        </w:rPr>
        <w:t xml:space="preserve"> [1]</w:t>
      </w:r>
      <w:r w:rsidRPr="00806A9F">
        <w:rPr>
          <w:rFonts w:cs="Arial"/>
          <w:szCs w:val="20"/>
          <w:lang w:val="en-GB"/>
        </w:rPr>
        <w:t xml:space="preserve">. These standards include five terms for Mendelian diseases recommended by ACMG/AMP and terms for low-penetrance variants and risk alleles recommended by </w:t>
      </w:r>
      <w:proofErr w:type="spellStart"/>
      <w:r w:rsidRPr="00806A9F">
        <w:rPr>
          <w:rFonts w:cs="Arial"/>
          <w:szCs w:val="20"/>
          <w:lang w:val="en-GB"/>
        </w:rPr>
        <w:t>ClinGen</w:t>
      </w:r>
      <w:proofErr w:type="spellEnd"/>
      <w:r w:rsidR="00561888">
        <w:rPr>
          <w:rFonts w:cs="Arial"/>
          <w:szCs w:val="20"/>
          <w:lang w:val="en-GB"/>
        </w:rPr>
        <w:t xml:space="preserve"> [2]</w:t>
      </w:r>
      <w:r w:rsidRPr="00806A9F">
        <w:rPr>
          <w:rFonts w:cs="Arial"/>
          <w:szCs w:val="20"/>
          <w:lang w:val="en-GB"/>
        </w:rPr>
        <w:t>.</w:t>
      </w:r>
    </w:p>
    <w:p w14:paraId="149A6D11" w14:textId="77777777" w:rsidR="00080F4E" w:rsidRPr="00653CE5" w:rsidRDefault="00080F4E" w:rsidP="00080F4E">
      <w:pPr>
        <w:autoSpaceDE w:val="0"/>
        <w:autoSpaceDN w:val="0"/>
        <w:adjustRightInd w:val="0"/>
        <w:rPr>
          <w:b/>
          <w:i/>
          <w:lang w:val="en-US"/>
        </w:rPr>
      </w:pPr>
    </w:p>
    <w:p w14:paraId="24002A46" w14:textId="77777777" w:rsidR="003256EA" w:rsidRDefault="003256EA" w:rsidP="00277728">
      <w:pPr>
        <w:rPr>
          <w:color w:val="000000"/>
          <w:lang w:val="en-GB"/>
        </w:rPr>
      </w:pPr>
      <w:r w:rsidRPr="003256EA">
        <w:rPr>
          <w:b/>
          <w:bCs/>
          <w:i/>
          <w:iCs/>
          <w:color w:val="000000"/>
          <w:lang w:val="en-GB"/>
        </w:rPr>
        <w:t>18F-FDG-PET</w:t>
      </w:r>
      <w:r w:rsidRPr="003256EA">
        <w:rPr>
          <w:color w:val="000000"/>
          <w:lang w:val="en-GB"/>
        </w:rPr>
        <w:t xml:space="preserve"> </w:t>
      </w:r>
    </w:p>
    <w:p w14:paraId="0B30BA5B" w14:textId="730DE06E" w:rsidR="00F54585" w:rsidRPr="00F54585" w:rsidRDefault="00F54585" w:rsidP="00F54585">
      <w:pPr>
        <w:rPr>
          <w:color w:val="000000"/>
          <w:lang w:val="en-GB"/>
        </w:rPr>
      </w:pPr>
      <w:r w:rsidRPr="00F54585">
        <w:rPr>
          <w:i/>
          <w:iCs/>
          <w:color w:val="000000"/>
          <w:vertAlign w:val="superscript"/>
          <w:lang w:val="en-GB"/>
        </w:rPr>
        <w:t>18</w:t>
      </w:r>
      <w:r w:rsidRPr="00F54585">
        <w:rPr>
          <w:color w:val="000000"/>
          <w:lang w:val="en-GB"/>
        </w:rPr>
        <w:t>F-FDG-PET acquisition</w:t>
      </w:r>
      <w:r>
        <w:rPr>
          <w:color w:val="000000"/>
          <w:lang w:val="en-GB"/>
        </w:rPr>
        <w:t xml:space="preserve"> was </w:t>
      </w:r>
      <w:r w:rsidRPr="00F54585">
        <w:rPr>
          <w:color w:val="000000"/>
          <w:lang w:val="en-GB"/>
        </w:rPr>
        <w:t>performed according to published guidelines [</w:t>
      </w:r>
      <w:r w:rsidR="00561888">
        <w:rPr>
          <w:color w:val="000000"/>
          <w:lang w:val="en-GB"/>
        </w:rPr>
        <w:t>3</w:t>
      </w:r>
      <w:r w:rsidRPr="00F54585">
        <w:rPr>
          <w:color w:val="000000"/>
          <w:lang w:val="en-GB"/>
        </w:rPr>
        <w:t>]</w:t>
      </w:r>
      <w:r>
        <w:rPr>
          <w:color w:val="000000"/>
          <w:lang w:val="en-GB"/>
        </w:rPr>
        <w:t xml:space="preserve"> and </w:t>
      </w:r>
      <w:r w:rsidR="002A5906" w:rsidRPr="002A5906">
        <w:rPr>
          <w:color w:val="000000"/>
          <w:lang w:val="en-US"/>
        </w:rPr>
        <w:t xml:space="preserve">to the protocol described by </w:t>
      </w:r>
      <w:proofErr w:type="spellStart"/>
      <w:r w:rsidR="002A5906">
        <w:rPr>
          <w:color w:val="000000"/>
          <w:lang w:val="en-US"/>
        </w:rPr>
        <w:t>Canosa</w:t>
      </w:r>
      <w:proofErr w:type="spellEnd"/>
      <w:r w:rsidR="002A5906">
        <w:rPr>
          <w:color w:val="000000"/>
          <w:lang w:val="en-US"/>
        </w:rPr>
        <w:t xml:space="preserve"> et al [</w:t>
      </w:r>
      <w:r w:rsidR="00561888">
        <w:rPr>
          <w:color w:val="000000"/>
          <w:lang w:val="en-US"/>
        </w:rPr>
        <w:t>4</w:t>
      </w:r>
      <w:r w:rsidR="002A5906">
        <w:rPr>
          <w:color w:val="000000"/>
          <w:lang w:val="en-US"/>
        </w:rPr>
        <w:t>]</w:t>
      </w:r>
      <w:r w:rsidRPr="00F54585">
        <w:rPr>
          <w:color w:val="000000"/>
          <w:lang w:val="en-GB"/>
        </w:rPr>
        <w:t>.</w:t>
      </w:r>
    </w:p>
    <w:p w14:paraId="01EA5559" w14:textId="77777777" w:rsidR="003256EA" w:rsidRDefault="003256EA" w:rsidP="00277728">
      <w:pPr>
        <w:rPr>
          <w:color w:val="000000"/>
          <w:lang w:val="en-GB"/>
        </w:rPr>
      </w:pPr>
    </w:p>
    <w:p w14:paraId="3CC9237B" w14:textId="77777777" w:rsidR="003256EA" w:rsidRDefault="003256EA" w:rsidP="00277728">
      <w:pPr>
        <w:rPr>
          <w:color w:val="000000"/>
          <w:lang w:val="en-GB"/>
        </w:rPr>
      </w:pPr>
      <w:r w:rsidRPr="003256EA">
        <w:rPr>
          <w:b/>
          <w:bCs/>
          <w:i/>
          <w:iCs/>
          <w:color w:val="000000"/>
          <w:lang w:val="en-GB"/>
        </w:rPr>
        <w:t>MRI</w:t>
      </w:r>
      <w:r w:rsidRPr="003256EA">
        <w:rPr>
          <w:color w:val="000000"/>
          <w:lang w:val="en-GB"/>
        </w:rPr>
        <w:t xml:space="preserve"> </w:t>
      </w:r>
    </w:p>
    <w:p w14:paraId="465B282B" w14:textId="77777777" w:rsidR="003256EA" w:rsidRDefault="003256EA" w:rsidP="003256EA">
      <w:pPr>
        <w:jc w:val="both"/>
        <w:rPr>
          <w:color w:val="000000"/>
          <w:lang w:val="en-GB"/>
        </w:rPr>
      </w:pPr>
      <w:r w:rsidRPr="003256EA">
        <w:rPr>
          <w:color w:val="000000"/>
          <w:lang w:val="en-GB"/>
        </w:rPr>
        <w:t>MRI was performed</w:t>
      </w:r>
      <w:r>
        <w:rPr>
          <w:color w:val="000000"/>
          <w:lang w:val="en-GB"/>
        </w:rPr>
        <w:t xml:space="preserve"> </w:t>
      </w:r>
      <w:r w:rsidRPr="003256EA">
        <w:rPr>
          <w:color w:val="000000"/>
          <w:lang w:val="en-GB"/>
        </w:rPr>
        <w:t xml:space="preserve">by MRI HDXT Echo-Speed GE Signa 1.5 T. </w:t>
      </w:r>
    </w:p>
    <w:p w14:paraId="31659BA4" w14:textId="77777777" w:rsidR="003256EA" w:rsidRDefault="003256EA" w:rsidP="003256EA">
      <w:pPr>
        <w:jc w:val="both"/>
        <w:rPr>
          <w:color w:val="000000"/>
          <w:lang w:val="en-GB"/>
        </w:rPr>
      </w:pPr>
    </w:p>
    <w:p w14:paraId="4C5CB691" w14:textId="2210C077" w:rsidR="003256EA" w:rsidRPr="003256EA" w:rsidRDefault="003256EA" w:rsidP="003256EA">
      <w:pPr>
        <w:jc w:val="both"/>
        <w:rPr>
          <w:color w:val="000000"/>
          <w:lang w:val="en-GB"/>
        </w:rPr>
      </w:pPr>
      <w:r w:rsidRPr="003256EA">
        <w:rPr>
          <w:b/>
          <w:bCs/>
          <w:i/>
          <w:iCs/>
          <w:color w:val="000000"/>
          <w:lang w:val="en-GB"/>
        </w:rPr>
        <w:t>Diffusion tensor imaging (DTI)</w:t>
      </w:r>
      <w:r w:rsidRPr="003256EA">
        <w:rPr>
          <w:color w:val="000000"/>
          <w:lang w:val="en-GB"/>
        </w:rPr>
        <w:t xml:space="preserve"> was acquired using a 2D single-shot </w:t>
      </w:r>
      <w:proofErr w:type="spellStart"/>
      <w:r w:rsidRPr="003256EA">
        <w:rPr>
          <w:color w:val="000000"/>
          <w:lang w:val="en-GB"/>
        </w:rPr>
        <w:t>spinecho</w:t>
      </w:r>
      <w:proofErr w:type="spellEnd"/>
      <w:r w:rsidRPr="003256EA">
        <w:rPr>
          <w:color w:val="000000"/>
          <w:lang w:val="en-GB"/>
        </w:rPr>
        <w:t xml:space="preserve"> planar imaging sequence and T1-weighted MRI using a standard 3D magnetization prepared rapid acquisition gradient-recalled echo (3D MPRAGE)</w:t>
      </w:r>
      <w:r>
        <w:rPr>
          <w:color w:val="000000"/>
          <w:lang w:val="en-GB"/>
        </w:rPr>
        <w:t xml:space="preserve"> </w:t>
      </w:r>
      <w:r w:rsidRPr="003256EA">
        <w:rPr>
          <w:color w:val="000000"/>
          <w:lang w:val="en-GB"/>
        </w:rPr>
        <w:t>pulse sequence at 1 mm isotropic spatial resolution</w:t>
      </w:r>
    </w:p>
    <w:p w14:paraId="1C64619C" w14:textId="2BBB60BF" w:rsidR="0019743C" w:rsidRDefault="0019743C" w:rsidP="00080F4E">
      <w:pPr>
        <w:rPr>
          <w:lang w:val="en-US"/>
        </w:rPr>
      </w:pPr>
      <w:r w:rsidRPr="005A7EA3">
        <w:rPr>
          <w:b/>
          <w:i/>
          <w:lang w:val="en-US"/>
        </w:rPr>
        <w:t>DTI data pre-processing and analysis</w:t>
      </w:r>
      <w:r>
        <w:rPr>
          <w:lang w:val="en-US"/>
        </w:rPr>
        <w:t>.</w:t>
      </w:r>
    </w:p>
    <w:p w14:paraId="520164C7" w14:textId="42D3514A" w:rsidR="0019743C" w:rsidRDefault="0019743C" w:rsidP="00277728">
      <w:pPr>
        <w:jc w:val="both"/>
        <w:rPr>
          <w:lang w:val="en-US"/>
        </w:rPr>
      </w:pPr>
      <w:r w:rsidRPr="005A7EA3">
        <w:rPr>
          <w:lang w:val="en-US"/>
        </w:rPr>
        <w:t>The DTI datasets were corrected using FSL 5.0.8 (</w:t>
      </w:r>
      <w:hyperlink r:id="rId7" w:history="1">
        <w:r w:rsidR="00976085" w:rsidRPr="00EA6E1A">
          <w:rPr>
            <w:rStyle w:val="Hyperlink"/>
            <w:lang w:val="en-US"/>
          </w:rPr>
          <w:t>http://www.fmrib.ox.ac.uk/fsl/</w:t>
        </w:r>
      </w:hyperlink>
      <w:r w:rsidRPr="005A7EA3">
        <w:rPr>
          <w:lang w:val="en-US"/>
        </w:rPr>
        <w:t>) and non-brain tissue was removed using the brain extraction tool</w:t>
      </w:r>
      <w:r w:rsidR="00D94D5F">
        <w:rPr>
          <w:lang w:val="en-US"/>
        </w:rPr>
        <w:t xml:space="preserve"> </w:t>
      </w:r>
      <w:r w:rsidR="00896EAB">
        <w:rPr>
          <w:noProof/>
          <w:lang w:val="en-US"/>
        </w:rPr>
        <w:t>[</w:t>
      </w:r>
      <w:r w:rsidR="00561888">
        <w:rPr>
          <w:noProof/>
          <w:lang w:val="en-US"/>
        </w:rPr>
        <w:t>5</w:t>
      </w:r>
      <w:r>
        <w:rPr>
          <w:noProof/>
          <w:lang w:val="en-US"/>
        </w:rPr>
        <w:t>]</w:t>
      </w:r>
      <w:r w:rsidRPr="005A7EA3">
        <w:rPr>
          <w:lang w:val="en-US"/>
        </w:rPr>
        <w:t>. We computed the apparent diffusion coefficients (ADC) from the diffusion-weighted and T2-weighted images and computation was conducted by using the 3dDWI2DT program from AFNI_17.0.18 (</w:t>
      </w:r>
      <w:hyperlink r:id="rId8" w:history="1">
        <w:r w:rsidR="00080F4E" w:rsidRPr="005C6795">
          <w:rPr>
            <w:rStyle w:val="Hyperlink"/>
            <w:lang w:val="en-US"/>
          </w:rPr>
          <w:t>https://afni.nimh.nih.gov)</w:t>
        </w:r>
      </w:hyperlink>
      <w:r w:rsidRPr="005A7EA3">
        <w:rPr>
          <w:lang w:val="en-US"/>
        </w:rPr>
        <w:t xml:space="preserve">. </w:t>
      </w:r>
    </w:p>
    <w:p w14:paraId="38435380" w14:textId="77777777" w:rsidR="00080F4E" w:rsidRPr="005A7EA3" w:rsidRDefault="00080F4E" w:rsidP="00080F4E">
      <w:pPr>
        <w:rPr>
          <w:lang w:val="en-US"/>
        </w:rPr>
      </w:pPr>
    </w:p>
    <w:p w14:paraId="67FACA78" w14:textId="77777777" w:rsidR="00080F4E" w:rsidRPr="005A7EA3" w:rsidRDefault="00080F4E" w:rsidP="00080F4E">
      <w:pPr>
        <w:rPr>
          <w:b/>
          <w:i/>
          <w:u w:val="single"/>
          <w:lang w:val="en-US"/>
        </w:rPr>
      </w:pPr>
    </w:p>
    <w:p w14:paraId="49343F50" w14:textId="39182717" w:rsidR="0019743C" w:rsidRPr="003F5310" w:rsidRDefault="003F5310" w:rsidP="00080F4E">
      <w:pPr>
        <w:rPr>
          <w:rFonts w:eastAsia="Times New Roman"/>
          <w:b/>
          <w:bCs/>
          <w:lang w:val="en-US"/>
        </w:rPr>
      </w:pPr>
      <w:r w:rsidRPr="003F5310">
        <w:rPr>
          <w:rFonts w:eastAsia="Times New Roman"/>
          <w:b/>
          <w:bCs/>
          <w:lang w:val="en-US"/>
        </w:rPr>
        <w:t>REFERENCES</w:t>
      </w:r>
    </w:p>
    <w:p w14:paraId="20162669" w14:textId="57C287DD" w:rsidR="00277728" w:rsidRPr="00277728" w:rsidRDefault="00277728" w:rsidP="00080F4E">
      <w:pPr>
        <w:rPr>
          <w:rFonts w:eastAsia="Times New Roman"/>
          <w:lang w:val="en-GB"/>
        </w:rPr>
      </w:pPr>
      <w:r>
        <w:rPr>
          <w:rFonts w:eastAsia="Times New Roman"/>
          <w:lang w:val="en-US"/>
        </w:rPr>
        <w:t xml:space="preserve"> </w:t>
      </w:r>
    </w:p>
    <w:p w14:paraId="495ABF2D" w14:textId="5CC49559" w:rsidR="00976085" w:rsidRPr="00976085" w:rsidRDefault="00580000" w:rsidP="00976085">
      <w:pPr>
        <w:pStyle w:val="EndNoteBibliography"/>
        <w:numPr>
          <w:ilvl w:val="0"/>
          <w:numId w:val="3"/>
        </w:numPr>
        <w:rPr>
          <w:rFonts w:eastAsia="Times New Roman"/>
          <w:lang w:val="en-US"/>
        </w:rPr>
      </w:pPr>
      <w:proofErr w:type="spellStart"/>
      <w:r w:rsidRPr="00277728">
        <w:rPr>
          <w:rFonts w:eastAsia="Times New Roman"/>
          <w:lang w:val="en-US"/>
        </w:rPr>
        <w:t>Clinvar</w:t>
      </w:r>
      <w:proofErr w:type="spellEnd"/>
      <w:r w:rsidRPr="00277728">
        <w:rPr>
          <w:rFonts w:eastAsia="Times New Roman"/>
          <w:lang w:val="en-US"/>
        </w:rPr>
        <w:t xml:space="preserve">: </w:t>
      </w:r>
      <w:hyperlink r:id="rId9" w:history="1">
        <w:r w:rsidRPr="00EA6E1A">
          <w:rPr>
            <w:rStyle w:val="Hyperlink"/>
            <w:rFonts w:eastAsia="Times New Roman"/>
            <w:lang w:val="en-US"/>
          </w:rPr>
          <w:t>https://www.ncbi.nlm.nih.gov/clinvar/variation/576569/?oq=SOD1[gene]+p.glu134del&amp;m=NM_000454.5(SOD1):c.397GAA%5B1%5D%20(p.Glu134del)</w:t>
        </w:r>
      </w:hyperlink>
      <w:r>
        <w:rPr>
          <w:rFonts w:eastAsia="Times New Roman"/>
          <w:lang w:val="en-US"/>
        </w:rPr>
        <w:t xml:space="preserve"> </w:t>
      </w:r>
    </w:p>
    <w:p w14:paraId="64CF1628" w14:textId="54283331" w:rsidR="00561888" w:rsidRPr="00561888" w:rsidRDefault="00561888" w:rsidP="00561888">
      <w:pPr>
        <w:pStyle w:val="EndNoteBibliography"/>
        <w:numPr>
          <w:ilvl w:val="0"/>
          <w:numId w:val="3"/>
        </w:numPr>
        <w:rPr>
          <w:rFonts w:eastAsia="Times New Roman"/>
          <w:lang w:val="en-US"/>
        </w:rPr>
      </w:pPr>
      <w:proofErr w:type="spellStart"/>
      <w:r>
        <w:rPr>
          <w:rFonts w:eastAsia="Times New Roman"/>
          <w:lang w:val="en-US"/>
        </w:rPr>
        <w:t>Clingen</w:t>
      </w:r>
      <w:proofErr w:type="spellEnd"/>
      <w:r>
        <w:rPr>
          <w:rFonts w:eastAsia="Times New Roman"/>
          <w:lang w:val="en-US"/>
        </w:rPr>
        <w:t xml:space="preserve">: </w:t>
      </w:r>
      <w:hyperlink r:id="rId10" w:history="1">
        <w:r w:rsidR="003F5310" w:rsidRPr="008E5F55">
          <w:rPr>
            <w:rStyle w:val="Hyperlink"/>
            <w:rFonts w:eastAsia="Times New Roman"/>
            <w:lang w:val="en-US"/>
          </w:rPr>
          <w:t>https://clinicalgenome.org/</w:t>
        </w:r>
      </w:hyperlink>
      <w:r w:rsidR="003F5310">
        <w:rPr>
          <w:rFonts w:eastAsia="Times New Roman"/>
          <w:lang w:val="en-US"/>
        </w:rPr>
        <w:t xml:space="preserve"> </w:t>
      </w:r>
    </w:p>
    <w:p w14:paraId="3A8FD3BD" w14:textId="18C2C5CD" w:rsidR="00976085" w:rsidRPr="00976085" w:rsidRDefault="00976085" w:rsidP="00580000">
      <w:pPr>
        <w:pStyle w:val="EndNoteBibliography"/>
        <w:numPr>
          <w:ilvl w:val="0"/>
          <w:numId w:val="3"/>
        </w:numPr>
        <w:rPr>
          <w:rFonts w:eastAsia="Times New Roman"/>
          <w:lang w:val="en-US"/>
        </w:rPr>
      </w:pPr>
      <w:r w:rsidRPr="00976085">
        <w:rPr>
          <w:noProof/>
          <w:lang w:val="en-US"/>
        </w:rPr>
        <w:t xml:space="preserve">Varrone A, Asenbaum S, Vander Borght T, Booij J, Nobili F, Någren K, et al. </w:t>
      </w:r>
      <w:r w:rsidRPr="00976085">
        <w:rPr>
          <w:noProof/>
          <w:lang w:val="en-GB"/>
        </w:rPr>
        <w:t>EANM procedure guidelines for PET brain imaging using [18F]FDG, version 2. Eur J Nucl Med Mol Imaging. 2009;36(12):2103–2110. doi: 10.1007/s00259-009-1264-0.</w:t>
      </w:r>
    </w:p>
    <w:p w14:paraId="1DE29093" w14:textId="2F28EA09" w:rsidR="00976085" w:rsidRPr="00F22172" w:rsidRDefault="00F22172" w:rsidP="00F22172">
      <w:pPr>
        <w:pStyle w:val="ListParagraph"/>
        <w:numPr>
          <w:ilvl w:val="0"/>
          <w:numId w:val="3"/>
        </w:numPr>
        <w:autoSpaceDE w:val="0"/>
        <w:autoSpaceDN w:val="0"/>
        <w:rPr>
          <w:lang w:val="en-GB"/>
        </w:rPr>
      </w:pPr>
      <w:r w:rsidRPr="00482B75">
        <w:t xml:space="preserve">Canosa A, Calvo A, Moglia C, Vasta R, Palumbo F, Solero L, et al. </w:t>
      </w:r>
      <w:r w:rsidRPr="00F22172">
        <w:rPr>
          <w:lang w:val="en-GB"/>
        </w:rPr>
        <w:t xml:space="preserve">Amyotrophic lateral sclerosis with SOD1 mutations shows distinct brain metabolic changes. Eur J </w:t>
      </w:r>
      <w:proofErr w:type="spellStart"/>
      <w:r w:rsidRPr="00F22172">
        <w:rPr>
          <w:lang w:val="en-GB"/>
        </w:rPr>
        <w:t>Nucl</w:t>
      </w:r>
      <w:proofErr w:type="spellEnd"/>
      <w:r w:rsidRPr="00F22172">
        <w:rPr>
          <w:lang w:val="en-GB"/>
        </w:rPr>
        <w:t xml:space="preserve"> Med Mol Imaging. </w:t>
      </w:r>
      <w:proofErr w:type="gramStart"/>
      <w:r w:rsidRPr="00F22172">
        <w:rPr>
          <w:lang w:val="en-GB"/>
        </w:rPr>
        <w:t>2022;</w:t>
      </w:r>
      <w:proofErr w:type="gramEnd"/>
      <w:r w:rsidRPr="00F22172">
        <w:rPr>
          <w:lang w:val="en-GB"/>
        </w:rPr>
        <w:t xml:space="preserve"> </w:t>
      </w:r>
    </w:p>
    <w:p w14:paraId="1DA5FB51" w14:textId="59AB5B83" w:rsidR="0019743C" w:rsidRPr="00976085" w:rsidRDefault="0019743C" w:rsidP="00580000">
      <w:pPr>
        <w:pStyle w:val="EndNoteBibliography"/>
        <w:numPr>
          <w:ilvl w:val="0"/>
          <w:numId w:val="3"/>
        </w:numPr>
        <w:rPr>
          <w:rFonts w:eastAsia="Times New Roman"/>
          <w:lang w:val="en-US"/>
        </w:rPr>
      </w:pPr>
      <w:r w:rsidRPr="00976085">
        <w:rPr>
          <w:noProof/>
          <w:lang w:val="en-US"/>
        </w:rPr>
        <w:t>Smith SM: Fast robust automated brain extraction. Human brain mapping 2002, 17(3):143-155.</w:t>
      </w:r>
    </w:p>
    <w:p w14:paraId="03A718A3" w14:textId="77777777" w:rsidR="00102223" w:rsidRPr="00237CDB" w:rsidRDefault="00102223">
      <w:pPr>
        <w:rPr>
          <w:lang w:val="en-US"/>
        </w:rPr>
      </w:pPr>
    </w:p>
    <w:sectPr w:rsidR="00102223" w:rsidRPr="00237CDB" w:rsidSect="009717D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B18E" w14:textId="77777777" w:rsidR="00277728" w:rsidRDefault="00277728" w:rsidP="00277728">
      <w:r>
        <w:separator/>
      </w:r>
    </w:p>
  </w:endnote>
  <w:endnote w:type="continuationSeparator" w:id="0">
    <w:p w14:paraId="3716D246" w14:textId="77777777" w:rsidR="00277728" w:rsidRDefault="00277728" w:rsidP="0027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74FDB" w14:textId="77777777" w:rsidR="00277728" w:rsidRDefault="00277728" w:rsidP="00277728">
      <w:r>
        <w:separator/>
      </w:r>
    </w:p>
  </w:footnote>
  <w:footnote w:type="continuationSeparator" w:id="0">
    <w:p w14:paraId="7BDC460A" w14:textId="77777777" w:rsidR="00277728" w:rsidRDefault="00277728" w:rsidP="00277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135"/>
    <w:multiLevelType w:val="hybridMultilevel"/>
    <w:tmpl w:val="EB4EBEB6"/>
    <w:lvl w:ilvl="0" w:tplc="A6B04274">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536BC"/>
    <w:multiLevelType w:val="hybridMultilevel"/>
    <w:tmpl w:val="E24E8968"/>
    <w:lvl w:ilvl="0" w:tplc="FCBC7646">
      <w:start w:val="1"/>
      <w:numFmt w:val="decimal"/>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E71F47"/>
    <w:multiLevelType w:val="hybridMultilevel"/>
    <w:tmpl w:val="D93456B6"/>
    <w:lvl w:ilvl="0" w:tplc="E954D0B2">
      <w:start w:val="4"/>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9743C"/>
    <w:rsid w:val="000161AA"/>
    <w:rsid w:val="00046C8C"/>
    <w:rsid w:val="00047525"/>
    <w:rsid w:val="00080F4E"/>
    <w:rsid w:val="00081E59"/>
    <w:rsid w:val="00084F2C"/>
    <w:rsid w:val="000A75B1"/>
    <w:rsid w:val="000B2CD5"/>
    <w:rsid w:val="000B7A4C"/>
    <w:rsid w:val="000F5FA7"/>
    <w:rsid w:val="00102223"/>
    <w:rsid w:val="0019743C"/>
    <w:rsid w:val="001F2602"/>
    <w:rsid w:val="00217F78"/>
    <w:rsid w:val="002276D1"/>
    <w:rsid w:val="00233BA4"/>
    <w:rsid w:val="00237CDB"/>
    <w:rsid w:val="00253D25"/>
    <w:rsid w:val="002627F8"/>
    <w:rsid w:val="002635CE"/>
    <w:rsid w:val="00277728"/>
    <w:rsid w:val="00286459"/>
    <w:rsid w:val="002A5906"/>
    <w:rsid w:val="002A7833"/>
    <w:rsid w:val="002D0C7C"/>
    <w:rsid w:val="002E2788"/>
    <w:rsid w:val="002E6280"/>
    <w:rsid w:val="003256EA"/>
    <w:rsid w:val="003429D8"/>
    <w:rsid w:val="00345048"/>
    <w:rsid w:val="0034512E"/>
    <w:rsid w:val="00347BCA"/>
    <w:rsid w:val="003574C7"/>
    <w:rsid w:val="00385327"/>
    <w:rsid w:val="003F5310"/>
    <w:rsid w:val="004062CC"/>
    <w:rsid w:val="0043072E"/>
    <w:rsid w:val="004324A0"/>
    <w:rsid w:val="00451A0E"/>
    <w:rsid w:val="0047165C"/>
    <w:rsid w:val="00472603"/>
    <w:rsid w:val="00472ABB"/>
    <w:rsid w:val="004A51A6"/>
    <w:rsid w:val="004D34C1"/>
    <w:rsid w:val="005143B7"/>
    <w:rsid w:val="00561888"/>
    <w:rsid w:val="0056284C"/>
    <w:rsid w:val="00580000"/>
    <w:rsid w:val="00597CAD"/>
    <w:rsid w:val="005E5630"/>
    <w:rsid w:val="005F35CB"/>
    <w:rsid w:val="0062423C"/>
    <w:rsid w:val="00627439"/>
    <w:rsid w:val="00627752"/>
    <w:rsid w:val="00634BCF"/>
    <w:rsid w:val="006964E9"/>
    <w:rsid w:val="006C6EA6"/>
    <w:rsid w:val="00757B54"/>
    <w:rsid w:val="00760A4D"/>
    <w:rsid w:val="00763EE0"/>
    <w:rsid w:val="007800F2"/>
    <w:rsid w:val="00793B1F"/>
    <w:rsid w:val="00794243"/>
    <w:rsid w:val="007A234B"/>
    <w:rsid w:val="0080287F"/>
    <w:rsid w:val="00864A70"/>
    <w:rsid w:val="00894094"/>
    <w:rsid w:val="00896EAB"/>
    <w:rsid w:val="008B1E67"/>
    <w:rsid w:val="008B39C0"/>
    <w:rsid w:val="008D3D92"/>
    <w:rsid w:val="009717D1"/>
    <w:rsid w:val="00976085"/>
    <w:rsid w:val="00990509"/>
    <w:rsid w:val="009966A0"/>
    <w:rsid w:val="009D013A"/>
    <w:rsid w:val="009F022D"/>
    <w:rsid w:val="00A0631B"/>
    <w:rsid w:val="00A30C2B"/>
    <w:rsid w:val="00A36FA7"/>
    <w:rsid w:val="00A3761A"/>
    <w:rsid w:val="00A42243"/>
    <w:rsid w:val="00A63A07"/>
    <w:rsid w:val="00AA04FD"/>
    <w:rsid w:val="00AA1B7D"/>
    <w:rsid w:val="00AD1EFD"/>
    <w:rsid w:val="00B17AAA"/>
    <w:rsid w:val="00B64F3F"/>
    <w:rsid w:val="00BA38F2"/>
    <w:rsid w:val="00BC35CB"/>
    <w:rsid w:val="00BD69C0"/>
    <w:rsid w:val="00BF22D0"/>
    <w:rsid w:val="00BF4E81"/>
    <w:rsid w:val="00C05E3A"/>
    <w:rsid w:val="00C157DE"/>
    <w:rsid w:val="00C265FB"/>
    <w:rsid w:val="00C609C3"/>
    <w:rsid w:val="00C701D6"/>
    <w:rsid w:val="00CE432E"/>
    <w:rsid w:val="00D94D5F"/>
    <w:rsid w:val="00DE4AA8"/>
    <w:rsid w:val="00DE6186"/>
    <w:rsid w:val="00DF3B1A"/>
    <w:rsid w:val="00F03721"/>
    <w:rsid w:val="00F22172"/>
    <w:rsid w:val="00F34ABB"/>
    <w:rsid w:val="00F54585"/>
    <w:rsid w:val="00F6248C"/>
    <w:rsid w:val="00F717AD"/>
    <w:rsid w:val="00FA1354"/>
    <w:rsid w:val="00FA3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7F4E"/>
  <w15:docId w15:val="{BDC6D24F-CCA5-4436-BA61-4B2B51CF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3C"/>
    <w:rPr>
      <w:rFonts w:ascii="Times New Roman" w:eastAsia="Calibri" w:hAnsi="Times New Roman" w:cs="Times New Roman"/>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9743C"/>
    <w:rPr>
      <w:color w:val="0000FF"/>
      <w:u w:val="single"/>
    </w:rPr>
  </w:style>
  <w:style w:type="paragraph" w:customStyle="1" w:styleId="Normale1">
    <w:name w:val="Normale1"/>
    <w:rsid w:val="0019743C"/>
    <w:pPr>
      <w:widowControl w:val="0"/>
      <w:suppressAutoHyphens/>
    </w:pPr>
    <w:rPr>
      <w:rFonts w:ascii="Times New Roman" w:eastAsia="Arial Unicode MS" w:hAnsi="Arial Unicode MS" w:cs="Arial Unicode MS"/>
      <w:color w:val="000000"/>
      <w:u w:color="000000"/>
      <w:lang w:val="en-US" w:eastAsia="it-IT"/>
    </w:rPr>
  </w:style>
  <w:style w:type="paragraph" w:customStyle="1" w:styleId="p1">
    <w:name w:val="p1"/>
    <w:basedOn w:val="Normal"/>
    <w:rsid w:val="0019743C"/>
    <w:rPr>
      <w:rFonts w:ascii="Times" w:eastAsiaTheme="minorHAnsi" w:hAnsi="Times"/>
      <w:sz w:val="14"/>
      <w:szCs w:val="14"/>
    </w:rPr>
  </w:style>
  <w:style w:type="character" w:customStyle="1" w:styleId="s1">
    <w:name w:val="s1"/>
    <w:basedOn w:val="DefaultParagraphFont"/>
    <w:rsid w:val="0019743C"/>
    <w:rPr>
      <w:rFonts w:ascii="Helvetica" w:hAnsi="Helvetica" w:hint="default"/>
      <w:sz w:val="14"/>
      <w:szCs w:val="14"/>
    </w:rPr>
  </w:style>
  <w:style w:type="paragraph" w:customStyle="1" w:styleId="EndNoteBibliographyTitle">
    <w:name w:val="EndNote Bibliography Title"/>
    <w:basedOn w:val="Normal"/>
    <w:rsid w:val="0019743C"/>
    <w:pPr>
      <w:jc w:val="center"/>
    </w:pPr>
  </w:style>
  <w:style w:type="paragraph" w:customStyle="1" w:styleId="EndNoteBibliography">
    <w:name w:val="EndNote Bibliography"/>
    <w:basedOn w:val="Normal"/>
    <w:rsid w:val="0019743C"/>
  </w:style>
  <w:style w:type="paragraph" w:styleId="ListParagraph">
    <w:name w:val="List Paragraph"/>
    <w:basedOn w:val="Normal"/>
    <w:uiPriority w:val="34"/>
    <w:qFormat/>
    <w:rsid w:val="0019743C"/>
    <w:pPr>
      <w:ind w:left="720"/>
      <w:contextualSpacing/>
    </w:pPr>
  </w:style>
  <w:style w:type="paragraph" w:styleId="FootnoteText">
    <w:name w:val="footnote text"/>
    <w:basedOn w:val="Normal"/>
    <w:link w:val="FootnoteTextChar"/>
    <w:uiPriority w:val="99"/>
    <w:semiHidden/>
    <w:unhideWhenUsed/>
    <w:rsid w:val="00277728"/>
    <w:rPr>
      <w:rFonts w:ascii="Arial" w:eastAsia="Times New Roman" w:hAnsi="Arial"/>
      <w:sz w:val="20"/>
      <w:szCs w:val="20"/>
    </w:rPr>
  </w:style>
  <w:style w:type="character" w:customStyle="1" w:styleId="FootnoteTextChar">
    <w:name w:val="Footnote Text Char"/>
    <w:basedOn w:val="DefaultParagraphFont"/>
    <w:link w:val="FootnoteText"/>
    <w:uiPriority w:val="99"/>
    <w:semiHidden/>
    <w:rsid w:val="00277728"/>
    <w:rPr>
      <w:rFonts w:ascii="Arial" w:eastAsia="Times New Roman" w:hAnsi="Arial" w:cs="Times New Roman"/>
      <w:sz w:val="20"/>
      <w:szCs w:val="20"/>
      <w:lang w:eastAsia="it-IT"/>
    </w:rPr>
  </w:style>
  <w:style w:type="character" w:styleId="FootnoteReference">
    <w:name w:val="footnote reference"/>
    <w:basedOn w:val="DefaultParagraphFont"/>
    <w:uiPriority w:val="99"/>
    <w:semiHidden/>
    <w:unhideWhenUsed/>
    <w:rsid w:val="00277728"/>
    <w:rPr>
      <w:vertAlign w:val="superscript"/>
    </w:rPr>
  </w:style>
  <w:style w:type="character" w:styleId="UnresolvedMention">
    <w:name w:val="Unresolved Mention"/>
    <w:basedOn w:val="DefaultParagraphFont"/>
    <w:uiPriority w:val="99"/>
    <w:semiHidden/>
    <w:unhideWhenUsed/>
    <w:rsid w:val="0027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7559">
      <w:bodyDiv w:val="1"/>
      <w:marLeft w:val="0"/>
      <w:marRight w:val="0"/>
      <w:marTop w:val="0"/>
      <w:marBottom w:val="0"/>
      <w:divBdr>
        <w:top w:val="none" w:sz="0" w:space="0" w:color="auto"/>
        <w:left w:val="none" w:sz="0" w:space="0" w:color="auto"/>
        <w:bottom w:val="none" w:sz="0" w:space="0" w:color="auto"/>
        <w:right w:val="none" w:sz="0" w:space="0" w:color="auto"/>
      </w:divBdr>
    </w:div>
    <w:div w:id="673607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ni.nimh.nih.gov)" TargetMode="External"/><Relationship Id="rId3" Type="http://schemas.openxmlformats.org/officeDocument/2006/relationships/settings" Target="settings.xml"/><Relationship Id="rId7" Type="http://schemas.openxmlformats.org/officeDocument/2006/relationships/hyperlink" Target="http://www.fmrib.ox.ac.uk/f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nicalgenome.org/" TargetMode="External"/><Relationship Id="rId4" Type="http://schemas.openxmlformats.org/officeDocument/2006/relationships/webSettings" Target="webSettings.xml"/><Relationship Id="rId9" Type="http://schemas.openxmlformats.org/officeDocument/2006/relationships/hyperlink" Target="https://www.ncbi.nlm.nih.gov/clinvar/variation/576569/?oq=SOD1%5bgene%5d+p.glu134del&amp;m=NM_000454.5(SOD1):c.397GAA%5B1%5D%20(p.Glu134de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2624</Characters>
  <Application>Microsoft Office Word</Application>
  <DocSecurity>0</DocSecurity>
  <Lines>53</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Rizzone Rizzone</dc:creator>
  <cp:lastModifiedBy>Stefan Podsiadly</cp:lastModifiedBy>
  <cp:revision>2</cp:revision>
  <cp:lastPrinted>2018-04-06T11:57:00Z</cp:lastPrinted>
  <dcterms:created xsi:type="dcterms:W3CDTF">2022-12-09T12:28:00Z</dcterms:created>
  <dcterms:modified xsi:type="dcterms:W3CDTF">2022-12-09T12:28:00Z</dcterms:modified>
</cp:coreProperties>
</file>