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pPr>
      <w:r>
        <w:t>Supplementary Material</w:t>
      </w:r>
    </w:p>
    <w:p/>
    <w:p>
      <w:pPr>
        <w:spacing w:before="240"/>
        <w:jc w:val="center"/>
      </w:pPr>
      <w:r>
        <w:rPr>
          <w:b/>
          <w:color w:val="2E3033"/>
          <w:sz w:val="21"/>
          <w:szCs w:val="21"/>
        </w:rPr>
        <w:drawing>
          <wp:inline distT="114300" distB="114300" distL="114300" distR="114300">
            <wp:extent cx="5730875" cy="2794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14"/>
                    <a:srcRect/>
                    <a:stretch>
                      <a:fillRect/>
                    </a:stretch>
                  </pic:blipFill>
                  <pic:spPr>
                    <a:xfrm>
                      <a:off x="0" y="0"/>
                      <a:ext cx="5731200" cy="2794000"/>
                    </a:xfrm>
                    <a:prstGeom prst="rect">
                      <a:avLst/>
                    </a:prstGeom>
                  </pic:spPr>
                </pic:pic>
              </a:graphicData>
            </a:graphic>
          </wp:inline>
        </w:drawing>
      </w:r>
    </w:p>
    <w:p>
      <w:pPr>
        <w:pStyle w:val="2"/>
        <w:numPr>
          <w:ilvl w:val="0"/>
          <w:numId w:val="0"/>
        </w:numPr>
        <w:rPr>
          <w:rFonts w:hint="eastAsia"/>
          <w:lang w:eastAsia="zh-CN"/>
        </w:rPr>
      </w:pPr>
      <w:bookmarkStart w:id="0" w:name="_Toc11050"/>
      <w:r>
        <w:t>Supplement</w:t>
      </w:r>
      <w:bookmarkStart w:id="1" w:name="OLE_LINK6"/>
      <w:r>
        <w:rPr>
          <w:rFonts w:hint="eastAsia" w:eastAsia="宋体"/>
          <w:lang w:eastAsia="zh-CN"/>
        </w:rPr>
        <w:t>ary</w:t>
      </w:r>
      <w:bookmarkEnd w:id="1"/>
      <w:r>
        <w:t xml:space="preserve"> Figure 1. The spatial distribution of MPXV biodiversity worldwide</w:t>
      </w:r>
      <w:bookmarkEnd w:id="0"/>
    </w:p>
    <w:p/>
    <w:p>
      <w:pPr>
        <w:spacing w:before="240"/>
        <w:jc w:val="center"/>
        <w:rPr>
          <w:lang w:eastAsia="zh-CN"/>
        </w:rPr>
      </w:pPr>
      <w:r>
        <w:rPr>
          <w:rFonts w:hint="eastAsia" w:eastAsia="宋体" w:cs="Times New Roman"/>
          <w:b/>
          <w:color w:val="2E3033"/>
          <w:szCs w:val="24"/>
        </w:rPr>
        <w:drawing>
          <wp:inline distT="0" distB="0" distL="114300" distR="114300">
            <wp:extent cx="6080760" cy="2701290"/>
            <wp:effectExtent l="0" t="0" r="0" b="11430"/>
            <wp:docPr id="3" name="图片 3" descr="a60714d542b70f4ce8fe61f9a59b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60714d542b70f4ce8fe61f9a59b5d0"/>
                    <pic:cNvPicPr>
                      <a:picLocks noChangeAspect="1"/>
                    </pic:cNvPicPr>
                  </pic:nvPicPr>
                  <pic:blipFill>
                    <a:blip r:embed="rId15"/>
                    <a:stretch>
                      <a:fillRect/>
                    </a:stretch>
                  </pic:blipFill>
                  <pic:spPr>
                    <a:xfrm>
                      <a:off x="0" y="0"/>
                      <a:ext cx="6080760" cy="2701290"/>
                    </a:xfrm>
                    <a:prstGeom prst="rect">
                      <a:avLst/>
                    </a:prstGeom>
                  </pic:spPr>
                </pic:pic>
              </a:graphicData>
            </a:graphic>
          </wp:inline>
        </w:drawing>
      </w:r>
    </w:p>
    <w:p>
      <w:pPr>
        <w:pStyle w:val="2"/>
        <w:numPr>
          <w:ilvl w:val="0"/>
          <w:numId w:val="0"/>
        </w:numPr>
      </w:pPr>
      <w:bookmarkStart w:id="2" w:name="_Toc16512"/>
      <w:r>
        <w:t>Supplement</w:t>
      </w:r>
      <w:r>
        <w:rPr>
          <w:rFonts w:hint="eastAsia" w:eastAsia="宋体"/>
          <w:lang w:eastAsia="zh-CN"/>
        </w:rPr>
        <w:t>ary</w:t>
      </w:r>
      <w:r>
        <w:t xml:space="preserve"> Figure 2. Global international flight arrivals status in April and May</w:t>
      </w:r>
      <w:r>
        <w:rPr>
          <w:rFonts w:hint="eastAsia" w:eastAsia="宋体"/>
          <w:lang w:eastAsia="zh-CN"/>
        </w:rPr>
        <w:t>,</w:t>
      </w:r>
      <w:r>
        <w:t xml:space="preserve"> 2022</w:t>
      </w:r>
      <w:bookmarkEnd w:id="2"/>
    </w:p>
    <w:p/>
    <w:p/>
    <w:p>
      <w:pPr>
        <w:spacing w:before="240"/>
        <w:jc w:val="center"/>
        <w:rPr>
          <w:lang w:eastAsia="zh-CN"/>
        </w:rPr>
      </w:pPr>
      <w:r>
        <w:rPr>
          <w:rFonts w:cs="Times New Roman"/>
          <w:color w:val="FF0000"/>
          <w:szCs w:val="24"/>
        </w:rPr>
        <w:drawing>
          <wp:inline distT="114300" distB="114300" distL="114300" distR="114300">
            <wp:extent cx="4690745" cy="3299460"/>
            <wp:effectExtent l="0" t="0" r="3175" b="7620"/>
            <wp:docPr id="8" name="image10.jpg"/>
            <wp:cNvGraphicFramePr/>
            <a:graphic xmlns:a="http://schemas.openxmlformats.org/drawingml/2006/main">
              <a:graphicData uri="http://schemas.openxmlformats.org/drawingml/2006/picture">
                <pic:pic xmlns:pic="http://schemas.openxmlformats.org/drawingml/2006/picture">
                  <pic:nvPicPr>
                    <pic:cNvPr id="8" name="image10.jpg"/>
                    <pic:cNvPicPr preferRelativeResize="0"/>
                  </pic:nvPicPr>
                  <pic:blipFill>
                    <a:blip r:embed="rId16"/>
                    <a:srcRect/>
                    <a:stretch>
                      <a:fillRect/>
                    </a:stretch>
                  </pic:blipFill>
                  <pic:spPr>
                    <a:xfrm>
                      <a:off x="0" y="0"/>
                      <a:ext cx="4690745" cy="3299460"/>
                    </a:xfrm>
                    <a:prstGeom prst="rect">
                      <a:avLst/>
                    </a:prstGeom>
                  </pic:spPr>
                </pic:pic>
              </a:graphicData>
            </a:graphic>
          </wp:inline>
        </w:drawing>
      </w:r>
    </w:p>
    <w:p>
      <w:pPr>
        <w:pStyle w:val="2"/>
        <w:numPr>
          <w:ilvl w:val="0"/>
          <w:numId w:val="0"/>
        </w:numPr>
      </w:pPr>
      <w:bookmarkStart w:id="3" w:name="_Toc6558"/>
      <w:r>
        <w:t>Supplement</w:t>
      </w:r>
      <w:r>
        <w:rPr>
          <w:rFonts w:hint="eastAsia" w:eastAsia="宋体"/>
          <w:lang w:eastAsia="zh-CN"/>
        </w:rPr>
        <w:t>ary</w:t>
      </w:r>
      <w:r>
        <w:t xml:space="preserve"> figure 3. Gap Statistic curve for k-means clustering to find optimal number of clusters</w:t>
      </w:r>
      <w:bookmarkEnd w:id="3"/>
    </w:p>
    <w:p>
      <w:r>
        <w:drawing>
          <wp:inline distT="0" distB="0" distL="0" distR="0">
            <wp:extent cx="6204585" cy="659130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5091" cy="6591600"/>
                    </a:xfrm>
                    <a:prstGeom prst="rect">
                      <a:avLst/>
                    </a:prstGeom>
                  </pic:spPr>
                </pic:pic>
              </a:graphicData>
            </a:graphic>
          </wp:inline>
        </w:drawing>
      </w:r>
    </w:p>
    <w:p>
      <w:pPr>
        <w:spacing w:before="240"/>
        <w:rPr>
          <w:lang w:eastAsia="zh-CN"/>
        </w:rPr>
      </w:pPr>
    </w:p>
    <w:p>
      <w:pPr>
        <w:pStyle w:val="2"/>
        <w:numPr>
          <w:ilvl w:val="0"/>
          <w:numId w:val="0"/>
        </w:numPr>
      </w:pPr>
      <w:bookmarkStart w:id="4" w:name="_Toc25813"/>
      <w:r>
        <w:t>Supplement</w:t>
      </w:r>
      <w:r>
        <w:rPr>
          <w:rFonts w:hint="eastAsia" w:eastAsia="宋体"/>
          <w:lang w:eastAsia="zh-CN"/>
        </w:rPr>
        <w:t>ary</w:t>
      </w:r>
      <w:r>
        <w:t xml:space="preserve"> Figure 4. Assessment of risk factors of MPX infection</w:t>
      </w:r>
      <w:bookmarkEnd w:id="4"/>
    </w:p>
    <w:p>
      <w:r>
        <w:t>Note: (A) Risk factor assessment for all countries with MPX outbreaks in 2022</w:t>
      </w:r>
      <w:r>
        <w:rPr>
          <w:rFonts w:hint="eastAsia"/>
          <w:lang w:eastAsia="zh-CN"/>
        </w:rPr>
        <w:t xml:space="preserve">. </w:t>
      </w:r>
      <w:r>
        <w:t>(B) Risk factor assessment for all countries with MPX outbreaks in history (2001-2021)</w:t>
      </w:r>
      <w:r>
        <w:rPr>
          <w:rFonts w:hint="eastAsia"/>
          <w:lang w:eastAsia="zh-CN"/>
        </w:rPr>
        <w:t>.</w:t>
      </w:r>
    </w:p>
    <w:p>
      <w:pPr>
        <w:spacing w:before="240"/>
        <w:rPr>
          <w:lang w:eastAsia="zh-CN"/>
        </w:rPr>
      </w:pPr>
    </w:p>
    <w:p>
      <w:pPr>
        <w:spacing w:before="240"/>
        <w:rPr>
          <w:lang w:eastAsia="zh-CN"/>
        </w:rPr>
      </w:pPr>
      <w:r>
        <w:rPr>
          <w:lang w:eastAsia="zh-CN"/>
        </w:rPr>
        <w:drawing>
          <wp:inline distT="0" distB="0" distL="0" distR="0">
            <wp:extent cx="4321810" cy="81641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9086" cy="8177096"/>
                    </a:xfrm>
                    <a:prstGeom prst="rect">
                      <a:avLst/>
                    </a:prstGeom>
                  </pic:spPr>
                </pic:pic>
              </a:graphicData>
            </a:graphic>
          </wp:inline>
        </w:drawing>
      </w:r>
    </w:p>
    <w:p>
      <w:pPr>
        <w:pStyle w:val="2"/>
        <w:numPr>
          <w:ilvl w:val="0"/>
          <w:numId w:val="0"/>
        </w:numPr>
      </w:pPr>
      <w:bookmarkStart w:id="5" w:name="_Toc22958"/>
      <w:r>
        <w:t>Supplement</w:t>
      </w:r>
      <w:r>
        <w:rPr>
          <w:rFonts w:hint="eastAsia" w:eastAsia="宋体"/>
          <w:lang w:eastAsia="zh-CN"/>
        </w:rPr>
        <w:t>ary</w:t>
      </w:r>
      <w:r>
        <w:t xml:space="preserve"> Figure 5. The levels of MPX risk factors between the three clusters</w:t>
      </w:r>
      <w:r>
        <w:rPr>
          <w:rFonts w:hint="eastAsia"/>
          <w:lang w:eastAsia="zh-CN"/>
        </w:rPr>
        <w:t>.</w:t>
      </w:r>
      <w:bookmarkEnd w:id="5"/>
      <w:r>
        <w:t xml:space="preserve"> </w:t>
      </w:r>
    </w:p>
    <w:p>
      <w:r>
        <w:rPr>
          <w:rFonts w:hint="eastAsia"/>
          <w:lang w:eastAsia="zh-CN"/>
        </w:rPr>
        <w:t xml:space="preserve">Note: </w:t>
      </w:r>
      <w:r>
        <w:t>(</w:t>
      </w:r>
      <w:r>
        <w:rPr>
          <w:lang w:eastAsia="zh-CN"/>
        </w:rPr>
        <w:t>A</w:t>
      </w:r>
      <w:r>
        <w:t xml:space="preserve">) international flight arrivals; (B) COVID-19 infections; (C) Expenditure; (D) HAQ index; (E) GDP; (F) IHR index; (G) Education; (H) HIV infections; (I) The proportion of population aged under 40 and (J) the proportion of legal same sex marriage  </w:t>
      </w:r>
    </w:p>
    <w:p>
      <w:pPr>
        <w:rPr>
          <w:lang w:eastAsia="zh-CN"/>
        </w:rPr>
      </w:pPr>
      <w:r>
        <w:rPr>
          <w:lang w:eastAsia="zh-CN"/>
        </w:rPr>
        <w:t>‘***’ for p-values &lt; 0.001; ‘NS’ for p-values &gt; 0.05 (no statistical significance)</w:t>
      </w:r>
      <w:r>
        <w:rPr>
          <w:rFonts w:hint="eastAsia"/>
          <w:lang w:eastAsia="zh-CN"/>
        </w:rPr>
        <w:t>.</w:t>
      </w:r>
      <w:r>
        <w:rPr>
          <w:lang w:eastAsia="zh-CN"/>
        </w:rPr>
        <w:t xml:space="preserve"> Abbreviations: MPX, monkeypox; GDP, gross domestic product; HIV, human immunodeficiency virus; COVID-19, coronavirus disease 2019; HAQ, healthcare access and quality; IHR, international health regulations</w:t>
      </w:r>
      <w:r>
        <w:rPr>
          <w:rFonts w:hint="eastAsia"/>
          <w:lang w:eastAsia="zh-CN"/>
        </w:rPr>
        <w:t>.</w:t>
      </w:r>
    </w:p>
    <w:p>
      <w:pPr>
        <w:spacing w:before="240"/>
        <w:rPr>
          <w:lang w:eastAsia="zh-CN"/>
        </w:rPr>
      </w:pPr>
    </w:p>
    <w:p>
      <w:pPr>
        <w:spacing w:before="240"/>
        <w:rPr>
          <w:lang w:eastAsia="zh-CN"/>
        </w:rPr>
      </w:pPr>
      <w:r>
        <w:rPr>
          <w:rFonts w:hint="eastAsia"/>
          <w:lang w:eastAsia="zh-CN"/>
        </w:rPr>
        <w:drawing>
          <wp:inline distT="0" distB="0" distL="0" distR="0">
            <wp:extent cx="6208395" cy="4515485"/>
            <wp:effectExtent l="0" t="0" r="190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4515485"/>
                    </a:xfrm>
                    <a:prstGeom prst="rect">
                      <a:avLst/>
                    </a:prstGeom>
                  </pic:spPr>
                </pic:pic>
              </a:graphicData>
            </a:graphic>
          </wp:inline>
        </w:drawing>
      </w:r>
    </w:p>
    <w:p>
      <w:pPr>
        <w:pStyle w:val="2"/>
        <w:numPr>
          <w:ilvl w:val="0"/>
          <w:numId w:val="0"/>
        </w:numPr>
      </w:pPr>
      <w:bookmarkStart w:id="6" w:name="_Toc10522"/>
      <w:r>
        <w:t>Supplement</w:t>
      </w:r>
      <w:r>
        <w:rPr>
          <w:rFonts w:hint="eastAsia" w:eastAsia="宋体"/>
          <w:lang w:eastAsia="zh-CN"/>
        </w:rPr>
        <w:t>ary</w:t>
      </w:r>
      <w:r>
        <w:t xml:space="preserve"> Figure </w:t>
      </w:r>
      <w:r>
        <w:rPr>
          <w:rFonts w:hint="eastAsia"/>
        </w:rPr>
        <w:t>6</w:t>
      </w:r>
      <w:r>
        <w:t xml:space="preserve">. </w:t>
      </w:r>
      <w:r>
        <w:rPr>
          <w:rFonts w:hint="eastAsia"/>
        </w:rPr>
        <w:t>Simulations fitted by SEIR model for six continents</w:t>
      </w:r>
      <w:r>
        <w:rPr>
          <w:rFonts w:hint="eastAsia"/>
          <w:lang w:eastAsia="zh-CN"/>
        </w:rPr>
        <w:t>.</w:t>
      </w:r>
      <w:bookmarkEnd w:id="6"/>
    </w:p>
    <w:p>
      <w:r>
        <w:rPr>
          <w:rFonts w:hint="eastAsia"/>
          <w:lang w:eastAsia="zh-CN"/>
        </w:rPr>
        <w:t xml:space="preserve">Note: </w:t>
      </w:r>
      <w:r>
        <w:t xml:space="preserve">(A) Europe; (B) </w:t>
      </w:r>
      <w:r>
        <w:rPr>
          <w:lang w:val="en-GB"/>
        </w:rPr>
        <w:t>Northern America</w:t>
      </w:r>
      <w:r>
        <w:t xml:space="preserve">; (C) Africa; (D) Latin America; (E) Asia; (F) Oceania </w:t>
      </w:r>
      <w:r>
        <w:rPr>
          <w:lang w:val="en-GB"/>
        </w:rPr>
        <w:t>Abbreviations:</w:t>
      </w:r>
      <w:r>
        <w:rPr>
          <w:rFonts w:hint="eastAsia"/>
        </w:rPr>
        <w:t xml:space="preserve"> NMSE, normalized mean square error</w:t>
      </w:r>
    </w:p>
    <w:p>
      <w:pPr>
        <w:rPr>
          <w:rFonts w:eastAsia="Times New Roman"/>
          <w:sz w:val="20"/>
        </w:rPr>
      </w:pPr>
    </w:p>
    <w:p>
      <w:pPr>
        <w:rPr>
          <w:rFonts w:eastAsia="Times New Roman"/>
          <w:sz w:val="20"/>
        </w:rPr>
      </w:pPr>
    </w:p>
    <w:p>
      <w:pPr>
        <w:rPr>
          <w:rFonts w:eastAsia="宋体"/>
          <w:lang w:val="en-GB"/>
        </w:rPr>
      </w:pPr>
    </w:p>
    <w:p>
      <w:pPr>
        <w:pStyle w:val="2"/>
        <w:numPr>
          <w:ilvl w:val="0"/>
          <w:numId w:val="0"/>
        </w:numPr>
        <w:rPr>
          <w:rFonts w:eastAsia="宋体"/>
        </w:rPr>
      </w:pPr>
      <w:bookmarkStart w:id="7" w:name="_Toc23711"/>
      <w:r>
        <w:t>Supplement</w:t>
      </w:r>
      <w:r>
        <w:rPr>
          <w:rFonts w:hint="eastAsia" w:eastAsia="宋体"/>
          <w:lang w:eastAsia="zh-CN"/>
        </w:rPr>
        <w:t>ary</w:t>
      </w:r>
      <w:r>
        <w:t xml:space="preserve"> Ta</w:t>
      </w:r>
      <w:bookmarkStart w:id="52" w:name="_GoBack"/>
      <w:bookmarkEnd w:id="52"/>
      <w:r>
        <w:t>ble 1</w:t>
      </w:r>
      <w:r>
        <w:rPr>
          <w:rFonts w:hint="eastAsia"/>
          <w:lang w:eastAsia="zh-CN"/>
        </w:rPr>
        <w:t>.</w:t>
      </w:r>
      <w:r>
        <w:t xml:space="preserve"> </w:t>
      </w:r>
      <w:r>
        <w:rPr>
          <w:rFonts w:hint="eastAsia"/>
        </w:rPr>
        <w:t>Guidelines for Accurate and Transparent Health Estimates Reporting</w:t>
      </w:r>
      <w:r>
        <w:rPr>
          <w:rFonts w:hint="eastAsia" w:eastAsia="宋体"/>
          <w:lang w:eastAsia="zh-CN"/>
        </w:rPr>
        <w:t xml:space="preserve"> (GATHER)</w:t>
      </w:r>
      <w:bookmarkEnd w:id="7"/>
    </w:p>
    <w:p>
      <w:r>
        <w:drawing>
          <wp:anchor distT="0" distB="0" distL="114300" distR="114300" simplePos="0" relativeHeight="251660288" behindDoc="0" locked="0" layoutInCell="1" allowOverlap="1">
            <wp:simplePos x="0" y="0"/>
            <wp:positionH relativeFrom="column">
              <wp:posOffset>-6350</wp:posOffset>
            </wp:positionH>
            <wp:positionV relativeFrom="paragraph">
              <wp:posOffset>15240</wp:posOffset>
            </wp:positionV>
            <wp:extent cx="1285875" cy="965200"/>
            <wp:effectExtent l="0" t="0" r="9525" b="10160"/>
            <wp:wrapSquare wrapText="bothSides"/>
            <wp:docPr id="16" name="Picture 1" descr="J:\DivData\RGHS\GATHER\logo\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J:\DivData\RGHS\GATHER\logo\logo-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85875" cy="965200"/>
                    </a:xfrm>
                    <a:prstGeom prst="rect">
                      <a:avLst/>
                    </a:prstGeom>
                    <a:noFill/>
                    <a:ln>
                      <a:noFill/>
                    </a:ln>
                  </pic:spPr>
                </pic:pic>
              </a:graphicData>
            </a:graphic>
          </wp:anchor>
        </w:drawing>
      </w:r>
    </w:p>
    <w:p>
      <w:r>
        <w:t>Checklist of information that should be included in new reports of global health estimates</w:t>
      </w:r>
    </w:p>
    <w:tbl>
      <w:tblPr>
        <w:tblStyle w:val="24"/>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108" w:type="dxa"/>
          <w:bottom w:w="0" w:type="dxa"/>
          <w:right w:w="108" w:type="dxa"/>
        </w:tblCellMar>
      </w:tblPr>
      <w:tblGrid>
        <w:gridCol w:w="696"/>
        <w:gridCol w:w="6416"/>
        <w:gridCol w:w="212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18" w:space="0"/>
              <w:right w:val="single" w:color="auto" w:sz="8" w:space="0"/>
              <w:insideH w:val="single" w:sz="18" w:space="0"/>
              <w:insideV w:val="single" w:sz="8" w:space="0"/>
            </w:tcBorders>
          </w:tcPr>
          <w:p>
            <w:pPr>
              <w:rPr>
                <w:rFonts w:eastAsiaTheme="majorEastAsia" w:cstheme="majorBidi"/>
                <w:b/>
                <w:bCs/>
                <w:szCs w:val="24"/>
                <w:lang w:eastAsia="zh-CN"/>
              </w:rPr>
            </w:pPr>
            <w:r>
              <w:rPr>
                <w:rFonts w:eastAsiaTheme="majorEastAsia" w:cstheme="majorBidi"/>
                <w:b/>
                <w:bCs/>
                <w:szCs w:val="24"/>
                <w:lang w:eastAsia="zh-CN"/>
              </w:rPr>
              <w:t>Item #</w:t>
            </w:r>
          </w:p>
        </w:tc>
        <w:tc>
          <w:tcPr>
            <w:tcW w:w="3721" w:type="pct"/>
            <w:tcBorders>
              <w:top w:val="single" w:color="000000" w:themeColor="text1" w:sz="8" w:space="0"/>
              <w:bottom w:val="single" w:color="000000" w:themeColor="text1" w:sz="18" w:space="0"/>
              <w:right w:val="single" w:color="auto" w:sz="8" w:space="0"/>
              <w:insideH w:val="single" w:sz="18" w:space="0"/>
              <w:insideV w:val="single" w:sz="8" w:space="0"/>
            </w:tcBorders>
          </w:tcPr>
          <w:p>
            <w:pPr>
              <w:rPr>
                <w:rFonts w:eastAsiaTheme="majorEastAsia" w:cstheme="majorBidi"/>
                <w:b/>
                <w:bCs/>
                <w:szCs w:val="24"/>
                <w:lang w:eastAsia="zh-CN"/>
              </w:rPr>
            </w:pPr>
            <w:r>
              <w:rPr>
                <w:rFonts w:eastAsiaTheme="majorEastAsia" w:cstheme="majorBidi"/>
                <w:b/>
                <w:bCs/>
                <w:szCs w:val="24"/>
                <w:lang w:eastAsia="zh-CN"/>
              </w:rPr>
              <w:br w:type="page"/>
            </w:r>
            <w:r>
              <w:rPr>
                <w:rFonts w:eastAsiaTheme="majorEastAsia" w:cstheme="majorBidi"/>
                <w:b/>
                <w:bCs/>
                <w:szCs w:val="24"/>
                <w:lang w:eastAsia="zh-CN"/>
              </w:rPr>
              <w:t>Checklist item</w:t>
            </w:r>
          </w:p>
        </w:tc>
        <w:tc>
          <w:tcPr>
            <w:tcW w:w="888" w:type="pct"/>
            <w:tcBorders>
              <w:top w:val="single" w:color="000000" w:themeColor="text1" w:sz="8" w:space="0"/>
              <w:bottom w:val="single" w:color="000000" w:themeColor="text1" w:sz="18" w:space="0"/>
              <w:right w:val="single" w:color="000000" w:themeColor="text1" w:sz="8" w:space="0"/>
              <w:insideH w:val="single" w:sz="18" w:space="0"/>
              <w:insideV w:val="single" w:sz="8" w:space="0"/>
            </w:tcBorders>
          </w:tcPr>
          <w:p>
            <w:pPr>
              <w:rPr>
                <w:rFonts w:eastAsiaTheme="majorEastAsia" w:cstheme="majorBidi"/>
                <w:b/>
                <w:bCs/>
                <w:szCs w:val="24"/>
                <w:lang w:eastAsia="zh-CN"/>
              </w:rPr>
            </w:pPr>
            <w:r>
              <w:rPr>
                <w:rFonts w:eastAsiaTheme="majorEastAsia" w:cstheme="majorBidi"/>
                <w:b/>
                <w:bCs/>
                <w:szCs w:val="24"/>
                <w:lang w:eastAsia="zh-CN"/>
              </w:rPr>
              <w:t>Reported on page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p>
            <w:pPr>
              <w:rPr>
                <w:rFonts w:eastAsiaTheme="majorEastAsia" w:cstheme="majorBidi"/>
                <w:b/>
                <w:bCs/>
                <w:szCs w:val="24"/>
                <w:lang w:eastAsia="zh-CN"/>
              </w:rPr>
            </w:pPr>
            <w:r>
              <w:rPr>
                <w:rFonts w:eastAsiaTheme="majorEastAsia" w:cstheme="majorBidi"/>
                <w:b/>
                <w:bCs/>
                <w:szCs w:val="24"/>
                <w:lang w:eastAsia="zh-CN"/>
              </w:rPr>
              <w:t>Objectives and funding</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rFonts w:eastAsiaTheme="majorEastAsia" w:cstheme="majorBidi"/>
                <w:b/>
                <w:bCs/>
                <w:szCs w:val="24"/>
                <w:lang w:eastAsia="zh-CN"/>
              </w:rPr>
            </w:pPr>
            <w:r>
              <w:rPr>
                <w:rFonts w:eastAsiaTheme="majorEastAsia" w:cstheme="majorBidi"/>
                <w:b/>
                <w:bCs/>
                <w:szCs w:val="24"/>
                <w:lang w:eastAsia="zh-CN"/>
              </w:rPr>
              <w:t>1</w:t>
            </w:r>
          </w:p>
        </w:tc>
        <w:tc>
          <w:tcPr>
            <w:tcW w:w="3721"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eastAsia="宋体" w:cs="Times New Roman"/>
                <w:szCs w:val="24"/>
                <w:lang w:eastAsia="zh-CN"/>
              </w:rPr>
              <w:t>Define the indicator(s), populations (including age, sex, and geographic entities), and time period(s) for which estimates were made.</w:t>
            </w:r>
          </w:p>
        </w:tc>
        <w:tc>
          <w:tcPr>
            <w:tcW w:w="888"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2</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List the funding sources for the work.</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Acknowledgements and</w:t>
            </w:r>
          </w:p>
          <w:p>
            <w:pPr>
              <w:rPr>
                <w:rFonts w:eastAsia="宋体" w:cs="Times New Roman"/>
                <w:szCs w:val="24"/>
                <w:lang w:eastAsia="zh-CN"/>
              </w:rPr>
            </w:pPr>
            <w:r>
              <w:rPr>
                <w:rFonts w:hint="eastAsia" w:eastAsia="宋体" w:cs="Times New Roman"/>
                <w:szCs w:val="24"/>
                <w:lang w:eastAsia="zh-CN"/>
              </w:rPr>
              <w:t>declarations.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EBEBE" w:themeFill="background1" w:themeFillShade="BF"/>
          </w:tcPr>
          <w:p>
            <w:pPr>
              <w:rPr>
                <w:rFonts w:eastAsiaTheme="majorEastAsia" w:cstheme="majorBidi"/>
                <w:b/>
                <w:bCs/>
                <w:szCs w:val="24"/>
                <w:lang w:eastAsia="zh-CN"/>
              </w:rPr>
            </w:pPr>
            <w:r>
              <w:rPr>
                <w:rFonts w:eastAsiaTheme="majorEastAsia" w:cstheme="majorBidi"/>
                <w:b/>
                <w:bCs/>
                <w:szCs w:val="24"/>
                <w:lang w:eastAsia="zh-CN"/>
              </w:rPr>
              <w:t>Data Inputs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pPr>
              <w:rPr>
                <w:rFonts w:eastAsiaTheme="majorEastAsia" w:cstheme="majorBidi"/>
                <w:b/>
                <w:bCs/>
                <w:szCs w:val="24"/>
                <w:lang w:eastAsia="zh-CN"/>
              </w:rPr>
            </w:pPr>
            <w:r>
              <w:rPr>
                <w:rFonts w:eastAsiaTheme="majorEastAsia" w:cstheme="majorBidi"/>
                <w:b/>
                <w:bCs/>
                <w:szCs w:val="24"/>
                <w:lang w:eastAsia="zh-CN"/>
              </w:rPr>
              <w:t xml:space="preserve">   For all data inputs from multiple sources that are synthesized as part of the study:</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rFonts w:eastAsiaTheme="majorEastAsia" w:cstheme="majorBidi"/>
                <w:b/>
                <w:bCs/>
                <w:szCs w:val="24"/>
                <w:lang w:eastAsia="zh-CN"/>
              </w:rPr>
            </w:pPr>
            <w:r>
              <w:rPr>
                <w:rFonts w:eastAsiaTheme="majorEastAsia" w:cstheme="majorBidi"/>
                <w:b/>
                <w:bCs/>
                <w:szCs w:val="24"/>
                <w:lang w:eastAsia="zh-CN"/>
              </w:rPr>
              <w:t>3</w:t>
            </w:r>
          </w:p>
        </w:tc>
        <w:tc>
          <w:tcPr>
            <w:tcW w:w="3721"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eastAsia="宋体" w:cs="Times New Roman"/>
                <w:szCs w:val="24"/>
                <w:lang w:eastAsia="zh-CN"/>
              </w:rPr>
              <w:t xml:space="preserve">Describe how the data were identified and how the data were accessed. </w:t>
            </w:r>
          </w:p>
        </w:tc>
        <w:tc>
          <w:tcPr>
            <w:tcW w:w="888"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and table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4</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Specify the inclusion and exclusion criteria. Identify all ad-hoc exclusions.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5</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 xml:space="preserve">Provide information on all included data sources and their main characteristics. For each data source used, report reference information or contact name/institution, population represented, data collection method, year(s) of data collection, sex and age range, diagnostic criteria or measurement method, and sample size, as relevant. </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and table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6</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Identify and describe any categories of input data that have potentially important biases (e.g., based on characteristics listed in item 5).</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Limitations.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pPr>
              <w:rPr>
                <w:rFonts w:eastAsiaTheme="majorEastAsia" w:cstheme="majorBidi"/>
                <w:b/>
                <w:bCs/>
                <w:szCs w:val="24"/>
                <w:lang w:eastAsia="zh-CN"/>
              </w:rPr>
            </w:pPr>
            <w:r>
              <w:rPr>
                <w:rFonts w:eastAsiaTheme="majorEastAsia" w:cstheme="majorBidi"/>
                <w:b/>
                <w:bCs/>
                <w:szCs w:val="24"/>
                <w:lang w:eastAsia="zh-CN"/>
              </w:rPr>
              <w:t xml:space="preserve">   For data inputs that contribute to the analysis but were not synthesized as part of the study:</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7</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 xml:space="preserve">Describe and give sources for any other data inputs. </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N/A</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8D8D8" w:themeFill="background1" w:themeFillShade="D9"/>
          </w:tcPr>
          <w:p>
            <w:pPr>
              <w:rPr>
                <w:rFonts w:eastAsiaTheme="majorEastAsia" w:cstheme="majorBidi"/>
                <w:b/>
                <w:bCs/>
                <w:szCs w:val="24"/>
                <w:lang w:eastAsia="zh-CN"/>
              </w:rPr>
            </w:pPr>
            <w:r>
              <w:rPr>
                <w:rFonts w:eastAsiaTheme="majorEastAsia" w:cstheme="majorBidi"/>
                <w:b/>
                <w:bCs/>
                <w:szCs w:val="24"/>
                <w:lang w:eastAsia="zh-CN"/>
              </w:rPr>
              <w:t xml:space="preserve">   For all data inputs: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8</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Provide all data inputs in a file format from which data can be efficiently extracted (e.g., a spreadsheet rather than a PDF), including all relevant meta-data listed in item 5. For any data inputs that cannot be shared because of ethical or legal reasons, such as third-party ownership, provide a contact name or the name of the institution that retains the right to the data.</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bookmarkStart w:id="8" w:name="OLE_LINK10"/>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and table 1.</w:t>
            </w:r>
            <w:bookmarkEnd w:id="8"/>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EBEBE" w:themeFill="background1" w:themeFillShade="BF"/>
          </w:tcPr>
          <w:p>
            <w:pPr>
              <w:rPr>
                <w:rFonts w:eastAsiaTheme="majorEastAsia" w:cstheme="majorBidi"/>
                <w:b/>
                <w:bCs/>
                <w:szCs w:val="24"/>
                <w:lang w:eastAsia="zh-CN"/>
              </w:rPr>
            </w:pPr>
            <w:r>
              <w:rPr>
                <w:rFonts w:eastAsiaTheme="majorEastAsia" w:cstheme="majorBidi"/>
                <w:b/>
                <w:bCs/>
                <w:szCs w:val="24"/>
                <w:lang w:eastAsia="zh-CN"/>
              </w:rPr>
              <w:t>Data analysis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9</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 xml:space="preserve">Provide a conceptual overview of the data analysis method. A diagram may be helpful. </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 overview.</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10</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 xml:space="preserve">Provide a detailed description of all steps of the analysis, including mathematical formulae. This description should cover, as relevant, data cleaning, data pre-processing, data adjustments and weighting of data sources, and mathematical or statistical model(s). </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11</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Describe how candidate models were evaluated and how the final model(s) were selected.</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and Supplementary File 2 and 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12</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Provide the results of an evaluation of model performance, if done, as well as the results of any relevant sensitivity analysis.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Supplement</w:t>
            </w:r>
            <w:r>
              <w:rPr>
                <w:rFonts w:hint="eastAsia" w:eastAsia="宋体" w:cs="Times New Roman"/>
                <w:szCs w:val="24"/>
                <w:lang w:eastAsia="zh-CN"/>
              </w:rPr>
              <w:t>ary</w:t>
            </w:r>
            <w:r>
              <w:rPr>
                <w:rFonts w:eastAsia="宋体" w:cs="Times New Roman"/>
                <w:szCs w:val="24"/>
                <w:lang w:eastAsia="zh-CN"/>
              </w:rPr>
              <w:t xml:space="preserve"> Figure </w:t>
            </w:r>
            <w:r>
              <w:rPr>
                <w:rFonts w:hint="eastAsia" w:eastAsia="宋体" w:cs="Times New Roman"/>
                <w:szCs w:val="24"/>
                <w:lang w:eastAsia="zh-CN"/>
              </w:rPr>
              <w:t>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13</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Describe methods for calculating uncertainty of the estimates. State which sources of uncertainty were, and were not, accounted for in the uncertainty analysis.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N/A</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rFonts w:eastAsiaTheme="majorEastAsia" w:cstheme="majorBidi"/>
                <w:b/>
                <w:bCs/>
                <w:szCs w:val="24"/>
                <w:lang w:eastAsia="zh-CN"/>
              </w:rPr>
            </w:pPr>
            <w:r>
              <w:rPr>
                <w:rFonts w:eastAsiaTheme="majorEastAsia" w:cstheme="majorBidi"/>
                <w:b/>
                <w:bCs/>
                <w:szCs w:val="24"/>
                <w:lang w:eastAsia="zh-CN"/>
              </w:rPr>
              <w:t>14</w:t>
            </w:r>
          </w:p>
        </w:tc>
        <w:tc>
          <w:tcPr>
            <w:tcW w:w="3721"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eastAsia="宋体" w:cs="Times New Roman"/>
                <w:szCs w:val="24"/>
                <w:lang w:eastAsia="zh-CN"/>
              </w:rPr>
              <w:t>State how analytic or statistical source code used to generate estimates can be accessed.</w:t>
            </w:r>
          </w:p>
        </w:tc>
        <w:tc>
          <w:tcPr>
            <w:tcW w:w="888"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hint="eastAsia" w:eastAsia="宋体" w:cs="Times New Roman"/>
                <w:szCs w:val="24"/>
                <w:lang w:eastAsia="zh-CN"/>
              </w:rPr>
              <w:t>N/A</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5000"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p>
            <w:pPr>
              <w:rPr>
                <w:rFonts w:eastAsiaTheme="majorEastAsia" w:cstheme="majorBidi"/>
                <w:b/>
                <w:bCs/>
                <w:szCs w:val="24"/>
                <w:lang w:eastAsia="zh-CN"/>
              </w:rPr>
            </w:pPr>
            <w:r>
              <w:rPr>
                <w:rFonts w:eastAsiaTheme="majorEastAsia" w:cstheme="majorBidi"/>
                <w:b/>
                <w:bCs/>
                <w:szCs w:val="24"/>
                <w:lang w:eastAsia="zh-CN"/>
              </w:rPr>
              <w:t>Results and Discussion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rFonts w:eastAsiaTheme="majorEastAsia" w:cstheme="majorBidi"/>
                <w:b/>
                <w:bCs/>
                <w:szCs w:val="24"/>
                <w:lang w:eastAsia="zh-CN"/>
              </w:rPr>
            </w:pPr>
            <w:r>
              <w:rPr>
                <w:rFonts w:eastAsiaTheme="majorEastAsia" w:cstheme="majorBidi"/>
                <w:b/>
                <w:bCs/>
                <w:szCs w:val="24"/>
                <w:lang w:eastAsia="zh-CN"/>
              </w:rPr>
              <w:t>15</w:t>
            </w:r>
          </w:p>
        </w:tc>
        <w:tc>
          <w:tcPr>
            <w:tcW w:w="3721"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eastAsia="宋体" w:cs="Times New Roman"/>
                <w:szCs w:val="24"/>
                <w:lang w:eastAsia="zh-CN"/>
              </w:rPr>
              <w:t>Provide published estimates in a file format from which data can be efficiently extracted.</w:t>
            </w:r>
          </w:p>
        </w:tc>
        <w:tc>
          <w:tcPr>
            <w:tcW w:w="888" w:type="pct"/>
            <w:tcBorders>
              <w:top w:val="single" w:color="000000" w:themeColor="text1" w:sz="8" w:space="0"/>
              <w:bottom w:val="single" w:color="000000" w:themeColor="text1" w:sz="8" w:space="0"/>
              <w:right w:val="single" w:color="000000" w:themeColor="text1" w:sz="8" w:space="0"/>
            </w:tcBorders>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Methods and table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16</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Report a quantitative measure of the uncertainty of the estimates (e.g. uncertainty intervals).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N/A</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17</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Interpret results in light of existing evidence. If updating a previous set of estimates, describe the reasons for changes in estimates.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bookmarkStart w:id="9" w:name="OLE_LINK8"/>
            <w:r>
              <w:rPr>
                <w:rFonts w:hint="eastAsia" w:eastAsia="宋体" w:cs="Times New Roman"/>
                <w:szCs w:val="24"/>
                <w:lang w:eastAsia="zh-CN"/>
              </w:rPr>
              <w:t>N/A</w:t>
            </w:r>
            <w:bookmarkEnd w:id="9"/>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391"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pPr>
              <w:rPr>
                <w:rFonts w:eastAsiaTheme="majorEastAsia" w:cstheme="majorBidi"/>
                <w:b/>
                <w:bCs/>
                <w:szCs w:val="24"/>
                <w:lang w:eastAsia="zh-CN"/>
              </w:rPr>
            </w:pPr>
            <w:r>
              <w:rPr>
                <w:rFonts w:eastAsiaTheme="majorEastAsia" w:cstheme="majorBidi"/>
                <w:b/>
                <w:bCs/>
                <w:szCs w:val="24"/>
                <w:lang w:eastAsia="zh-CN"/>
              </w:rPr>
              <w:t>18</w:t>
            </w:r>
          </w:p>
        </w:tc>
        <w:tc>
          <w:tcPr>
            <w:tcW w:w="3721"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eastAsia="宋体" w:cs="Times New Roman"/>
                <w:szCs w:val="24"/>
                <w:lang w:eastAsia="zh-CN"/>
              </w:rPr>
              <w:t>Discuss limitations of the estimates. Include a discussion of any modelling assumptions or data limitations that affect interpretation of the estimates.</w:t>
            </w:r>
          </w:p>
        </w:tc>
        <w:tc>
          <w:tcPr>
            <w:tcW w:w="888" w:type="pct"/>
            <w:tcBorders>
              <w:top w:val="single" w:color="000000" w:themeColor="text1" w:sz="8" w:space="0"/>
              <w:bottom w:val="single" w:color="000000" w:themeColor="text1" w:sz="8" w:space="0"/>
              <w:right w:val="single" w:color="000000" w:themeColor="text1" w:sz="8" w:space="0"/>
            </w:tcBorders>
            <w:shd w:val="clear" w:color="auto" w:fill="auto"/>
          </w:tcPr>
          <w:p>
            <w:pPr>
              <w:rPr>
                <w:rFonts w:eastAsia="宋体" w:cs="Times New Roman"/>
                <w:szCs w:val="24"/>
                <w:lang w:eastAsia="zh-CN"/>
              </w:rPr>
            </w:pPr>
            <w:r>
              <w:rPr>
                <w:rFonts w:hint="eastAsia" w:eastAsia="宋体" w:cs="Times New Roman"/>
                <w:szCs w:val="24"/>
                <w:lang w:eastAsia="zh-CN"/>
              </w:rPr>
              <w:t>Main text:</w:t>
            </w:r>
          </w:p>
          <w:p>
            <w:pPr>
              <w:rPr>
                <w:rFonts w:eastAsia="宋体" w:cs="Times New Roman"/>
                <w:szCs w:val="24"/>
                <w:lang w:eastAsia="zh-CN"/>
              </w:rPr>
            </w:pPr>
            <w:r>
              <w:rPr>
                <w:rFonts w:hint="eastAsia" w:eastAsia="宋体" w:cs="Times New Roman"/>
                <w:szCs w:val="24"/>
                <w:lang w:eastAsia="zh-CN"/>
              </w:rPr>
              <w:t>Limitations.</w:t>
            </w:r>
          </w:p>
        </w:tc>
      </w:tr>
    </w:tbl>
    <w:p/>
    <w:p>
      <w:pPr>
        <w:pStyle w:val="2"/>
        <w:numPr>
          <w:ilvl w:val="0"/>
          <w:numId w:val="0"/>
        </w:numPr>
        <w:rPr>
          <w:rFonts w:eastAsia="宋体"/>
        </w:rPr>
      </w:pPr>
      <w:bookmarkStart w:id="10" w:name="OLE_LINK5"/>
      <w:bookmarkStart w:id="11" w:name="_Toc6561"/>
      <w:r>
        <w:t>Supplement</w:t>
      </w:r>
      <w:r>
        <w:rPr>
          <w:rFonts w:hint="eastAsia" w:eastAsia="宋体"/>
          <w:lang w:eastAsia="zh-CN"/>
        </w:rPr>
        <w:t>ary</w:t>
      </w:r>
      <w:r>
        <w:t xml:space="preserve"> Table </w:t>
      </w:r>
      <w:r>
        <w:rPr>
          <w:rFonts w:hint="eastAsia" w:eastAsia="宋体"/>
          <w:lang w:eastAsia="zh-CN"/>
        </w:rPr>
        <w:t>2</w:t>
      </w:r>
      <w:r>
        <w:rPr>
          <w:rFonts w:hint="eastAsia"/>
          <w:lang w:eastAsia="zh-CN"/>
        </w:rPr>
        <w:t>.</w:t>
      </w:r>
      <w:bookmarkEnd w:id="10"/>
      <w:r>
        <w:t xml:space="preserve"> Distribution of countries</w:t>
      </w:r>
      <w:r>
        <w:rPr>
          <w:rFonts w:hint="eastAsia" w:eastAsia="宋体"/>
          <w:lang w:eastAsia="zh-CN"/>
        </w:rPr>
        <w:t xml:space="preserve"> with reported MPX cases</w:t>
      </w:r>
      <w:r>
        <w:t xml:space="preserve"> </w:t>
      </w:r>
      <w:r>
        <w:rPr>
          <w:rFonts w:hint="eastAsia" w:eastAsia="宋体"/>
          <w:lang w:eastAsia="zh-CN"/>
        </w:rPr>
        <w:t>worldwide</w:t>
      </w:r>
      <w:bookmarkEnd w:id="11"/>
    </w:p>
    <w:p>
      <w:pPr>
        <w:rPr>
          <w:rFonts w:cs="Times New Roman"/>
          <w:b/>
          <w:bCs/>
          <w:color w:val="000000" w:themeColor="text1"/>
          <w:shd w:val="pct10" w:color="auto" w:fill="FFFFFF"/>
          <w14:textFill>
            <w14:solidFill>
              <w14:schemeClr w14:val="tx1"/>
            </w14:solidFill>
          </w14:textFill>
        </w:rPr>
      </w:pPr>
    </w:p>
    <w:tbl>
      <w:tblPr>
        <w:tblStyle w:val="22"/>
        <w:tblW w:w="8931" w:type="dxa"/>
        <w:tblInd w:w="0" w:type="dxa"/>
        <w:tblLayout w:type="autofit"/>
        <w:tblCellMar>
          <w:top w:w="0" w:type="dxa"/>
          <w:left w:w="108" w:type="dxa"/>
          <w:bottom w:w="0" w:type="dxa"/>
          <w:right w:w="108" w:type="dxa"/>
        </w:tblCellMar>
      </w:tblPr>
      <w:tblGrid>
        <w:gridCol w:w="1300"/>
        <w:gridCol w:w="1961"/>
        <w:gridCol w:w="5670"/>
      </w:tblGrid>
      <w:tr>
        <w:tblPrEx>
          <w:tblCellMar>
            <w:top w:w="0" w:type="dxa"/>
            <w:left w:w="108" w:type="dxa"/>
            <w:bottom w:w="0" w:type="dxa"/>
            <w:right w:w="108" w:type="dxa"/>
          </w:tblCellMar>
        </w:tblPrEx>
        <w:trPr>
          <w:trHeight w:val="60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r>
              <w:t>MPX </w:t>
            </w:r>
          </w:p>
        </w:tc>
        <w:tc>
          <w:tcPr>
            <w:tcW w:w="1961" w:type="dxa"/>
            <w:tcBorders>
              <w:top w:val="single" w:color="auto" w:sz="4" w:space="0"/>
              <w:left w:val="single" w:color="auto" w:sz="4" w:space="0"/>
              <w:bottom w:val="single" w:color="auto" w:sz="4" w:space="0"/>
              <w:right w:val="single" w:color="auto" w:sz="4" w:space="0"/>
            </w:tcBorders>
            <w:shd w:val="clear" w:color="auto" w:fill="auto"/>
          </w:tcPr>
          <w:p>
            <w:r>
              <w:t>Temporal coverage</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Countries</w:t>
            </w:r>
          </w:p>
        </w:tc>
      </w:tr>
      <w:tr>
        <w:tblPrEx>
          <w:tblCellMar>
            <w:top w:w="0" w:type="dxa"/>
            <w:left w:w="108" w:type="dxa"/>
            <w:bottom w:w="0" w:type="dxa"/>
            <w:right w:w="108" w:type="dxa"/>
          </w:tblCellMar>
        </w:tblPrEx>
        <w:trPr>
          <w:trHeight w:val="600" w:hRule="atLeast"/>
        </w:trPr>
        <w:tc>
          <w:tcPr>
            <w:tcW w:w="1300" w:type="dxa"/>
            <w:vMerge w:val="restart"/>
            <w:tcBorders>
              <w:top w:val="single" w:color="auto" w:sz="4" w:space="0"/>
              <w:left w:val="single" w:color="auto" w:sz="4" w:space="0"/>
              <w:bottom w:val="single" w:color="auto" w:sz="4" w:space="0"/>
              <w:right w:val="single" w:color="auto" w:sz="4" w:space="0"/>
            </w:tcBorders>
            <w:shd w:val="clear" w:color="auto" w:fill="auto"/>
          </w:tcPr>
          <w:p>
            <w:r>
              <w:t>Endemic countries</w:t>
            </w:r>
          </w:p>
        </w:tc>
        <w:tc>
          <w:tcPr>
            <w:tcW w:w="1961" w:type="dxa"/>
            <w:tcBorders>
              <w:top w:val="single" w:color="auto" w:sz="4" w:space="0"/>
              <w:left w:val="single" w:color="auto" w:sz="4" w:space="0"/>
              <w:bottom w:val="single" w:color="auto" w:sz="4" w:space="0"/>
              <w:right w:val="single" w:color="auto" w:sz="4" w:space="0"/>
            </w:tcBorders>
            <w:shd w:val="clear" w:color="auto" w:fill="auto"/>
          </w:tcPr>
          <w:p>
            <w:r>
              <w:t>History (n=11)</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Africa: Benin; Cameroon; the Central African Republic; the Democratic; Republic of the Congo; Gabon; Ghana; Ivory Coast; Liberia; Nigeria; the Republic of the Congo; Sierra Leone</w:t>
            </w:r>
          </w:p>
        </w:tc>
      </w:tr>
      <w:tr>
        <w:tblPrEx>
          <w:tblCellMar>
            <w:top w:w="0" w:type="dxa"/>
            <w:left w:w="108" w:type="dxa"/>
            <w:bottom w:w="0" w:type="dxa"/>
            <w:right w:w="108" w:type="dxa"/>
          </w:tblCellMar>
        </w:tblPrEx>
        <w:trPr>
          <w:trHeight w:val="600" w:hRule="atLeast"/>
        </w:trPr>
        <w:tc>
          <w:tcPr>
            <w:tcW w:w="1300" w:type="dxa"/>
            <w:vMerge w:val="continue"/>
            <w:tcBorders>
              <w:top w:val="single" w:color="auto" w:sz="4" w:space="0"/>
              <w:left w:val="single" w:color="auto" w:sz="4" w:space="0"/>
              <w:bottom w:val="single" w:color="auto" w:sz="4" w:space="0"/>
              <w:right w:val="single" w:color="auto" w:sz="4" w:space="0"/>
            </w:tcBorders>
            <w:vAlign w:val="center"/>
          </w:tcPr>
          <w:p/>
        </w:tc>
        <w:tc>
          <w:tcPr>
            <w:tcW w:w="1961" w:type="dxa"/>
            <w:tcBorders>
              <w:top w:val="single" w:color="auto" w:sz="4" w:space="0"/>
              <w:left w:val="single" w:color="auto" w:sz="4" w:space="0"/>
              <w:bottom w:val="single" w:color="auto" w:sz="4" w:space="0"/>
              <w:right w:val="single" w:color="auto" w:sz="4" w:space="0"/>
            </w:tcBorders>
            <w:shd w:val="clear" w:color="auto" w:fill="auto"/>
          </w:tcPr>
          <w:p>
            <w:r>
              <w:t>2022 (n=8)</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Africa: Benin; Cameroon; Central African Republic; Democratic Republic of the Congo; Ghana; Nigeria; Republic of Congo; Liberia</w:t>
            </w:r>
          </w:p>
        </w:tc>
      </w:tr>
      <w:tr>
        <w:tblPrEx>
          <w:tblCellMar>
            <w:top w:w="0" w:type="dxa"/>
            <w:left w:w="108" w:type="dxa"/>
            <w:bottom w:w="0" w:type="dxa"/>
            <w:right w:w="108" w:type="dxa"/>
          </w:tblCellMar>
        </w:tblPrEx>
        <w:trPr>
          <w:trHeight w:val="60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r>
              <w:t>Imported countries</w:t>
            </w:r>
          </w:p>
        </w:tc>
        <w:tc>
          <w:tcPr>
            <w:tcW w:w="1961" w:type="dxa"/>
            <w:tcBorders>
              <w:top w:val="single" w:color="auto" w:sz="4" w:space="0"/>
              <w:left w:val="single" w:color="auto" w:sz="4" w:space="0"/>
              <w:bottom w:val="single" w:color="auto" w:sz="4" w:space="0"/>
              <w:right w:val="single" w:color="auto" w:sz="4" w:space="0"/>
            </w:tcBorders>
            <w:shd w:val="clear" w:color="auto" w:fill="auto"/>
          </w:tcPr>
          <w:p>
            <w:r>
              <w:t>Only history (n=1)</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Africa: South Sudan</w:t>
            </w:r>
          </w:p>
        </w:tc>
      </w:tr>
      <w:tr>
        <w:tblPrEx>
          <w:tblCellMar>
            <w:top w:w="0" w:type="dxa"/>
            <w:left w:w="108" w:type="dxa"/>
            <w:bottom w:w="0" w:type="dxa"/>
            <w:right w:w="108" w:type="dxa"/>
          </w:tblCellMar>
        </w:tblPrEx>
        <w:trPr>
          <w:trHeight w:val="60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tc>
        <w:tc>
          <w:tcPr>
            <w:tcW w:w="1961" w:type="dxa"/>
            <w:tcBorders>
              <w:top w:val="single" w:color="auto" w:sz="4" w:space="0"/>
              <w:left w:val="single" w:color="auto" w:sz="4" w:space="0"/>
              <w:bottom w:val="single" w:color="auto" w:sz="4" w:space="0"/>
              <w:right w:val="single" w:color="auto" w:sz="4" w:space="0"/>
            </w:tcBorders>
            <w:shd w:val="clear" w:color="auto" w:fill="auto"/>
          </w:tcPr>
          <w:p>
            <w:r>
              <w:t>History and 2022 (n=4)</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 xml:space="preserve">Asia: Israel and Singapore </w:t>
            </w:r>
          </w:p>
          <w:p>
            <w:r>
              <w:t>Europe: United Kingdom</w:t>
            </w:r>
          </w:p>
          <w:p>
            <w:r>
              <w:t>Northern America: United States </w:t>
            </w:r>
          </w:p>
        </w:tc>
      </w:tr>
      <w:tr>
        <w:tblPrEx>
          <w:tblCellMar>
            <w:top w:w="0" w:type="dxa"/>
            <w:left w:w="108" w:type="dxa"/>
            <w:bottom w:w="0" w:type="dxa"/>
            <w:right w:w="108" w:type="dxa"/>
          </w:tblCellMar>
        </w:tblPrEx>
        <w:trPr>
          <w:trHeight w:val="60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r>
              <w:t> </w:t>
            </w:r>
          </w:p>
        </w:tc>
        <w:tc>
          <w:tcPr>
            <w:tcW w:w="1961" w:type="dxa"/>
            <w:tcBorders>
              <w:top w:val="single" w:color="auto" w:sz="4" w:space="0"/>
              <w:left w:val="single" w:color="auto" w:sz="4" w:space="0"/>
              <w:bottom w:val="single" w:color="auto" w:sz="4" w:space="0"/>
              <w:right w:val="single" w:color="auto" w:sz="4" w:space="0"/>
            </w:tcBorders>
            <w:shd w:val="clear" w:color="auto" w:fill="auto"/>
          </w:tcPr>
          <w:p>
            <w:r>
              <w:t>Only 2022 (n=76)</w:t>
            </w:r>
          </w:p>
        </w:tc>
        <w:tc>
          <w:tcPr>
            <w:tcW w:w="5670" w:type="dxa"/>
            <w:tcBorders>
              <w:top w:val="single" w:color="auto" w:sz="4" w:space="0"/>
              <w:left w:val="single" w:color="auto" w:sz="4" w:space="0"/>
              <w:bottom w:val="single" w:color="auto" w:sz="4" w:space="0"/>
              <w:right w:val="single" w:color="auto" w:sz="4" w:space="0"/>
            </w:tcBorders>
            <w:shd w:val="clear" w:color="auto" w:fill="auto"/>
          </w:tcPr>
          <w:p>
            <w:r>
              <w:t xml:space="preserve">Africa: South Africa; Morocco; Sudan </w:t>
            </w:r>
          </w:p>
          <w:p>
            <w:r>
              <w:t xml:space="preserve">Asia: Georgia; Lebanon; South Korea; China (Taiwan); United Arab Emirates; Cyprus; India; Japan; Philippines; Qatar; Saudi Arabia; Thailand; Turkey </w:t>
            </w:r>
          </w:p>
          <w:p>
            <w:r>
              <w:t xml:space="preserve">Europe: Austria; Belgium; Bulgaria; Croatia; Czech Republic; Denmark; Estonia; Finland; France; Germany; Gibraltar; Greece; Hungary; Iceland; Ireland; Italy; Latvia; Luxembourg; Malta; Netherlands; Norway; Poland; Portugal; Romania; Serbia; Slovenia; Spain; Sweden; Switzerland; Andorra; Bosnia and Herzegovi; Lithuania; Monaco; Moldova; Montenegro; Russian Federation; Slovak Republic. </w:t>
            </w:r>
          </w:p>
          <w:p>
            <w:r>
              <w:t xml:space="preserve">Latin America: Argentina; Brazil; Chile; Colombia; Mexico; Peru; Venezuela;Bolivia;Barbados; Costa Rica; Dominican Republic; Ecuador; Guatemala; Honduras; Jamaica; Pama; Puerto Rico, Uruguay. </w:t>
            </w:r>
          </w:p>
          <w:p>
            <w:r>
              <w:t xml:space="preserve">Northern America: Canada; Bermuda; Greenland </w:t>
            </w:r>
          </w:p>
          <w:p>
            <w:r>
              <w:t>Oceania: Australia; New Caledonia; New Zealand</w:t>
            </w:r>
          </w:p>
        </w:tc>
      </w:tr>
    </w:tbl>
    <w:p>
      <w:pPr>
        <w:rPr>
          <w:rFonts w:eastAsia="宋体" w:cs="Times New Roman"/>
          <w:b/>
          <w:bCs/>
          <w:color w:val="000000" w:themeColor="text1"/>
          <w:shd w:val="pct10" w:color="auto" w:fill="FFFFFF"/>
          <w14:textFill>
            <w14:solidFill>
              <w14:schemeClr w14:val="tx1"/>
            </w14:solidFill>
          </w14:textFill>
        </w:rPr>
      </w:pPr>
      <w:r>
        <w:t>MPX, monkeypox</w:t>
      </w:r>
      <w:r>
        <w:rPr>
          <w:rFonts w:hint="eastAsia" w:eastAsia="宋体"/>
          <w:lang w:eastAsia="zh-CN"/>
        </w:rPr>
        <w:t xml:space="preserve"> infection</w:t>
      </w:r>
    </w:p>
    <w:p>
      <w:pPr>
        <w:rPr>
          <w:rFonts w:cs="Times New Roman"/>
          <w:b/>
          <w:bCs/>
          <w:color w:val="000000" w:themeColor="text1"/>
          <w:shd w:val="pct10" w:color="auto" w:fill="FFFFFF"/>
          <w14:textFill>
            <w14:solidFill>
              <w14:schemeClr w14:val="tx1"/>
            </w14:solidFill>
          </w14:textFill>
        </w:rPr>
        <w:sectPr>
          <w:footerReference r:id="rId7" w:type="first"/>
          <w:footerReference r:id="rId5" w:type="default"/>
          <w:footerReference r:id="rId6" w:type="even"/>
          <w:pgSz w:w="11900" w:h="16840"/>
          <w:pgMar w:top="1440" w:right="1440" w:bottom="1440" w:left="1440" w:header="708" w:footer="708" w:gutter="0"/>
          <w:cols w:space="708" w:num="1"/>
          <w:docGrid w:linePitch="360" w:charSpace="0"/>
        </w:sectPr>
      </w:pPr>
    </w:p>
    <w:p>
      <w:pPr>
        <w:pStyle w:val="2"/>
        <w:numPr>
          <w:ilvl w:val="0"/>
          <w:numId w:val="0"/>
        </w:numPr>
        <w:ind w:left="567" w:hanging="567"/>
      </w:pPr>
      <w:bookmarkStart w:id="12" w:name="_Toc25880"/>
      <w:r>
        <w:t>Supplement</w:t>
      </w:r>
      <w:r>
        <w:rPr>
          <w:rFonts w:hint="eastAsia" w:eastAsia="宋体"/>
          <w:lang w:eastAsia="zh-CN"/>
        </w:rPr>
        <w:t>ary</w:t>
      </w:r>
      <w:r>
        <w:t xml:space="preserve"> Table </w:t>
      </w:r>
      <w:r>
        <w:rPr>
          <w:rFonts w:hint="eastAsia" w:eastAsia="宋体"/>
          <w:lang w:eastAsia="zh-CN"/>
        </w:rPr>
        <w:t>3.</w:t>
      </w:r>
      <w:r>
        <w:t xml:space="preserve"> The list of variables used in analysis</w:t>
      </w:r>
      <w:bookmarkEnd w:id="12"/>
    </w:p>
    <w:p>
      <w:pPr>
        <w:rPr>
          <w:rFonts w:cs="Times New Roman"/>
          <w:b/>
          <w:bCs/>
          <w:color w:val="000000"/>
        </w:rPr>
      </w:pPr>
    </w:p>
    <w:tbl>
      <w:tblPr>
        <w:tblStyle w:val="22"/>
        <w:tblW w:w="1405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4"/>
        <w:gridCol w:w="1392"/>
        <w:gridCol w:w="1212"/>
        <w:gridCol w:w="888"/>
        <w:gridCol w:w="1068"/>
        <w:gridCol w:w="1176"/>
        <w:gridCol w:w="1116"/>
        <w:gridCol w:w="1080"/>
        <w:gridCol w:w="1164"/>
        <w:gridCol w:w="1104"/>
        <w:gridCol w:w="2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Variable</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Description</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2001-2021 (All)</w:t>
            </w:r>
          </w:p>
        </w:tc>
        <w:tc>
          <w:tcPr>
            <w:tcW w:w="564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2022</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Data source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000000"/>
                <w:sz w:val="24"/>
                <w:szCs w:val="24"/>
                <w:u w:val="none"/>
              </w:rPr>
            </w:pP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000000"/>
                <w:sz w:val="24"/>
                <w:szCs w:val="24"/>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Temporal coverage</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Value</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Missing</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Temporal coverage</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Endemic</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Missing</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Imported</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Missing</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Population Density</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Population density (people per sq. km of land area)</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46.4 [27.2-235]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56.2 [27.8-109]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93.0 [31.8-220]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"https://data.worldbank.org/indicator/EN.POP.DNST (accessed 30 May 2022)." \o "https://data.worldbank.org/indicator/EN.POP.DNST (accessed 30 May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https://data.worldbank.org/indicator/EN.POP.DNST (accessed 30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Aged under 40</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Proportion of 0-</w:t>
            </w:r>
            <w:r>
              <w:rPr>
                <w:rStyle w:val="83"/>
                <w:rFonts w:eastAsia="宋体"/>
                <w:lang w:val="en-US" w:eastAsia="zh-CN" w:bidi="ar"/>
              </w:rPr>
              <w:t xml:space="preserve"> to 39-year olds in the general population</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2005-2020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80.0 [57.3-81.9]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81.7 [80.1-82.5]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51.2 [46.0-63.7]</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 (7.5%)</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"https://www.un.org" \o "https://www.un.org"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https://www.un.org (accessed 30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Education</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Average number of years the population older than 25 participated in formal education</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2001-2017</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5.93 [4.14-11.9]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2017</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6.20 [4.50-6.55]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[9.25-12.4]</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 (6.3%)</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"https://ourworldindata.org/global-education (accessed 20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https://ourworldindata.org/global-education (accessed 20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GDP per capita</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Per capita gross domestic product, a measure of a country's economic output per person</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 [526-39200]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1540 [588-2150]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17700 [7680-43300]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 (3.8%)</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"https://data.worldbank.org/indicator/NY.GDP.PCAP.CD (accessed 31 May 2022)" \o "https://data.worldbank.org/indicator/NY.GDP.PCAP.CD (accessed 31 May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https://data.worldbank.org/indicator/NY.GDP.PCAP.CD (accessed 31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GDP growth (%)</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Annual percentage growth rate of GDP at market prices based on constant local currency</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-0.212 [-0.806-1.55]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0.414 [-1.90-1.28]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-5.23 [-7.78--2.95]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"https://data.worldbank.org/indicator/NY.GDP.MKTP.KD.ZG (accessed 31 May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https://data.worldbank.org/indicator/NY.GDP.MKTP.KD.ZG (accessed 31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MSM population size (thousand)*</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Estimated population of men who have sex with men</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85.8 [3.20-195]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(18.2%)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30.9 [3.85-70.0]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(9.1%)</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88.0 [34.0-275]</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 (40.0%)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"https://kpatlas.unaids.org/dashboard (accessed 7 Aug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https://kpatlas.unaids.org/dashboard (accessed 7 Aug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Same sex marriage</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Legal status</w:t>
            </w:r>
            <w:r>
              <w:rPr>
                <w:rStyle w:val="83"/>
                <w:rFonts w:eastAsia="宋体"/>
                <w:lang w:val="en-US" w:eastAsia="zh-CN" w:bidi="ar"/>
              </w:rPr>
              <w:t xml:space="preserve"> of same sex marriage</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legal 2 (18.2%)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legal 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legal 31 (38.8%)</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"https://ilga.org/maps-sexual-orientation-laws (accessed 6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https://ilga.org/maps-sexual-orientation-laws (accessed 6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Forest area (%)</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Proportion of land under natural or planted stands of trees of at least 5 meters in situ, whether productive or not;</w:t>
            </w:r>
            <w:r>
              <w:rPr>
                <w:rStyle w:val="83"/>
                <w:rFonts w:eastAsia="宋体"/>
                <w:lang w:val="en-US" w:eastAsia="zh-CN" w:bidi="ar"/>
              </w:rPr>
              <w:t xml:space="preserve"> excludes tree stands in agricultural production systems</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 [18.1-47.2]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35.8 [31.5-60.0]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33.6 [18.6-47.2]</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(2.5%)</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"https://data.worldbank.org/indicator/AG.LND.FRST.ZS (accessed 5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https://data.worldbank.org/indicator/AG.LND.FRST.ZS (accessed 5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Temperature</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Mean temperature (degrees Celsius)</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26.1 [24.8-26.9]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26.4 [25.4-27.1]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 [10.1-24.4]</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 (3.8%)</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"https://climateknowledgeportal.worldbank.org/download-data (accessed 6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https://climateknowledgeportal.worldbank.org/download-data (accessed 6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Precipitation</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Average precipitation (mm per year)</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1190 [850-1890]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1530 [1050-1870]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900 [631-1390]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 (3.8%)</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"https://climateknowledgeportal.worldbank.org/download-data (accessed 6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https://climateknowledgeportal.worldbank.org/download-data (accessed 6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MPXV</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Diversity distribution of species that can be infected with</w:t>
            </w:r>
            <w:r>
              <w:rPr>
                <w:rStyle w:val="83"/>
                <w:rFonts w:eastAsia="宋体"/>
                <w:lang w:val="en-US" w:eastAsia="zh-CN" w:bidi="ar"/>
              </w:rPr>
              <w:t xml:space="preserve"> MPXV</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2021</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 [0.500-6.00]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 [5.00-7.00]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 [0-1.00]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"https://www.iucn.org/ (accessed 3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https://www.iucn.org/ (accessed 3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HIV</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number of age-standardized HIV infections</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2001-2019</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101000 [53300-329000]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2019</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104000 [72900-409000]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12600 [1830-73600]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(2.5%)</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"https://vizhub.healthdata.org/gbd-results (accessed 7 Aug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https://vizhub.healthdata.org/gbd-results (accessed 7 Aug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COVID-19</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number of COVID-19 cases</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46200 [11100-536000]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2022 Jan 1-Mar 31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5790 [2250-11100]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839000 [277000-2820000]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(1.3%)</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"https://github.com/CSSEGISandData/COVID-19 (accessed 6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https://github.com/CSSEGISandData/COVID-19 (accessed 6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HAQ</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Healthcare Access and Quality Index</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2001-2016</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 [38.4-87.1]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[31.0-39.3]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(18.2%)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81.9 [68.5-91.9]</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 (5.0%)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GBD 2016 Healthcare Access and Quality Collaborators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IHR</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Average of 13 International Health Regulations core capacity scores, 1st version of the questionnaire</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2010-2020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55.7 [52.5-88.2]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49.0 [38.5-51.0]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79.0 [67.0-88.3]</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 (5.0%)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"https://www.who.int/data/gho/data/indicators/indicator-details/GHO/national-health-emergency-framework (accessed 31 May 2022)." \o "https://www.who.int/data/gho/data/indicators/indicator-details/GHO/national-health-emergency-framework (accessed 31 May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https://www.who.int/data/gho/data/indicators/indicator-details/GHO/national-health-emergency-framework (accessed 31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Expenditure</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Current health expenditure per capita in US$</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2001-2019</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69.2 [46.6-1940]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2019</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52.6 [41.7-73.3]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1360 [545-3640]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 (5.0%)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"https://www.who.int/data/gho/data/indicators/indicator-details/GHO/current-health-expenditure-(che)-per-capita-in-us$ (accessed 31 May 2022)" \o "https://www.who.int/data/gho/data/indicators/indicator-details/GHO/current-health-expenditure-(che)-per-capita-in-us$ (accessed 31 May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https://www.who.int/data/gho/data/indicators/indicator-details/GHO/current-health-expenditure-(che)-per-capita-in-us$ (accessed 31 May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Overweight</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Prevalence of overweight among adults, BMI ≥ 25 (age-standardized estimate)</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2001-2016</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 [23.9-52.2]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(9.1%)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30.9 [28.3-31.8]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58.4 [55.8-62.3]</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 (5.0%)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"https://www.who.int/data/gho/data/indicators/indicator-details/GHO/prevalence-of-overweight-among-adults-bmi-=-25-(age-standardized-estimate (accessed 7 Jul 2022)." \o "https://www.who.int/data/gho/data/indicators/indicator-details/GHO/prevalence-of-overweight-among-adults-bmi-=-25-(age-standardized-estimate (accessed 7 Jul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https://www.who.int/data/gho/data/indicators/indicator-details/GHO/prevalence-of-overweight-among-adults-bmi-=-25-(age-standardized-estimate (accessed 7 Jul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physical activity</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Disability-adjusted life years attributed to low physical activity</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2001-2019</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203 [165-242]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2019</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 [179-239]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[131-238]</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(2.5%)</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"https://www.who.int/data/gho/data/indicators/indicator-details/GHO/prevalence-of-overweight-among-adults-bmi-=-25-(age-standardized-estimate) (accessed 9 Jul 2022)." \o "https://www.who.int/data/gho/data/indicators/indicator-details/GHO/prevalence-of-overweight-among-adults-bmi-=-25-(age-standardized-estimate) (accessed 9 Jul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https://www.who.int/data/gho/data/indicators/indicator-details/GHO/prevalence-of-overweight-among-adults-bmi-=-25-(age-standardized-estimate) (accessed 9 Jul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Inbound travelers</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number of tourists who travel to a country other than that in which they have their usual residence, but outside their usual environment, for a period not exceeding 12 months and whose main purpose in visiting is other than an activity remunerated from within the country visited.</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21900000 [14700000-58100000]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 (72.7%)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668000 [668000-668000]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 (90.9%)</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2520000 [807000-7340000]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 (26.3%)</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"https://data.worldbank.org.cn/indicator/ST.INT.ARVL (accessed 2 Jun 2022)." \o "https://data.worldbank.org.cn/indicator/ST.INT.ARVL (accessed 2 Jun 2022)."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https://data.worldbank.org.cn/indicator/ST.INT.ARVL (accessed 2 Jun 2022).</w:t>
            </w:r>
            <w:r>
              <w:rPr>
                <w:rFonts w:hint="default" w:ascii="Times New Roman" w:hAnsi="Times New Roman" w:eastAsia="宋体" w:cs="Times New Roman"/>
                <w:i w:val="0"/>
                <w:iCs w:val="0"/>
                <w:kern w:val="0"/>
                <w:sz w:val="24"/>
                <w:szCs w:val="24"/>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Air passengers</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Registered carrier departures worldwide; the</w:t>
            </w:r>
            <w:r>
              <w:rPr>
                <w:rStyle w:val="83"/>
                <w:rFonts w:eastAsia="宋体"/>
                <w:lang w:val="en-US" w:eastAsia="zh-CN" w:bidi="ar"/>
              </w:rPr>
              <w:t xml:space="preserve"> domestic take offs and take offs abroad of air carriers registered in the country.</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2001-2020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3260000 [441000-30600000]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 (27.3%)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300000 [239000-322000]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 (45.5%)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6220000 [795000-25000000]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 (13.8%)</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https://data.worldbank.org.cn/indicator/IS.AIR.PSGR (accessed 3</w:t>
            </w:r>
            <w:r>
              <w:rPr>
                <w:rStyle w:val="84"/>
                <w:rFonts w:eastAsia="宋体"/>
                <w:lang w:val="en-US" w:eastAsia="zh-CN" w:bidi="ar"/>
              </w:rPr>
              <w:t xml:space="preserve"> Jun 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33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International flight arrivals*</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Worldwide flight traffic in April and May 2022. All data were filtered for routes across countries then aggregated from the airport level to the national level.</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60100 [36800-132000]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 (0%)</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968000 [391000-2490000]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 (5.0%)</w:t>
            </w:r>
          </w:p>
        </w:tc>
        <w:tc>
          <w:tcPr>
            <w:tcW w:w="252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kern w:val="0"/>
                <w:sz w:val="24"/>
                <w:szCs w:val="24"/>
                <w:u w:val="none"/>
                <w:lang w:val="en-US" w:eastAsia="zh-CN" w:bidi="ar"/>
              </w:rPr>
              <w:fldChar w:fldCharType="begin"/>
            </w:r>
            <w:r>
              <w:rPr>
                <w:rFonts w:hint="default" w:ascii="Times New Roman" w:hAnsi="Times New Roman" w:eastAsia="宋体" w:cs="Times New Roman"/>
                <w:i w:val="0"/>
                <w:iCs w:val="0"/>
                <w:kern w:val="0"/>
                <w:sz w:val="24"/>
                <w:szCs w:val="24"/>
                <w:u w:val="none"/>
                <w:lang w:val="en-US" w:eastAsia="zh-CN" w:bidi="ar"/>
              </w:rPr>
              <w:instrText xml:space="preserve"> HYPERLINK "https://uk.flightaware.com" \o "https://uk.flightaware.com" </w:instrText>
            </w:r>
            <w:r>
              <w:rPr>
                <w:rFonts w:hint="default" w:ascii="Times New Roman" w:hAnsi="Times New Roman" w:eastAsia="宋体" w:cs="Times New Roman"/>
                <w:i w:val="0"/>
                <w:iCs w:val="0"/>
                <w:kern w:val="0"/>
                <w:sz w:val="24"/>
                <w:szCs w:val="24"/>
                <w:u w:val="none"/>
                <w:lang w:val="en-US" w:eastAsia="zh-CN" w:bidi="ar"/>
              </w:rPr>
              <w:fldChar w:fldCharType="separate"/>
            </w:r>
            <w:r>
              <w:rPr>
                <w:rStyle w:val="32"/>
                <w:rFonts w:hint="default" w:ascii="Times New Roman" w:hAnsi="Times New Roman" w:eastAsia="宋体" w:cs="Times New Roman"/>
                <w:i w:val="0"/>
                <w:iCs w:val="0"/>
                <w:sz w:val="24"/>
                <w:szCs w:val="24"/>
                <w:u w:val="none"/>
              </w:rPr>
              <w:t>https://uk.flightaware.com (accessed 2 Jul 2022)</w:t>
            </w:r>
            <w:r>
              <w:rPr>
                <w:rFonts w:hint="default" w:ascii="Times New Roman" w:hAnsi="Times New Roman" w:eastAsia="宋体" w:cs="Times New Roman"/>
                <w:i w:val="0"/>
                <w:iCs w:val="0"/>
                <w:kern w:val="0"/>
                <w:sz w:val="24"/>
                <w:szCs w:val="24"/>
                <w:u w:val="none"/>
                <w:lang w:val="en-US" w:eastAsia="zh-CN" w:bidi="ar"/>
              </w:rPr>
              <w:fldChar w:fldCharType="end"/>
            </w:r>
          </w:p>
        </w:tc>
      </w:tr>
    </w:tbl>
    <w:p/>
    <w:p>
      <w:pPr>
        <w:rPr>
          <w:rFonts w:eastAsia="宋体" w:cs="Times New Roman"/>
          <w:b/>
          <w:bCs/>
          <w:color w:val="000000" w:themeColor="text1"/>
          <w:shd w:val="pct10" w:color="auto" w:fill="FFFFFF"/>
          <w14:textFill>
            <w14:solidFill>
              <w14:schemeClr w14:val="tx1"/>
            </w14:solidFill>
          </w14:textFill>
        </w:rPr>
        <w:sectPr>
          <w:pgSz w:w="16840" w:h="11900" w:orient="landscape"/>
          <w:pgMar w:top="1440" w:right="1440" w:bottom="1440" w:left="1440" w:header="708" w:footer="708" w:gutter="0"/>
          <w:cols w:space="708" w:num="1"/>
          <w:docGrid w:linePitch="360" w:charSpace="0"/>
        </w:sectPr>
      </w:pPr>
      <w:r>
        <w:t>MPX, monkeypox; GDP, gross domestic product; MSM, men who have sex with men; MPXV, monkeypox virus; HIV, Human Immunodeficiency Virus; COVID-19, coronavirus disease 2019; HAQ, Healthcare Access and Quality; IHR, International Health Regulations; BMI, Body mass index; WHO, World Health Organization; GBD, Global Burden of Disease</w:t>
      </w:r>
      <w:r>
        <w:rPr>
          <w:rFonts w:hint="eastAsia" w:eastAsia="宋体"/>
          <w:lang w:eastAsia="zh-CN"/>
        </w:rPr>
        <w:t>.</w:t>
      </w:r>
      <w:r>
        <w:t xml:space="preserve"> *International flight arrivals: We collected real-time global flight traffic for April and May 2022, extracting route passengers by each continent on a daily basis</w:t>
      </w:r>
      <w:r>
        <w:rPr>
          <w:rFonts w:hint="eastAsia" w:eastAsia="宋体"/>
          <w:lang w:eastAsia="zh-CN"/>
        </w:rPr>
        <w:t>.</w:t>
      </w:r>
      <w:r>
        <w:t xml:space="preserve"> To fill in the gaps, we defaulted to a weekly cycle of flight data, so we averaged the seven days from Monday to Sunday for the eight weeks from April 1, 2022 to May 26, 2022, and repeated these seven days for each day from December 1, 2021 to June 30, 2022, with April 1, 2022 to May 31, 2022 as the real data</w:t>
      </w:r>
    </w:p>
    <w:p>
      <w:pPr>
        <w:rPr>
          <w:rFonts w:cs="Times New Roman"/>
          <w:b/>
          <w:bCs/>
          <w:color w:val="000000"/>
        </w:rPr>
      </w:pPr>
    </w:p>
    <w:p>
      <w:pPr>
        <w:pStyle w:val="2"/>
        <w:numPr>
          <w:ilvl w:val="0"/>
          <w:numId w:val="0"/>
        </w:numPr>
        <w:ind w:leftChars="0"/>
      </w:pPr>
      <w:bookmarkStart w:id="13" w:name="_Toc8104"/>
      <w:r>
        <w:t>Supplement</w:t>
      </w:r>
      <w:r>
        <w:rPr>
          <w:rFonts w:hint="eastAsia" w:eastAsia="宋体"/>
          <w:lang w:eastAsia="zh-CN"/>
        </w:rPr>
        <w:t>ary</w:t>
      </w:r>
      <w:r>
        <w:t xml:space="preserve"> Table </w:t>
      </w:r>
      <w:r>
        <w:rPr>
          <w:rFonts w:hint="eastAsia" w:eastAsia="宋体"/>
          <w:lang w:eastAsia="zh-CN"/>
        </w:rPr>
        <w:t>4.</w:t>
      </w:r>
      <w:r>
        <w:t xml:space="preserve"> Mammal species that were found to be infectious to the Monkeypox virus</w:t>
      </w:r>
      <w:bookmarkEnd w:id="13"/>
    </w:p>
    <w:tbl>
      <w:tblPr>
        <w:tblStyle w:val="22"/>
        <w:tblW w:w="12333" w:type="dxa"/>
        <w:tblInd w:w="0" w:type="dxa"/>
        <w:tblLayout w:type="fixed"/>
        <w:tblCellMar>
          <w:top w:w="0" w:type="dxa"/>
          <w:left w:w="108" w:type="dxa"/>
          <w:bottom w:w="0" w:type="dxa"/>
          <w:right w:w="108" w:type="dxa"/>
        </w:tblCellMar>
      </w:tblPr>
      <w:tblGrid>
        <w:gridCol w:w="510"/>
        <w:gridCol w:w="2609"/>
        <w:gridCol w:w="1134"/>
        <w:gridCol w:w="1134"/>
        <w:gridCol w:w="1276"/>
        <w:gridCol w:w="1842"/>
        <w:gridCol w:w="1985"/>
        <w:gridCol w:w="1843"/>
      </w:tblGrid>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No</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Species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Kingdom</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Phylum</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Class</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Order</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Family</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Genus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Nasua nasua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Carnivora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Procyonidae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Nasua</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Sus scrofa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Cetartiodactyla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Suidae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Sus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Didelphis marsupialis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Didelphimorphia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Didelphidae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Didelphis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Monodelphis domestica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Didelphimorphia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Didelphidae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Monodelphis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Atelerix albiventris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Eulipotyphla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Erinaceidae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Atelerix</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Atelerix algirus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Eulipotyphla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Erinaceidae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Atelerix</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Atelerix frontalis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Eulipotyphla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Erinaceidae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Atelerix</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Atelerix sclateri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Eulipotyphla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Erinaceidae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Atelerix</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Crocidura littoralis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Eulipotyphla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Soricidae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Crocidura</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10</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Petrodromus tetradactylus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Macroscelidea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Macroscelididae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Petrodromus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Myrmecophaga tridactyla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Pilosa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Myrmecophagidae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Myrmecophaga</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Cercocebus atys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Primates</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Cercopithecidae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Cercocebus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Macaca fascicularis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Primates</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Cercopithecidae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Macaca</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Macaca mulatta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Primates</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Cercopithecidae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Macaca</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Jaculus blanfordi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Dipodidae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Jaculus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Jaculus jaculus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Dipodidae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Jaculus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Jaculus orientalis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Dipodidae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Jaculus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Jaculus thaleri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Dipodidae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Jaculus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19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angolensis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20</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christyi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crassicaudatus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johnstoni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kelleni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lorraineus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microtis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monardi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murinus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nagtglasii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29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ocularis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30</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platyops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rupicola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surdus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Graphiurus walterverheyeni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Gliridae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Graphiurus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Atherurus africanus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Hystricidae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Atherurus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Cricetomys ansorgei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Nesomyidae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Cricetomys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Cricetomys emini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Nesomyidae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Cricetomys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Cricetomys gambianus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Nesomyidae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Cricetomys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Cynomys gunnisoni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Cynomys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39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Cynomys leucurus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Cynomys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40</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Cynomys ludovicianus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Cynomys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Cynomys mexicanus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Cynomys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Cynomys parvidens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Cynomys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anerythrus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bayonii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carruthersi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congicus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duchaillui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isabella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49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lemniscatus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50</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leucogenys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51</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pyrropus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52</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Funisciurus substriatus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Funisciurus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53</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gambianus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54</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mutabilis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55</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punctatus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56</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rufobrachium</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57</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ruwenzorii</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58</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Heliosciurus undulatus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Heliosciurus</w:t>
            </w:r>
          </w:p>
        </w:tc>
      </w:tr>
      <w:tr>
        <w:tblPrEx>
          <w:tblCellMar>
            <w:top w:w="0" w:type="dxa"/>
            <w:left w:w="108" w:type="dxa"/>
            <w:bottom w:w="0" w:type="dxa"/>
            <w:right w:w="108" w:type="dxa"/>
          </w:tblCellMar>
        </w:tblPrEx>
        <w:trPr>
          <w:trHeight w:val="400" w:hRule="atLeast"/>
        </w:trPr>
        <w:tc>
          <w:tcPr>
            <w:tcW w:w="510" w:type="dxa"/>
            <w:tcBorders>
              <w:top w:val="single" w:color="auto" w:sz="4" w:space="0"/>
              <w:left w:val="single" w:color="auto" w:sz="4" w:space="0"/>
              <w:bottom w:val="single" w:color="auto" w:sz="4" w:space="0"/>
              <w:right w:val="single" w:color="auto" w:sz="4" w:space="0"/>
            </w:tcBorders>
            <w:shd w:val="clear" w:color="auto" w:fill="auto"/>
          </w:tcPr>
          <w:p>
            <w:r>
              <w:t>59</w:t>
            </w:r>
          </w:p>
        </w:tc>
        <w:tc>
          <w:tcPr>
            <w:tcW w:w="2609" w:type="dxa"/>
            <w:tcBorders>
              <w:top w:val="single" w:color="auto" w:sz="4" w:space="0"/>
              <w:left w:val="single" w:color="auto" w:sz="4" w:space="0"/>
              <w:bottom w:val="single" w:color="auto" w:sz="4" w:space="0"/>
              <w:right w:val="single" w:color="auto" w:sz="4" w:space="0"/>
            </w:tcBorders>
            <w:shd w:val="clear" w:color="auto" w:fill="auto"/>
          </w:tcPr>
          <w:p>
            <w:r>
              <w:t>Marmota monax</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Animalia</w:t>
            </w:r>
          </w:p>
        </w:tc>
        <w:tc>
          <w:tcPr>
            <w:tcW w:w="1134" w:type="dxa"/>
            <w:tcBorders>
              <w:top w:val="single" w:color="auto" w:sz="4" w:space="0"/>
              <w:left w:val="single" w:color="auto" w:sz="4" w:space="0"/>
              <w:bottom w:val="single" w:color="auto" w:sz="4" w:space="0"/>
              <w:right w:val="single" w:color="auto" w:sz="4" w:space="0"/>
            </w:tcBorders>
            <w:shd w:val="clear" w:color="auto" w:fill="auto"/>
          </w:tcPr>
          <w:p>
            <w:r>
              <w:t>Chordata</w:t>
            </w:r>
          </w:p>
        </w:tc>
        <w:tc>
          <w:tcPr>
            <w:tcW w:w="1276" w:type="dxa"/>
            <w:tcBorders>
              <w:top w:val="single" w:color="auto" w:sz="4" w:space="0"/>
              <w:left w:val="single" w:color="auto" w:sz="4" w:space="0"/>
              <w:bottom w:val="single" w:color="auto" w:sz="4" w:space="0"/>
              <w:right w:val="single" w:color="auto" w:sz="4" w:space="0"/>
            </w:tcBorders>
            <w:shd w:val="clear" w:color="auto" w:fill="auto"/>
          </w:tcPr>
          <w:p>
            <w:r>
              <w:t>Mammalia</w:t>
            </w:r>
          </w:p>
        </w:tc>
        <w:tc>
          <w:tcPr>
            <w:tcW w:w="1842" w:type="dxa"/>
            <w:tcBorders>
              <w:top w:val="single" w:color="auto" w:sz="4" w:space="0"/>
              <w:left w:val="single" w:color="auto" w:sz="4" w:space="0"/>
              <w:bottom w:val="single" w:color="auto" w:sz="4" w:space="0"/>
              <w:right w:val="single" w:color="auto" w:sz="4" w:space="0"/>
            </w:tcBorders>
            <w:shd w:val="clear" w:color="auto" w:fill="auto"/>
          </w:tcPr>
          <w:p>
            <w:r>
              <w:t>Rodentia</w:t>
            </w:r>
          </w:p>
        </w:tc>
        <w:tc>
          <w:tcPr>
            <w:tcW w:w="1985" w:type="dxa"/>
            <w:tcBorders>
              <w:top w:val="single" w:color="auto" w:sz="4" w:space="0"/>
              <w:left w:val="single" w:color="auto" w:sz="4" w:space="0"/>
              <w:bottom w:val="single" w:color="auto" w:sz="4" w:space="0"/>
              <w:right w:val="single" w:color="auto" w:sz="4" w:space="0"/>
            </w:tcBorders>
            <w:shd w:val="clear" w:color="auto" w:fill="auto"/>
          </w:tcPr>
          <w:p>
            <w:r>
              <w:t>Sciuridae</w:t>
            </w:r>
          </w:p>
        </w:tc>
        <w:tc>
          <w:tcPr>
            <w:tcW w:w="1843" w:type="dxa"/>
            <w:tcBorders>
              <w:top w:val="single" w:color="auto" w:sz="4" w:space="0"/>
              <w:left w:val="single" w:color="auto" w:sz="4" w:space="0"/>
              <w:bottom w:val="single" w:color="auto" w:sz="4" w:space="0"/>
              <w:right w:val="single" w:color="auto" w:sz="4" w:space="0"/>
            </w:tcBorders>
            <w:shd w:val="clear" w:color="auto" w:fill="auto"/>
          </w:tcPr>
          <w:p>
            <w:r>
              <w:t>Marmota</w:t>
            </w:r>
          </w:p>
        </w:tc>
      </w:tr>
    </w:tbl>
    <w:p/>
    <w:p/>
    <w:p>
      <w:pPr>
        <w:jc w:val="both"/>
        <w:rPr>
          <w:rFonts w:cs="Times New Roman"/>
          <w:b/>
          <w:bCs/>
          <w:color w:val="000000"/>
        </w:rPr>
        <w:sectPr>
          <w:pgSz w:w="16840" w:h="11900" w:orient="landscape"/>
          <w:pgMar w:top="1440" w:right="1440" w:bottom="1440" w:left="1440" w:header="708" w:footer="708" w:gutter="0"/>
          <w:cols w:space="708" w:num="1"/>
          <w:docGrid w:linePitch="360" w:charSpace="0"/>
        </w:sectPr>
      </w:pPr>
    </w:p>
    <w:p>
      <w:pPr>
        <w:pStyle w:val="2"/>
        <w:numPr>
          <w:ilvl w:val="0"/>
          <w:numId w:val="0"/>
        </w:numPr>
        <w:ind w:left="567" w:hanging="567"/>
      </w:pPr>
      <w:bookmarkStart w:id="14" w:name="_Toc27594"/>
      <w:r>
        <w:t>Supplement</w:t>
      </w:r>
      <w:r>
        <w:rPr>
          <w:rFonts w:hint="eastAsia" w:eastAsia="宋体"/>
          <w:lang w:eastAsia="zh-CN"/>
        </w:rPr>
        <w:t>ary</w:t>
      </w:r>
      <w:r>
        <w:t xml:space="preserve"> Table </w:t>
      </w:r>
      <w:r>
        <w:rPr>
          <w:rFonts w:hint="eastAsia" w:eastAsia="宋体"/>
          <w:lang w:eastAsia="zh-CN"/>
        </w:rPr>
        <w:t>5</w:t>
      </w:r>
      <w:r>
        <w:rPr>
          <w:rFonts w:hint="eastAsia"/>
          <w:lang w:eastAsia="zh-CN"/>
        </w:rPr>
        <w:t>.</w:t>
      </w:r>
      <w:r>
        <w:t xml:space="preserve"> Assessment of risk factors of MPX infection</w:t>
      </w:r>
      <w:bookmarkEnd w:id="14"/>
    </w:p>
    <w:p>
      <w:r>
        <w:rPr>
          <w:rFonts w:hint="eastAsia"/>
          <w:lang w:eastAsia="zh-CN"/>
        </w:rPr>
        <w:t>Note:</w:t>
      </w:r>
      <w:r>
        <w:t xml:space="preserve"> (</w:t>
      </w:r>
      <w:r>
        <w:rPr>
          <w:lang w:eastAsia="zh-CN"/>
        </w:rPr>
        <w:t>A</w:t>
      </w:r>
      <w:r>
        <w:t>) in imported countries in 2022; (</w:t>
      </w:r>
      <w:r>
        <w:rPr>
          <w:lang w:eastAsia="zh-CN"/>
        </w:rPr>
        <w:t>B</w:t>
      </w:r>
      <w:r>
        <w:t>) all infected countries in 2022, and (</w:t>
      </w:r>
      <w:r>
        <w:rPr>
          <w:lang w:eastAsia="zh-CN"/>
        </w:rPr>
        <w:t>C</w:t>
      </w:r>
      <w:r>
        <w:t xml:space="preserve">) all infected countries in history </w:t>
      </w:r>
    </w:p>
    <w:tbl>
      <w:tblPr>
        <w:tblStyle w:val="22"/>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2426"/>
        <w:gridCol w:w="1476"/>
        <w:gridCol w:w="154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673" w:type="dxa"/>
            <w:gridSpan w:val="2"/>
            <w:shd w:val="clear" w:color="auto" w:fill="auto"/>
          </w:tcPr>
          <w:p>
            <w:r>
              <w:t>A: Variable in imported countries in 2022</w:t>
            </w:r>
          </w:p>
        </w:tc>
        <w:tc>
          <w:tcPr>
            <w:tcW w:w="1134" w:type="dxa"/>
            <w:shd w:val="clear" w:color="auto" w:fill="auto"/>
          </w:tcPr>
          <w:p>
            <w:r>
              <w:t>Weight</w:t>
            </w:r>
          </w:p>
        </w:tc>
        <w:tc>
          <w:tcPr>
            <w:tcW w:w="1559" w:type="dxa"/>
            <w:shd w:val="clear" w:color="auto" w:fill="auto"/>
          </w:tcPr>
          <w:p>
            <w:r>
              <w:t xml:space="preserve">Correlation </w:t>
            </w:r>
          </w:p>
        </w:tc>
        <w:tc>
          <w:tcPr>
            <w:tcW w:w="1418" w:type="dxa"/>
            <w:shd w:val="clear" w:color="auto" w:fill="auto"/>
          </w:tcPr>
          <w:p>
            <w:r>
              <w:t>P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International flight arrivals</w:t>
            </w:r>
          </w:p>
        </w:tc>
        <w:tc>
          <w:tcPr>
            <w:tcW w:w="1134" w:type="dxa"/>
            <w:shd w:val="clear" w:color="auto" w:fill="auto"/>
          </w:tcPr>
          <w:p>
            <w:r>
              <w:t>11.89619628</w:t>
            </w:r>
          </w:p>
        </w:tc>
        <w:tc>
          <w:tcPr>
            <w:tcW w:w="1559" w:type="dxa"/>
            <w:shd w:val="clear" w:color="auto" w:fill="auto"/>
          </w:tcPr>
          <w:p>
            <w:r>
              <w:t>0.704224103</w:t>
            </w:r>
          </w:p>
        </w:tc>
        <w:tc>
          <w:tcPr>
            <w:tcW w:w="1418" w:type="dxa"/>
            <w:shd w:val="clear" w:color="auto" w:fill="auto"/>
          </w:tcPr>
          <w:p>
            <w:r>
              <w:t>1.27E-12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COVID-19</w:t>
            </w:r>
          </w:p>
        </w:tc>
        <w:tc>
          <w:tcPr>
            <w:tcW w:w="1134" w:type="dxa"/>
            <w:shd w:val="clear" w:color="auto" w:fill="auto"/>
          </w:tcPr>
          <w:p>
            <w:r>
              <w:t>9.91721463</w:t>
            </w:r>
          </w:p>
        </w:tc>
        <w:tc>
          <w:tcPr>
            <w:tcW w:w="1559" w:type="dxa"/>
            <w:shd w:val="clear" w:color="auto" w:fill="auto"/>
          </w:tcPr>
          <w:p>
            <w:r>
              <w:t>0.646698306</w:t>
            </w:r>
          </w:p>
        </w:tc>
        <w:tc>
          <w:tcPr>
            <w:tcW w:w="1418" w:type="dxa"/>
            <w:shd w:val="clear" w:color="auto" w:fill="auto"/>
          </w:tcPr>
          <w:p>
            <w:r>
              <w:t>1.21E-10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Expenditure</w:t>
            </w:r>
          </w:p>
        </w:tc>
        <w:tc>
          <w:tcPr>
            <w:tcW w:w="1134" w:type="dxa"/>
            <w:shd w:val="clear" w:color="auto" w:fill="auto"/>
          </w:tcPr>
          <w:p>
            <w:r>
              <w:t>6.821023053</w:t>
            </w:r>
          </w:p>
        </w:tc>
        <w:tc>
          <w:tcPr>
            <w:tcW w:w="1559" w:type="dxa"/>
            <w:shd w:val="clear" w:color="auto" w:fill="auto"/>
          </w:tcPr>
          <w:p>
            <w:r>
              <w:t>0.559309691</w:t>
            </w:r>
          </w:p>
        </w:tc>
        <w:tc>
          <w:tcPr>
            <w:tcW w:w="1418" w:type="dxa"/>
            <w:shd w:val="clear" w:color="auto" w:fill="auto"/>
          </w:tcPr>
          <w:p>
            <w:r>
              <w:t>1.51E-07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Inbound travelers</w:t>
            </w:r>
          </w:p>
        </w:tc>
        <w:tc>
          <w:tcPr>
            <w:tcW w:w="1134" w:type="dxa"/>
            <w:shd w:val="clear" w:color="auto" w:fill="auto"/>
          </w:tcPr>
          <w:p>
            <w:r>
              <w:t>4.876148359</w:t>
            </w:r>
          </w:p>
        </w:tc>
        <w:tc>
          <w:tcPr>
            <w:tcW w:w="1559" w:type="dxa"/>
            <w:shd w:val="clear" w:color="auto" w:fill="auto"/>
          </w:tcPr>
          <w:p>
            <w:r>
              <w:t>0.53398065</w:t>
            </w:r>
          </w:p>
        </w:tc>
        <w:tc>
          <w:tcPr>
            <w:tcW w:w="1418" w:type="dxa"/>
            <w:shd w:val="clear" w:color="auto" w:fill="auto"/>
          </w:tcPr>
          <w:p>
            <w:r>
              <w:t>1.33E-05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MSM population size</w:t>
            </w:r>
          </w:p>
        </w:tc>
        <w:tc>
          <w:tcPr>
            <w:tcW w:w="1134" w:type="dxa"/>
            <w:shd w:val="clear" w:color="auto" w:fill="auto"/>
          </w:tcPr>
          <w:p>
            <w:r>
              <w:t>3.59667697</w:t>
            </w:r>
          </w:p>
        </w:tc>
        <w:tc>
          <w:tcPr>
            <w:tcW w:w="1559" w:type="dxa"/>
            <w:shd w:val="clear" w:color="auto" w:fill="auto"/>
          </w:tcPr>
          <w:p>
            <w:r>
              <w:t>0.504822971</w:t>
            </w:r>
          </w:p>
        </w:tc>
        <w:tc>
          <w:tcPr>
            <w:tcW w:w="1418" w:type="dxa"/>
            <w:shd w:val="clear" w:color="auto" w:fill="auto"/>
          </w:tcPr>
          <w:p>
            <w:r>
              <w:t>0.000253118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Same sex marriage</w:t>
            </w:r>
          </w:p>
        </w:tc>
        <w:tc>
          <w:tcPr>
            <w:tcW w:w="1134" w:type="dxa"/>
            <w:shd w:val="clear" w:color="auto" w:fill="auto"/>
          </w:tcPr>
          <w:p>
            <w:r>
              <w:t>5.473660723</w:t>
            </w:r>
          </w:p>
        </w:tc>
        <w:tc>
          <w:tcPr>
            <w:tcW w:w="1559" w:type="dxa"/>
            <w:shd w:val="clear" w:color="auto" w:fill="auto"/>
          </w:tcPr>
          <w:p>
            <w:r>
              <w:t>0.493172684</w:t>
            </w:r>
          </w:p>
        </w:tc>
        <w:tc>
          <w:tcPr>
            <w:tcW w:w="1418" w:type="dxa"/>
            <w:shd w:val="clear" w:color="auto" w:fill="auto"/>
          </w:tcPr>
          <w:p>
            <w:r>
              <w:t>3.36E-06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HAQ</w:t>
            </w:r>
          </w:p>
        </w:tc>
        <w:tc>
          <w:tcPr>
            <w:tcW w:w="1134" w:type="dxa"/>
            <w:shd w:val="clear" w:color="auto" w:fill="auto"/>
          </w:tcPr>
          <w:p>
            <w:r>
              <w:t>4.167491087</w:t>
            </w:r>
          </w:p>
        </w:tc>
        <w:tc>
          <w:tcPr>
            <w:tcW w:w="1559" w:type="dxa"/>
            <w:shd w:val="clear" w:color="auto" w:fill="auto"/>
          </w:tcPr>
          <w:p>
            <w:r>
              <w:t>0.440584389</w:t>
            </w:r>
          </w:p>
        </w:tc>
        <w:tc>
          <w:tcPr>
            <w:tcW w:w="1418" w:type="dxa"/>
            <w:shd w:val="clear" w:color="auto" w:fill="auto"/>
          </w:tcPr>
          <w:p>
            <w:r>
              <w:t>6.80E-05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GDP</w:t>
            </w:r>
          </w:p>
        </w:tc>
        <w:tc>
          <w:tcPr>
            <w:tcW w:w="1134" w:type="dxa"/>
            <w:shd w:val="clear" w:color="auto" w:fill="auto"/>
          </w:tcPr>
          <w:p>
            <w:r>
              <w:t>4.030584088</w:t>
            </w:r>
          </w:p>
        </w:tc>
        <w:tc>
          <w:tcPr>
            <w:tcW w:w="1559" w:type="dxa"/>
            <w:shd w:val="clear" w:color="auto" w:fill="auto"/>
          </w:tcPr>
          <w:p>
            <w:r>
              <w:t>0.430468316</w:t>
            </w:r>
          </w:p>
        </w:tc>
        <w:tc>
          <w:tcPr>
            <w:tcW w:w="1418" w:type="dxa"/>
            <w:shd w:val="clear" w:color="auto" w:fill="auto"/>
          </w:tcPr>
          <w:p>
            <w:r>
              <w:t>9.32E-05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Air passengers</w:t>
            </w:r>
          </w:p>
        </w:tc>
        <w:tc>
          <w:tcPr>
            <w:tcW w:w="1134" w:type="dxa"/>
            <w:shd w:val="clear" w:color="auto" w:fill="auto"/>
          </w:tcPr>
          <w:p>
            <w:r>
              <w:t>3.094165817</w:t>
            </w:r>
          </w:p>
        </w:tc>
        <w:tc>
          <w:tcPr>
            <w:tcW w:w="1559" w:type="dxa"/>
            <w:shd w:val="clear" w:color="auto" w:fill="auto"/>
          </w:tcPr>
          <w:p>
            <w:r>
              <w:t>0.394154464</w:t>
            </w:r>
          </w:p>
        </w:tc>
        <w:tc>
          <w:tcPr>
            <w:tcW w:w="1418" w:type="dxa"/>
            <w:shd w:val="clear" w:color="auto" w:fill="auto"/>
          </w:tcPr>
          <w:p>
            <w:r>
              <w:t>0.000805071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IHR</w:t>
            </w:r>
          </w:p>
        </w:tc>
        <w:tc>
          <w:tcPr>
            <w:tcW w:w="1134" w:type="dxa"/>
            <w:shd w:val="clear" w:color="auto" w:fill="auto"/>
          </w:tcPr>
          <w:p>
            <w:r>
              <w:t>2.343933916</w:t>
            </w:r>
          </w:p>
        </w:tc>
        <w:tc>
          <w:tcPr>
            <w:tcW w:w="1559" w:type="dxa"/>
            <w:shd w:val="clear" w:color="auto" w:fill="auto"/>
          </w:tcPr>
          <w:p>
            <w:r>
              <w:t>0.322228989</w:t>
            </w:r>
          </w:p>
        </w:tc>
        <w:tc>
          <w:tcPr>
            <w:tcW w:w="1418" w:type="dxa"/>
            <w:shd w:val="clear" w:color="auto" w:fill="auto"/>
          </w:tcPr>
          <w:p>
            <w:r>
              <w:t>0.004529665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Education</w:t>
            </w:r>
          </w:p>
        </w:tc>
        <w:tc>
          <w:tcPr>
            <w:tcW w:w="1134" w:type="dxa"/>
            <w:shd w:val="clear" w:color="auto" w:fill="auto"/>
          </w:tcPr>
          <w:p>
            <w:r>
              <w:t>2.308245387</w:t>
            </w:r>
          </w:p>
        </w:tc>
        <w:tc>
          <w:tcPr>
            <w:tcW w:w="1559" w:type="dxa"/>
            <w:shd w:val="clear" w:color="auto" w:fill="auto"/>
          </w:tcPr>
          <w:p>
            <w:r>
              <w:t>0.321477159</w:t>
            </w:r>
          </w:p>
        </w:tc>
        <w:tc>
          <w:tcPr>
            <w:tcW w:w="1418" w:type="dxa"/>
            <w:shd w:val="clear" w:color="auto" w:fill="auto"/>
          </w:tcPr>
          <w:p>
            <w:r>
              <w:t>0.004917616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HIV</w:t>
            </w:r>
          </w:p>
        </w:tc>
        <w:tc>
          <w:tcPr>
            <w:tcW w:w="1134" w:type="dxa"/>
            <w:shd w:val="clear" w:color="auto" w:fill="auto"/>
          </w:tcPr>
          <w:p>
            <w:r>
              <w:t>2.140957582</w:t>
            </w:r>
          </w:p>
        </w:tc>
        <w:tc>
          <w:tcPr>
            <w:tcW w:w="1559" w:type="dxa"/>
            <w:shd w:val="clear" w:color="auto" w:fill="auto"/>
          </w:tcPr>
          <w:p>
            <w:r>
              <w:t>0.301887654</w:t>
            </w:r>
          </w:p>
        </w:tc>
        <w:tc>
          <w:tcPr>
            <w:tcW w:w="1418" w:type="dxa"/>
            <w:shd w:val="clear" w:color="auto" w:fill="auto"/>
          </w:tcPr>
          <w:p>
            <w:r>
              <w:t>0.007228404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Monkeypox</w:t>
            </w:r>
          </w:p>
        </w:tc>
        <w:tc>
          <w:tcPr>
            <w:tcW w:w="2693" w:type="dxa"/>
            <w:shd w:val="clear" w:color="auto" w:fill="auto"/>
          </w:tcPr>
          <w:p>
            <w:r>
              <w:t>Aged under 40</w:t>
            </w:r>
          </w:p>
        </w:tc>
        <w:tc>
          <w:tcPr>
            <w:tcW w:w="1134" w:type="dxa"/>
            <w:shd w:val="clear" w:color="auto" w:fill="auto"/>
          </w:tcPr>
          <w:p>
            <w:r>
              <w:t>2.511668037</w:t>
            </w:r>
          </w:p>
        </w:tc>
        <w:tc>
          <w:tcPr>
            <w:tcW w:w="1559" w:type="dxa"/>
            <w:shd w:val="clear" w:color="auto" w:fill="auto"/>
          </w:tcPr>
          <w:p>
            <w:r>
              <w:t>-0.339564244</w:t>
            </w:r>
          </w:p>
        </w:tc>
        <w:tc>
          <w:tcPr>
            <w:tcW w:w="1418" w:type="dxa"/>
            <w:shd w:val="clear" w:color="auto" w:fill="auto"/>
          </w:tcPr>
          <w:p>
            <w:r>
              <w:t>0.003078449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Temperature</w:t>
            </w:r>
          </w:p>
        </w:tc>
        <w:tc>
          <w:tcPr>
            <w:tcW w:w="1134" w:type="dxa"/>
            <w:shd w:val="clear" w:color="auto" w:fill="auto"/>
          </w:tcPr>
          <w:p>
            <w:r>
              <w:t>4.869666232</w:t>
            </w:r>
          </w:p>
        </w:tc>
        <w:tc>
          <w:tcPr>
            <w:tcW w:w="1559" w:type="dxa"/>
            <w:shd w:val="clear" w:color="auto" w:fill="auto"/>
          </w:tcPr>
          <w:p>
            <w:r>
              <w:t>0.491448692</w:t>
            </w:r>
          </w:p>
        </w:tc>
        <w:tc>
          <w:tcPr>
            <w:tcW w:w="1418" w:type="dxa"/>
            <w:shd w:val="clear" w:color="auto" w:fill="auto"/>
          </w:tcPr>
          <w:p>
            <w:r>
              <w:t>1.35E-05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International flight arrivals</w:t>
            </w:r>
          </w:p>
        </w:tc>
        <w:tc>
          <w:tcPr>
            <w:tcW w:w="1134" w:type="dxa"/>
            <w:shd w:val="clear" w:color="auto" w:fill="auto"/>
          </w:tcPr>
          <w:p>
            <w:r>
              <w:t>2.351497037</w:t>
            </w:r>
          </w:p>
        </w:tc>
        <w:tc>
          <w:tcPr>
            <w:tcW w:w="1559" w:type="dxa"/>
            <w:shd w:val="clear" w:color="auto" w:fill="auto"/>
          </w:tcPr>
          <w:p>
            <w:r>
              <w:t>-0.331468262</w:t>
            </w:r>
          </w:p>
        </w:tc>
        <w:tc>
          <w:tcPr>
            <w:tcW w:w="1418" w:type="dxa"/>
            <w:shd w:val="clear" w:color="auto" w:fill="auto"/>
          </w:tcPr>
          <w:p>
            <w:r>
              <w:t>0.004451465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Inbound travelers</w:t>
            </w:r>
          </w:p>
        </w:tc>
        <w:tc>
          <w:tcPr>
            <w:tcW w:w="1134" w:type="dxa"/>
            <w:shd w:val="clear" w:color="auto" w:fill="auto"/>
          </w:tcPr>
          <w:p>
            <w:r>
              <w:t>2.389108275</w:t>
            </w:r>
          </w:p>
        </w:tc>
        <w:tc>
          <w:tcPr>
            <w:tcW w:w="1559" w:type="dxa"/>
            <w:shd w:val="clear" w:color="auto" w:fill="auto"/>
          </w:tcPr>
          <w:p>
            <w:r>
              <w:t>-0.381240981</w:t>
            </w:r>
          </w:p>
        </w:tc>
        <w:tc>
          <w:tcPr>
            <w:tcW w:w="1418" w:type="dxa"/>
            <w:shd w:val="clear" w:color="auto" w:fill="auto"/>
          </w:tcPr>
          <w:p>
            <w:r>
              <w:t>0.004082176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COVID-19</w:t>
            </w:r>
          </w:p>
        </w:tc>
        <w:tc>
          <w:tcPr>
            <w:tcW w:w="1134" w:type="dxa"/>
            <w:shd w:val="clear" w:color="auto" w:fill="auto"/>
          </w:tcPr>
          <w:p>
            <w:r>
              <w:t>3.256010738</w:t>
            </w:r>
          </w:p>
        </w:tc>
        <w:tc>
          <w:tcPr>
            <w:tcW w:w="1559" w:type="dxa"/>
            <w:shd w:val="clear" w:color="auto" w:fill="auto"/>
          </w:tcPr>
          <w:p>
            <w:r>
              <w:t>-0.394421819</w:t>
            </w:r>
          </w:p>
        </w:tc>
        <w:tc>
          <w:tcPr>
            <w:tcW w:w="1418" w:type="dxa"/>
            <w:shd w:val="clear" w:color="auto" w:fill="auto"/>
          </w:tcPr>
          <w:p>
            <w:r>
              <w:t>0.000554612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Expenditure</w:t>
            </w:r>
          </w:p>
        </w:tc>
        <w:tc>
          <w:tcPr>
            <w:tcW w:w="1134" w:type="dxa"/>
            <w:shd w:val="clear" w:color="auto" w:fill="auto"/>
          </w:tcPr>
          <w:p>
            <w:r>
              <w:t>5.709965389</w:t>
            </w:r>
          </w:p>
        </w:tc>
        <w:tc>
          <w:tcPr>
            <w:tcW w:w="1559" w:type="dxa"/>
            <w:shd w:val="clear" w:color="auto" w:fill="auto"/>
          </w:tcPr>
          <w:p>
            <w:r>
              <w:t>-0.527300791</w:t>
            </w:r>
          </w:p>
        </w:tc>
        <w:tc>
          <w:tcPr>
            <w:tcW w:w="1418" w:type="dxa"/>
            <w:shd w:val="clear" w:color="auto" w:fill="auto"/>
          </w:tcPr>
          <w:p>
            <w:r>
              <w:t>1.95E-06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Education</w:t>
            </w:r>
          </w:p>
        </w:tc>
        <w:tc>
          <w:tcPr>
            <w:tcW w:w="1134" w:type="dxa"/>
            <w:shd w:val="clear" w:color="auto" w:fill="auto"/>
          </w:tcPr>
          <w:p>
            <w:r>
              <w:t>6.458420756</w:t>
            </w:r>
          </w:p>
        </w:tc>
        <w:tc>
          <w:tcPr>
            <w:tcW w:w="1559" w:type="dxa"/>
            <w:shd w:val="clear" w:color="auto" w:fill="auto"/>
          </w:tcPr>
          <w:p>
            <w:r>
              <w:t>-0.558273863</w:t>
            </w:r>
          </w:p>
        </w:tc>
        <w:tc>
          <w:tcPr>
            <w:tcW w:w="1418" w:type="dxa"/>
            <w:shd w:val="clear" w:color="auto" w:fill="auto"/>
          </w:tcPr>
          <w:p>
            <w:r>
              <w:t>3.48E-07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Aged under 40</w:t>
            </w:r>
          </w:p>
        </w:tc>
        <w:tc>
          <w:tcPr>
            <w:tcW w:w="2693" w:type="dxa"/>
            <w:shd w:val="clear" w:color="auto" w:fill="auto"/>
          </w:tcPr>
          <w:p>
            <w:r>
              <w:t>HAQ</w:t>
            </w:r>
          </w:p>
        </w:tc>
        <w:tc>
          <w:tcPr>
            <w:tcW w:w="1134" w:type="dxa"/>
            <w:shd w:val="clear" w:color="auto" w:fill="auto"/>
          </w:tcPr>
          <w:p>
            <w:r>
              <w:t>9.067526235</w:t>
            </w:r>
          </w:p>
        </w:tc>
        <w:tc>
          <w:tcPr>
            <w:tcW w:w="1559" w:type="dxa"/>
            <w:shd w:val="clear" w:color="auto" w:fill="auto"/>
          </w:tcPr>
          <w:p>
            <w:r>
              <w:t>-0.646508824</w:t>
            </w:r>
          </w:p>
        </w:tc>
        <w:tc>
          <w:tcPr>
            <w:tcW w:w="1418" w:type="dxa"/>
            <w:shd w:val="clear" w:color="auto" w:fill="auto"/>
          </w:tcPr>
          <w:p>
            <w:r>
              <w:t>8.56E-10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Air passengers</w:t>
            </w:r>
          </w:p>
        </w:tc>
        <w:tc>
          <w:tcPr>
            <w:tcW w:w="2693" w:type="dxa"/>
            <w:shd w:val="clear" w:color="auto" w:fill="auto"/>
          </w:tcPr>
          <w:p>
            <w:r>
              <w:t>COVID-19</w:t>
            </w:r>
          </w:p>
        </w:tc>
        <w:tc>
          <w:tcPr>
            <w:tcW w:w="1134" w:type="dxa"/>
            <w:shd w:val="clear" w:color="auto" w:fill="auto"/>
          </w:tcPr>
          <w:p>
            <w:r>
              <w:t>9.322393047</w:t>
            </w:r>
          </w:p>
        </w:tc>
        <w:tc>
          <w:tcPr>
            <w:tcW w:w="1559" w:type="dxa"/>
            <w:shd w:val="clear" w:color="auto" w:fill="auto"/>
          </w:tcPr>
          <w:p>
            <w:r>
              <w:t>0.664584019</w:t>
            </w:r>
          </w:p>
        </w:tc>
        <w:tc>
          <w:tcPr>
            <w:tcW w:w="1418" w:type="dxa"/>
            <w:shd w:val="clear" w:color="auto" w:fill="auto"/>
          </w:tcPr>
          <w:p>
            <w:r>
              <w:t>4.76E-10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Air passengers</w:t>
            </w:r>
          </w:p>
        </w:tc>
        <w:tc>
          <w:tcPr>
            <w:tcW w:w="2693" w:type="dxa"/>
            <w:shd w:val="clear" w:color="auto" w:fill="auto"/>
          </w:tcPr>
          <w:p>
            <w:r>
              <w:t>Inbound travelers</w:t>
            </w:r>
          </w:p>
        </w:tc>
        <w:tc>
          <w:tcPr>
            <w:tcW w:w="1134" w:type="dxa"/>
            <w:shd w:val="clear" w:color="auto" w:fill="auto"/>
          </w:tcPr>
          <w:p>
            <w:r>
              <w:t>5.991399828</w:t>
            </w:r>
          </w:p>
        </w:tc>
        <w:tc>
          <w:tcPr>
            <w:tcW w:w="1559" w:type="dxa"/>
            <w:shd w:val="clear" w:color="auto" w:fill="auto"/>
          </w:tcPr>
          <w:p>
            <w:r>
              <w:t>0.623585847</w:t>
            </w:r>
          </w:p>
        </w:tc>
        <w:tc>
          <w:tcPr>
            <w:tcW w:w="1418" w:type="dxa"/>
            <w:shd w:val="clear" w:color="auto" w:fill="auto"/>
          </w:tcPr>
          <w:p>
            <w:r>
              <w:t>1.02E-06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Education</w:t>
            </w:r>
          </w:p>
        </w:tc>
        <w:tc>
          <w:tcPr>
            <w:tcW w:w="2693" w:type="dxa"/>
            <w:shd w:val="clear" w:color="auto" w:fill="auto"/>
          </w:tcPr>
          <w:p>
            <w:r>
              <w:t>Expenditure</w:t>
            </w:r>
          </w:p>
        </w:tc>
        <w:tc>
          <w:tcPr>
            <w:tcW w:w="1134" w:type="dxa"/>
            <w:shd w:val="clear" w:color="auto" w:fill="auto"/>
          </w:tcPr>
          <w:p>
            <w:r>
              <w:t>12.47755577</w:t>
            </w:r>
          </w:p>
        </w:tc>
        <w:tc>
          <w:tcPr>
            <w:tcW w:w="1559" w:type="dxa"/>
            <w:shd w:val="clear" w:color="auto" w:fill="auto"/>
          </w:tcPr>
          <w:p>
            <w:r>
              <w:t>0.720034775</w:t>
            </w:r>
          </w:p>
        </w:tc>
        <w:tc>
          <w:tcPr>
            <w:tcW w:w="1418" w:type="dxa"/>
            <w:shd w:val="clear" w:color="auto" w:fill="auto"/>
          </w:tcPr>
          <w:p>
            <w:r>
              <w:t>3.33E-13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Expenditure</w:t>
            </w:r>
          </w:p>
        </w:tc>
        <w:tc>
          <w:tcPr>
            <w:tcW w:w="2693" w:type="dxa"/>
            <w:shd w:val="clear" w:color="auto" w:fill="auto"/>
          </w:tcPr>
          <w:p>
            <w:r>
              <w:t>COVID-19</w:t>
            </w:r>
          </w:p>
        </w:tc>
        <w:tc>
          <w:tcPr>
            <w:tcW w:w="1134" w:type="dxa"/>
            <w:shd w:val="clear" w:color="auto" w:fill="auto"/>
          </w:tcPr>
          <w:p>
            <w:r>
              <w:t>2.663763875</w:t>
            </w:r>
          </w:p>
        </w:tc>
        <w:tc>
          <w:tcPr>
            <w:tcW w:w="1559" w:type="dxa"/>
            <w:shd w:val="clear" w:color="auto" w:fill="auto"/>
          </w:tcPr>
          <w:p>
            <w:r>
              <w:t>0.346482204</w:t>
            </w:r>
          </w:p>
        </w:tc>
        <w:tc>
          <w:tcPr>
            <w:tcW w:w="1418" w:type="dxa"/>
            <w:shd w:val="clear" w:color="auto" w:fill="auto"/>
          </w:tcPr>
          <w:p>
            <w:r>
              <w:t>0.002168883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Forest area</w:t>
            </w:r>
          </w:p>
        </w:tc>
        <w:tc>
          <w:tcPr>
            <w:tcW w:w="2693" w:type="dxa"/>
            <w:shd w:val="clear" w:color="auto" w:fill="auto"/>
          </w:tcPr>
          <w:p>
            <w:r>
              <w:t>Precipitation</w:t>
            </w:r>
          </w:p>
        </w:tc>
        <w:tc>
          <w:tcPr>
            <w:tcW w:w="1134" w:type="dxa"/>
            <w:shd w:val="clear" w:color="auto" w:fill="auto"/>
          </w:tcPr>
          <w:p>
            <w:r>
              <w:t>4.341988603</w:t>
            </w:r>
          </w:p>
        </w:tc>
        <w:tc>
          <w:tcPr>
            <w:tcW w:w="1559" w:type="dxa"/>
            <w:shd w:val="clear" w:color="auto" w:fill="auto"/>
          </w:tcPr>
          <w:p>
            <w:r>
              <w:t>0.452660028</w:t>
            </w:r>
          </w:p>
        </w:tc>
        <w:tc>
          <w:tcPr>
            <w:tcW w:w="1418" w:type="dxa"/>
            <w:shd w:val="clear" w:color="auto" w:fill="auto"/>
          </w:tcPr>
          <w:p>
            <w:r>
              <w:t>4.55E-05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Expenditure</w:t>
            </w:r>
          </w:p>
        </w:tc>
        <w:tc>
          <w:tcPr>
            <w:tcW w:w="1134" w:type="dxa"/>
            <w:shd w:val="clear" w:color="auto" w:fill="auto"/>
          </w:tcPr>
          <w:p>
            <w:r>
              <w:t>15</w:t>
            </w:r>
          </w:p>
        </w:tc>
        <w:tc>
          <w:tcPr>
            <w:tcW w:w="1559" w:type="dxa"/>
            <w:shd w:val="clear" w:color="auto" w:fill="auto"/>
          </w:tcPr>
          <w:p>
            <w:r>
              <w:t>0.954089289</w:t>
            </w:r>
          </w:p>
        </w:tc>
        <w:tc>
          <w:tcPr>
            <w:tcW w:w="1418"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HAQ</w:t>
            </w:r>
          </w:p>
        </w:tc>
        <w:tc>
          <w:tcPr>
            <w:tcW w:w="1134" w:type="dxa"/>
            <w:shd w:val="clear" w:color="auto" w:fill="auto"/>
          </w:tcPr>
          <w:p>
            <w:r>
              <w:t>15</w:t>
            </w:r>
          </w:p>
        </w:tc>
        <w:tc>
          <w:tcPr>
            <w:tcW w:w="1559" w:type="dxa"/>
            <w:shd w:val="clear" w:color="auto" w:fill="auto"/>
          </w:tcPr>
          <w:p>
            <w:r>
              <w:t>0.897749187</w:t>
            </w:r>
          </w:p>
        </w:tc>
        <w:tc>
          <w:tcPr>
            <w:tcW w:w="1418"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Education</w:t>
            </w:r>
          </w:p>
        </w:tc>
        <w:tc>
          <w:tcPr>
            <w:tcW w:w="1134" w:type="dxa"/>
            <w:shd w:val="clear" w:color="auto" w:fill="auto"/>
          </w:tcPr>
          <w:p>
            <w:r>
              <w:t>12.40782324</w:t>
            </w:r>
          </w:p>
        </w:tc>
        <w:tc>
          <w:tcPr>
            <w:tcW w:w="1559" w:type="dxa"/>
            <w:shd w:val="clear" w:color="auto" w:fill="auto"/>
          </w:tcPr>
          <w:p>
            <w:r>
              <w:t>0.72197577</w:t>
            </w:r>
          </w:p>
        </w:tc>
        <w:tc>
          <w:tcPr>
            <w:tcW w:w="1418" w:type="dxa"/>
            <w:shd w:val="clear" w:color="auto" w:fill="auto"/>
          </w:tcPr>
          <w:p>
            <w:r>
              <w:t>3.91E-13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IHR</w:t>
            </w:r>
          </w:p>
        </w:tc>
        <w:tc>
          <w:tcPr>
            <w:tcW w:w="1134" w:type="dxa"/>
            <w:shd w:val="clear" w:color="auto" w:fill="auto"/>
          </w:tcPr>
          <w:p>
            <w:r>
              <w:t>6.924453039</w:t>
            </w:r>
          </w:p>
        </w:tc>
        <w:tc>
          <w:tcPr>
            <w:tcW w:w="1559" w:type="dxa"/>
            <w:shd w:val="clear" w:color="auto" w:fill="auto"/>
          </w:tcPr>
          <w:p>
            <w:r>
              <w:t>0.566323273</w:t>
            </w:r>
          </w:p>
        </w:tc>
        <w:tc>
          <w:tcPr>
            <w:tcW w:w="1418" w:type="dxa"/>
            <w:shd w:val="clear" w:color="auto" w:fill="auto"/>
          </w:tcPr>
          <w:p>
            <w:r>
              <w:t>1.19E-07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International flight arrivals</w:t>
            </w:r>
          </w:p>
        </w:tc>
        <w:tc>
          <w:tcPr>
            <w:tcW w:w="1134" w:type="dxa"/>
            <w:shd w:val="clear" w:color="auto" w:fill="auto"/>
          </w:tcPr>
          <w:p>
            <w:r>
              <w:t>4.935542011</w:t>
            </w:r>
          </w:p>
        </w:tc>
        <w:tc>
          <w:tcPr>
            <w:tcW w:w="1559" w:type="dxa"/>
            <w:shd w:val="clear" w:color="auto" w:fill="auto"/>
          </w:tcPr>
          <w:p>
            <w:r>
              <w:t>0.485642355</w:t>
            </w:r>
          </w:p>
        </w:tc>
        <w:tc>
          <w:tcPr>
            <w:tcW w:w="1418" w:type="dxa"/>
            <w:shd w:val="clear" w:color="auto" w:fill="auto"/>
          </w:tcPr>
          <w:p>
            <w:r>
              <w:t>1.16E-05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GDP growth</w:t>
            </w:r>
          </w:p>
        </w:tc>
        <w:tc>
          <w:tcPr>
            <w:tcW w:w="1134" w:type="dxa"/>
            <w:shd w:val="clear" w:color="auto" w:fill="auto"/>
          </w:tcPr>
          <w:p>
            <w:r>
              <w:t>2.779016357</w:t>
            </w:r>
          </w:p>
        </w:tc>
        <w:tc>
          <w:tcPr>
            <w:tcW w:w="1559" w:type="dxa"/>
            <w:shd w:val="clear" w:color="auto" w:fill="auto"/>
          </w:tcPr>
          <w:p>
            <w:r>
              <w:t>0.352542195</w:t>
            </w:r>
          </w:p>
        </w:tc>
        <w:tc>
          <w:tcPr>
            <w:tcW w:w="1418" w:type="dxa"/>
            <w:shd w:val="clear" w:color="auto" w:fill="auto"/>
          </w:tcPr>
          <w:p>
            <w:r>
              <w:t>0.00166335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Temperature</w:t>
            </w:r>
          </w:p>
        </w:tc>
        <w:tc>
          <w:tcPr>
            <w:tcW w:w="1134" w:type="dxa"/>
            <w:shd w:val="clear" w:color="auto" w:fill="auto"/>
          </w:tcPr>
          <w:p>
            <w:r>
              <w:t>2.140815693</w:t>
            </w:r>
          </w:p>
        </w:tc>
        <w:tc>
          <w:tcPr>
            <w:tcW w:w="1559" w:type="dxa"/>
            <w:shd w:val="clear" w:color="auto" w:fill="auto"/>
          </w:tcPr>
          <w:p>
            <w:r>
              <w:t>-0.309796372</w:t>
            </w:r>
          </w:p>
        </w:tc>
        <w:tc>
          <w:tcPr>
            <w:tcW w:w="1418" w:type="dxa"/>
            <w:shd w:val="clear" w:color="auto" w:fill="auto"/>
          </w:tcPr>
          <w:p>
            <w:r>
              <w:t>0.007230766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Aged under 40</w:t>
            </w:r>
          </w:p>
        </w:tc>
        <w:tc>
          <w:tcPr>
            <w:tcW w:w="1134" w:type="dxa"/>
            <w:shd w:val="clear" w:color="auto" w:fill="auto"/>
          </w:tcPr>
          <w:p>
            <w:r>
              <w:t>4.812479279</w:t>
            </w:r>
          </w:p>
        </w:tc>
        <w:tc>
          <w:tcPr>
            <w:tcW w:w="1559" w:type="dxa"/>
            <w:shd w:val="clear" w:color="auto" w:fill="auto"/>
          </w:tcPr>
          <w:p>
            <w:r>
              <w:t>-0.482444774</w:t>
            </w:r>
          </w:p>
        </w:tc>
        <w:tc>
          <w:tcPr>
            <w:tcW w:w="1418" w:type="dxa"/>
            <w:shd w:val="clear" w:color="auto" w:fill="auto"/>
          </w:tcPr>
          <w:p>
            <w:r>
              <w:t>1.54E-05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w:t>
            </w:r>
          </w:p>
        </w:tc>
        <w:tc>
          <w:tcPr>
            <w:tcW w:w="2693" w:type="dxa"/>
            <w:shd w:val="clear" w:color="auto" w:fill="auto"/>
          </w:tcPr>
          <w:p>
            <w:r>
              <w:t>MPXV biodiversity</w:t>
            </w:r>
          </w:p>
        </w:tc>
        <w:tc>
          <w:tcPr>
            <w:tcW w:w="1134" w:type="dxa"/>
            <w:shd w:val="clear" w:color="auto" w:fill="auto"/>
          </w:tcPr>
          <w:p>
            <w:r>
              <w:t>6.279840697</w:t>
            </w:r>
          </w:p>
        </w:tc>
        <w:tc>
          <w:tcPr>
            <w:tcW w:w="1559" w:type="dxa"/>
            <w:shd w:val="clear" w:color="auto" w:fill="auto"/>
          </w:tcPr>
          <w:p>
            <w:r>
              <w:t>-0.535380548</w:t>
            </w:r>
          </w:p>
        </w:tc>
        <w:tc>
          <w:tcPr>
            <w:tcW w:w="1418" w:type="dxa"/>
            <w:shd w:val="clear" w:color="auto" w:fill="auto"/>
          </w:tcPr>
          <w:p>
            <w:r>
              <w:t>5.25E-07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 growth</w:t>
            </w:r>
          </w:p>
        </w:tc>
        <w:tc>
          <w:tcPr>
            <w:tcW w:w="2693" w:type="dxa"/>
            <w:shd w:val="clear" w:color="auto" w:fill="auto"/>
          </w:tcPr>
          <w:p>
            <w:r>
              <w:t>Education</w:t>
            </w:r>
          </w:p>
        </w:tc>
        <w:tc>
          <w:tcPr>
            <w:tcW w:w="1134" w:type="dxa"/>
            <w:shd w:val="clear" w:color="auto" w:fill="auto"/>
          </w:tcPr>
          <w:p>
            <w:r>
              <w:t>3.075172505</w:t>
            </w:r>
          </w:p>
        </w:tc>
        <w:tc>
          <w:tcPr>
            <w:tcW w:w="1559" w:type="dxa"/>
            <w:shd w:val="clear" w:color="auto" w:fill="auto"/>
          </w:tcPr>
          <w:p>
            <w:r>
              <w:t>0.37751344</w:t>
            </w:r>
          </w:p>
        </w:tc>
        <w:tc>
          <w:tcPr>
            <w:tcW w:w="1418" w:type="dxa"/>
            <w:shd w:val="clear" w:color="auto" w:fill="auto"/>
          </w:tcPr>
          <w:p>
            <w:r>
              <w:t>0.000841061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 growth</w:t>
            </w:r>
          </w:p>
        </w:tc>
        <w:tc>
          <w:tcPr>
            <w:tcW w:w="2693" w:type="dxa"/>
            <w:shd w:val="clear" w:color="auto" w:fill="auto"/>
          </w:tcPr>
          <w:p>
            <w:r>
              <w:t>IHR</w:t>
            </w:r>
          </w:p>
        </w:tc>
        <w:tc>
          <w:tcPr>
            <w:tcW w:w="1134" w:type="dxa"/>
            <w:shd w:val="clear" w:color="auto" w:fill="auto"/>
          </w:tcPr>
          <w:p>
            <w:r>
              <w:t>2.933787789</w:t>
            </w:r>
          </w:p>
        </w:tc>
        <w:tc>
          <w:tcPr>
            <w:tcW w:w="1559" w:type="dxa"/>
            <w:shd w:val="clear" w:color="auto" w:fill="auto"/>
          </w:tcPr>
          <w:p>
            <w:r>
              <w:t>0.365576152</w:t>
            </w:r>
          </w:p>
        </w:tc>
        <w:tc>
          <w:tcPr>
            <w:tcW w:w="1418" w:type="dxa"/>
            <w:shd w:val="clear" w:color="auto" w:fill="auto"/>
          </w:tcPr>
          <w:p>
            <w:r>
              <w:t>0.001164695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 growth</w:t>
            </w:r>
          </w:p>
        </w:tc>
        <w:tc>
          <w:tcPr>
            <w:tcW w:w="2693" w:type="dxa"/>
            <w:shd w:val="clear" w:color="auto" w:fill="auto"/>
          </w:tcPr>
          <w:p>
            <w:r>
              <w:t>HAQ</w:t>
            </w:r>
          </w:p>
        </w:tc>
        <w:tc>
          <w:tcPr>
            <w:tcW w:w="1134" w:type="dxa"/>
            <w:shd w:val="clear" w:color="auto" w:fill="auto"/>
          </w:tcPr>
          <w:p>
            <w:r>
              <w:t>2.356466098</w:t>
            </w:r>
          </w:p>
        </w:tc>
        <w:tc>
          <w:tcPr>
            <w:tcW w:w="1559" w:type="dxa"/>
            <w:shd w:val="clear" w:color="auto" w:fill="auto"/>
          </w:tcPr>
          <w:p>
            <w:r>
              <w:t>0.323216374</w:t>
            </w:r>
          </w:p>
        </w:tc>
        <w:tc>
          <w:tcPr>
            <w:tcW w:w="1418" w:type="dxa"/>
            <w:shd w:val="clear" w:color="auto" w:fill="auto"/>
          </w:tcPr>
          <w:p>
            <w:r>
              <w:t>0.004400823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GDP growth</w:t>
            </w:r>
          </w:p>
        </w:tc>
        <w:tc>
          <w:tcPr>
            <w:tcW w:w="2693" w:type="dxa"/>
            <w:shd w:val="clear" w:color="auto" w:fill="auto"/>
          </w:tcPr>
          <w:p>
            <w:r>
              <w:t>Temperature</w:t>
            </w:r>
          </w:p>
        </w:tc>
        <w:tc>
          <w:tcPr>
            <w:tcW w:w="1134" w:type="dxa"/>
            <w:shd w:val="clear" w:color="auto" w:fill="auto"/>
          </w:tcPr>
          <w:p>
            <w:r>
              <w:t>2.291448831</w:t>
            </w:r>
          </w:p>
        </w:tc>
        <w:tc>
          <w:tcPr>
            <w:tcW w:w="1559" w:type="dxa"/>
            <w:shd w:val="clear" w:color="auto" w:fill="auto"/>
          </w:tcPr>
          <w:p>
            <w:r>
              <w:t>-0.316028156</w:t>
            </w:r>
          </w:p>
        </w:tc>
        <w:tc>
          <w:tcPr>
            <w:tcW w:w="1418" w:type="dxa"/>
            <w:shd w:val="clear" w:color="auto" w:fill="auto"/>
          </w:tcPr>
          <w:p>
            <w:r>
              <w:t>0.005111533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Expenditure</w:t>
            </w:r>
          </w:p>
        </w:tc>
        <w:tc>
          <w:tcPr>
            <w:tcW w:w="1134" w:type="dxa"/>
            <w:shd w:val="clear" w:color="auto" w:fill="auto"/>
          </w:tcPr>
          <w:p>
            <w:r>
              <w:t>15</w:t>
            </w:r>
          </w:p>
        </w:tc>
        <w:tc>
          <w:tcPr>
            <w:tcW w:w="1559" w:type="dxa"/>
            <w:shd w:val="clear" w:color="auto" w:fill="auto"/>
          </w:tcPr>
          <w:p>
            <w:r>
              <w:t>0.91574598</w:t>
            </w:r>
          </w:p>
        </w:tc>
        <w:tc>
          <w:tcPr>
            <w:tcW w:w="1418"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Education</w:t>
            </w:r>
          </w:p>
        </w:tc>
        <w:tc>
          <w:tcPr>
            <w:tcW w:w="1134" w:type="dxa"/>
            <w:shd w:val="clear" w:color="auto" w:fill="auto"/>
          </w:tcPr>
          <w:p>
            <w:r>
              <w:t>11.25103714</w:t>
            </w:r>
          </w:p>
        </w:tc>
        <w:tc>
          <w:tcPr>
            <w:tcW w:w="1559" w:type="dxa"/>
            <w:shd w:val="clear" w:color="auto" w:fill="auto"/>
          </w:tcPr>
          <w:p>
            <w:r>
              <w:t>0.696387209</w:t>
            </w:r>
          </w:p>
        </w:tc>
        <w:tc>
          <w:tcPr>
            <w:tcW w:w="1418" w:type="dxa"/>
            <w:shd w:val="clear" w:color="auto" w:fill="auto"/>
          </w:tcPr>
          <w:p>
            <w:r>
              <w:t>5.61E-12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International flight arrivals</w:t>
            </w:r>
          </w:p>
        </w:tc>
        <w:tc>
          <w:tcPr>
            <w:tcW w:w="1134" w:type="dxa"/>
            <w:shd w:val="clear" w:color="auto" w:fill="auto"/>
          </w:tcPr>
          <w:p>
            <w:r>
              <w:t>4.269217724</w:t>
            </w:r>
          </w:p>
        </w:tc>
        <w:tc>
          <w:tcPr>
            <w:tcW w:w="1559" w:type="dxa"/>
            <w:shd w:val="clear" w:color="auto" w:fill="auto"/>
          </w:tcPr>
          <w:p>
            <w:r>
              <w:t>0.454434658</w:t>
            </w:r>
          </w:p>
        </w:tc>
        <w:tc>
          <w:tcPr>
            <w:tcW w:w="1418" w:type="dxa"/>
            <w:shd w:val="clear" w:color="auto" w:fill="auto"/>
          </w:tcPr>
          <w:p>
            <w:r>
              <w:t>5.38E-05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IHR</w:t>
            </w:r>
          </w:p>
        </w:tc>
        <w:tc>
          <w:tcPr>
            <w:tcW w:w="1134" w:type="dxa"/>
            <w:shd w:val="clear" w:color="auto" w:fill="auto"/>
          </w:tcPr>
          <w:p>
            <w:r>
              <w:t>3.712798638</w:t>
            </w:r>
          </w:p>
        </w:tc>
        <w:tc>
          <w:tcPr>
            <w:tcW w:w="1559" w:type="dxa"/>
            <w:shd w:val="clear" w:color="auto" w:fill="auto"/>
          </w:tcPr>
          <w:p>
            <w:r>
              <w:t>0.420178022</w:t>
            </w:r>
          </w:p>
        </w:tc>
        <w:tc>
          <w:tcPr>
            <w:tcW w:w="1418" w:type="dxa"/>
            <w:shd w:val="clear" w:color="auto" w:fill="auto"/>
          </w:tcPr>
          <w:p>
            <w:r>
              <w:t>0.000193732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HIV</w:t>
            </w:r>
          </w:p>
        </w:tc>
        <w:tc>
          <w:tcPr>
            <w:tcW w:w="1134" w:type="dxa"/>
            <w:shd w:val="clear" w:color="auto" w:fill="auto"/>
          </w:tcPr>
          <w:p>
            <w:r>
              <w:t>2.464982118</w:t>
            </w:r>
          </w:p>
        </w:tc>
        <w:tc>
          <w:tcPr>
            <w:tcW w:w="1559" w:type="dxa"/>
            <w:shd w:val="clear" w:color="auto" w:fill="auto"/>
          </w:tcPr>
          <w:p>
            <w:r>
              <w:t>-0.335972039</w:t>
            </w:r>
          </w:p>
        </w:tc>
        <w:tc>
          <w:tcPr>
            <w:tcW w:w="1418" w:type="dxa"/>
            <w:shd w:val="clear" w:color="auto" w:fill="auto"/>
          </w:tcPr>
          <w:p>
            <w:r>
              <w:t>0.003427819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HAQ</w:t>
            </w:r>
          </w:p>
        </w:tc>
        <w:tc>
          <w:tcPr>
            <w:tcW w:w="2693" w:type="dxa"/>
            <w:shd w:val="clear" w:color="auto" w:fill="auto"/>
          </w:tcPr>
          <w:p>
            <w:r>
              <w:t>MPXV biodiversity</w:t>
            </w:r>
          </w:p>
        </w:tc>
        <w:tc>
          <w:tcPr>
            <w:tcW w:w="1134" w:type="dxa"/>
            <w:shd w:val="clear" w:color="auto" w:fill="auto"/>
          </w:tcPr>
          <w:p>
            <w:r>
              <w:t>5.156144577</w:t>
            </w:r>
          </w:p>
        </w:tc>
        <w:tc>
          <w:tcPr>
            <w:tcW w:w="1559" w:type="dxa"/>
            <w:shd w:val="clear" w:color="auto" w:fill="auto"/>
          </w:tcPr>
          <w:p>
            <w:r>
              <w:t>-0.490161987</w:t>
            </w:r>
          </w:p>
        </w:tc>
        <w:tc>
          <w:tcPr>
            <w:tcW w:w="1418" w:type="dxa"/>
            <w:shd w:val="clear" w:color="auto" w:fill="auto"/>
          </w:tcPr>
          <w:p>
            <w:r>
              <w:t>6.98E-06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HIV</w:t>
            </w:r>
          </w:p>
        </w:tc>
        <w:tc>
          <w:tcPr>
            <w:tcW w:w="2693" w:type="dxa"/>
            <w:shd w:val="clear" w:color="auto" w:fill="auto"/>
          </w:tcPr>
          <w:p>
            <w:r>
              <w:t>MSM population size</w:t>
            </w:r>
          </w:p>
        </w:tc>
        <w:tc>
          <w:tcPr>
            <w:tcW w:w="1134" w:type="dxa"/>
            <w:shd w:val="clear" w:color="auto" w:fill="auto"/>
          </w:tcPr>
          <w:p>
            <w:r>
              <w:t>12.4710833</w:t>
            </w:r>
          </w:p>
        </w:tc>
        <w:tc>
          <w:tcPr>
            <w:tcW w:w="1559" w:type="dxa"/>
            <w:shd w:val="clear" w:color="auto" w:fill="auto"/>
          </w:tcPr>
          <w:p>
            <w:r>
              <w:t>0.833950046</w:t>
            </w:r>
          </w:p>
        </w:tc>
        <w:tc>
          <w:tcPr>
            <w:tcW w:w="1418" w:type="dxa"/>
            <w:shd w:val="clear" w:color="auto" w:fill="auto"/>
          </w:tcPr>
          <w:p>
            <w:r>
              <w:t>3.38E-13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HIV</w:t>
            </w:r>
          </w:p>
        </w:tc>
        <w:tc>
          <w:tcPr>
            <w:tcW w:w="2693" w:type="dxa"/>
            <w:shd w:val="clear" w:color="auto" w:fill="auto"/>
          </w:tcPr>
          <w:p>
            <w:r>
              <w:t>COVID-19</w:t>
            </w:r>
          </w:p>
        </w:tc>
        <w:tc>
          <w:tcPr>
            <w:tcW w:w="1134" w:type="dxa"/>
            <w:shd w:val="clear" w:color="auto" w:fill="auto"/>
          </w:tcPr>
          <w:p>
            <w:r>
              <w:t>7.835647144</w:t>
            </w:r>
          </w:p>
        </w:tc>
        <w:tc>
          <w:tcPr>
            <w:tcW w:w="1559" w:type="dxa"/>
            <w:shd w:val="clear" w:color="auto" w:fill="auto"/>
          </w:tcPr>
          <w:p>
            <w:r>
              <w:t>0.591618907</w:t>
            </w:r>
          </w:p>
        </w:tc>
        <w:tc>
          <w:tcPr>
            <w:tcW w:w="1418" w:type="dxa"/>
            <w:shd w:val="clear" w:color="auto" w:fill="auto"/>
          </w:tcPr>
          <w:p>
            <w:r>
              <w:t>1.46E-08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HIV</w:t>
            </w:r>
          </w:p>
        </w:tc>
        <w:tc>
          <w:tcPr>
            <w:tcW w:w="2693" w:type="dxa"/>
            <w:shd w:val="clear" w:color="auto" w:fill="auto"/>
          </w:tcPr>
          <w:p>
            <w:r>
              <w:t>Air passengers</w:t>
            </w:r>
          </w:p>
        </w:tc>
        <w:tc>
          <w:tcPr>
            <w:tcW w:w="1134" w:type="dxa"/>
            <w:shd w:val="clear" w:color="auto" w:fill="auto"/>
          </w:tcPr>
          <w:p>
            <w:r>
              <w:t>5.568636236</w:t>
            </w:r>
          </w:p>
        </w:tc>
        <w:tc>
          <w:tcPr>
            <w:tcW w:w="1559" w:type="dxa"/>
            <w:shd w:val="clear" w:color="auto" w:fill="auto"/>
          </w:tcPr>
          <w:p>
            <w:r>
              <w:t>0.534280043</w:t>
            </w:r>
          </w:p>
        </w:tc>
        <w:tc>
          <w:tcPr>
            <w:tcW w:w="1418" w:type="dxa"/>
            <w:shd w:val="clear" w:color="auto" w:fill="auto"/>
          </w:tcPr>
          <w:p>
            <w:r>
              <w:t>2.70E-06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HIV</w:t>
            </w:r>
          </w:p>
        </w:tc>
        <w:tc>
          <w:tcPr>
            <w:tcW w:w="2693" w:type="dxa"/>
            <w:shd w:val="clear" w:color="auto" w:fill="auto"/>
          </w:tcPr>
          <w:p>
            <w:r>
              <w:t>Inbound travelers</w:t>
            </w:r>
          </w:p>
        </w:tc>
        <w:tc>
          <w:tcPr>
            <w:tcW w:w="1134" w:type="dxa"/>
            <w:shd w:val="clear" w:color="auto" w:fill="auto"/>
          </w:tcPr>
          <w:p>
            <w:r>
              <w:t>4.240332155</w:t>
            </w:r>
          </w:p>
        </w:tc>
        <w:tc>
          <w:tcPr>
            <w:tcW w:w="1559" w:type="dxa"/>
            <w:shd w:val="clear" w:color="auto" w:fill="auto"/>
          </w:tcPr>
          <w:p>
            <w:r>
              <w:t>0.506805808</w:t>
            </w:r>
          </w:p>
        </w:tc>
        <w:tc>
          <w:tcPr>
            <w:tcW w:w="1418" w:type="dxa"/>
            <w:shd w:val="clear" w:color="auto" w:fill="auto"/>
          </w:tcPr>
          <w:p>
            <w:r>
              <w:t>5.75E-05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Air passengers</w:t>
            </w:r>
          </w:p>
        </w:tc>
        <w:tc>
          <w:tcPr>
            <w:tcW w:w="1134" w:type="dxa"/>
            <w:shd w:val="clear" w:color="auto" w:fill="auto"/>
          </w:tcPr>
          <w:p>
            <w:r>
              <w:t>7.723538196</w:t>
            </w:r>
          </w:p>
        </w:tc>
        <w:tc>
          <w:tcPr>
            <w:tcW w:w="1559" w:type="dxa"/>
            <w:shd w:val="clear" w:color="auto" w:fill="auto"/>
          </w:tcPr>
          <w:p>
            <w:r>
              <w:t>0.614964276</w:t>
            </w:r>
          </w:p>
        </w:tc>
        <w:tc>
          <w:tcPr>
            <w:tcW w:w="1418" w:type="dxa"/>
            <w:shd w:val="clear" w:color="auto" w:fill="auto"/>
          </w:tcPr>
          <w:p>
            <w:r>
              <w:t>1.89E-08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Expenditure</w:t>
            </w:r>
          </w:p>
        </w:tc>
        <w:tc>
          <w:tcPr>
            <w:tcW w:w="1134" w:type="dxa"/>
            <w:shd w:val="clear" w:color="auto" w:fill="auto"/>
          </w:tcPr>
          <w:p>
            <w:r>
              <w:t>5.838631998</w:t>
            </w:r>
          </w:p>
        </w:tc>
        <w:tc>
          <w:tcPr>
            <w:tcW w:w="1559" w:type="dxa"/>
            <w:shd w:val="clear" w:color="auto" w:fill="auto"/>
          </w:tcPr>
          <w:p>
            <w:r>
              <w:t>0.520383319</w:t>
            </w:r>
          </w:p>
        </w:tc>
        <w:tc>
          <w:tcPr>
            <w:tcW w:w="1418" w:type="dxa"/>
            <w:shd w:val="clear" w:color="auto" w:fill="auto"/>
          </w:tcPr>
          <w:p>
            <w:r>
              <w:t>1.45E-06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COVID-19</w:t>
            </w:r>
          </w:p>
        </w:tc>
        <w:tc>
          <w:tcPr>
            <w:tcW w:w="1134" w:type="dxa"/>
            <w:shd w:val="clear" w:color="auto" w:fill="auto"/>
          </w:tcPr>
          <w:p>
            <w:r>
              <w:t>4.91721463</w:t>
            </w:r>
          </w:p>
        </w:tc>
        <w:tc>
          <w:tcPr>
            <w:tcW w:w="1559" w:type="dxa"/>
            <w:shd w:val="clear" w:color="auto" w:fill="auto"/>
          </w:tcPr>
          <w:p>
            <w:r>
              <w:t>0.47888178</w:t>
            </w:r>
          </w:p>
        </w:tc>
        <w:tc>
          <w:tcPr>
            <w:tcW w:w="1418" w:type="dxa"/>
            <w:shd w:val="clear" w:color="auto" w:fill="auto"/>
          </w:tcPr>
          <w:p>
            <w:r>
              <w:t>1.21E-05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MSM population size</w:t>
            </w:r>
          </w:p>
        </w:tc>
        <w:tc>
          <w:tcPr>
            <w:tcW w:w="1134" w:type="dxa"/>
            <w:shd w:val="clear" w:color="auto" w:fill="auto"/>
          </w:tcPr>
          <w:p>
            <w:r>
              <w:t>2.183718521</w:t>
            </w:r>
          </w:p>
        </w:tc>
        <w:tc>
          <w:tcPr>
            <w:tcW w:w="1559" w:type="dxa"/>
            <w:shd w:val="clear" w:color="auto" w:fill="auto"/>
          </w:tcPr>
          <w:p>
            <w:r>
              <w:t>0.387203739</w:t>
            </w:r>
          </w:p>
        </w:tc>
        <w:tc>
          <w:tcPr>
            <w:tcW w:w="1418" w:type="dxa"/>
            <w:shd w:val="clear" w:color="auto" w:fill="auto"/>
          </w:tcPr>
          <w:p>
            <w:r>
              <w:t>0.006550606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Inbound travelers</w:t>
            </w:r>
          </w:p>
        </w:tc>
        <w:tc>
          <w:tcPr>
            <w:tcW w:w="1134" w:type="dxa"/>
            <w:shd w:val="clear" w:color="auto" w:fill="auto"/>
          </w:tcPr>
          <w:p>
            <w:r>
              <w:t>1.997988713</w:t>
            </w:r>
          </w:p>
        </w:tc>
        <w:tc>
          <w:tcPr>
            <w:tcW w:w="1559" w:type="dxa"/>
            <w:shd w:val="clear" w:color="auto" w:fill="auto"/>
          </w:tcPr>
          <w:p>
            <w:r>
              <w:t>0.34129667</w:t>
            </w:r>
          </w:p>
        </w:tc>
        <w:tc>
          <w:tcPr>
            <w:tcW w:w="1418" w:type="dxa"/>
            <w:shd w:val="clear" w:color="auto" w:fill="auto"/>
          </w:tcPr>
          <w:p>
            <w:r>
              <w:t>0.010046419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IHR</w:t>
            </w:r>
          </w:p>
        </w:tc>
        <w:tc>
          <w:tcPr>
            <w:tcW w:w="2693" w:type="dxa"/>
            <w:shd w:val="clear" w:color="auto" w:fill="auto"/>
          </w:tcPr>
          <w:p>
            <w:r>
              <w:t>Education</w:t>
            </w:r>
          </w:p>
        </w:tc>
        <w:tc>
          <w:tcPr>
            <w:tcW w:w="1134" w:type="dxa"/>
            <w:shd w:val="clear" w:color="auto" w:fill="auto"/>
          </w:tcPr>
          <w:p>
            <w:r>
              <w:t>2.546963125</w:t>
            </w:r>
          </w:p>
        </w:tc>
        <w:tc>
          <w:tcPr>
            <w:tcW w:w="1559" w:type="dxa"/>
            <w:shd w:val="clear" w:color="auto" w:fill="auto"/>
          </w:tcPr>
          <w:p>
            <w:r>
              <w:t>0.340027483</w:t>
            </w:r>
          </w:p>
        </w:tc>
        <w:tc>
          <w:tcPr>
            <w:tcW w:w="1418" w:type="dxa"/>
            <w:shd w:val="clear" w:color="auto" w:fill="auto"/>
          </w:tcPr>
          <w:p>
            <w:r>
              <w:t>0.00283816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Inbound travelers</w:t>
            </w:r>
          </w:p>
        </w:tc>
        <w:tc>
          <w:tcPr>
            <w:tcW w:w="2693" w:type="dxa"/>
            <w:shd w:val="clear" w:color="auto" w:fill="auto"/>
          </w:tcPr>
          <w:p>
            <w:r>
              <w:t>COVID-19</w:t>
            </w:r>
          </w:p>
        </w:tc>
        <w:tc>
          <w:tcPr>
            <w:tcW w:w="1134" w:type="dxa"/>
            <w:shd w:val="clear" w:color="auto" w:fill="auto"/>
          </w:tcPr>
          <w:p>
            <w:r>
              <w:t>7.669586227</w:t>
            </w:r>
          </w:p>
        </w:tc>
        <w:tc>
          <w:tcPr>
            <w:tcW w:w="1559" w:type="dxa"/>
            <w:shd w:val="clear" w:color="auto" w:fill="auto"/>
          </w:tcPr>
          <w:p>
            <w:r>
              <w:t>0.656956535</w:t>
            </w:r>
          </w:p>
        </w:tc>
        <w:tc>
          <w:tcPr>
            <w:tcW w:w="1418" w:type="dxa"/>
            <w:shd w:val="clear" w:color="auto" w:fill="auto"/>
          </w:tcPr>
          <w:p>
            <w:r>
              <w:t>2.14E-08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COVID-19</w:t>
            </w:r>
          </w:p>
        </w:tc>
        <w:tc>
          <w:tcPr>
            <w:tcW w:w="1134" w:type="dxa"/>
            <w:shd w:val="clear" w:color="auto" w:fill="auto"/>
          </w:tcPr>
          <w:p>
            <w:r>
              <w:t>14.1481304</w:t>
            </w:r>
          </w:p>
        </w:tc>
        <w:tc>
          <w:tcPr>
            <w:tcW w:w="1559" w:type="dxa"/>
            <w:shd w:val="clear" w:color="auto" w:fill="auto"/>
          </w:tcPr>
          <w:p>
            <w:r>
              <w:t>0.752261735</w:t>
            </w:r>
          </w:p>
        </w:tc>
        <w:tc>
          <w:tcPr>
            <w:tcW w:w="1418" w:type="dxa"/>
            <w:shd w:val="clear" w:color="auto" w:fill="auto"/>
          </w:tcPr>
          <w:p>
            <w:r>
              <w:t>7.11E-15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Inbound travelers</w:t>
            </w:r>
          </w:p>
        </w:tc>
        <w:tc>
          <w:tcPr>
            <w:tcW w:w="1134" w:type="dxa"/>
            <w:shd w:val="clear" w:color="auto" w:fill="auto"/>
          </w:tcPr>
          <w:p>
            <w:r>
              <w:t>9.756961951</w:t>
            </w:r>
          </w:p>
        </w:tc>
        <w:tc>
          <w:tcPr>
            <w:tcW w:w="1559" w:type="dxa"/>
            <w:shd w:val="clear" w:color="auto" w:fill="auto"/>
          </w:tcPr>
          <w:p>
            <w:r>
              <w:t>0.734415584</w:t>
            </w:r>
          </w:p>
        </w:tc>
        <w:tc>
          <w:tcPr>
            <w:tcW w:w="1418" w:type="dxa"/>
            <w:shd w:val="clear" w:color="auto" w:fill="auto"/>
          </w:tcPr>
          <w:p>
            <w:r>
              <w:t>1.75E-10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Air passengers</w:t>
            </w:r>
          </w:p>
        </w:tc>
        <w:tc>
          <w:tcPr>
            <w:tcW w:w="1134" w:type="dxa"/>
            <w:shd w:val="clear" w:color="auto" w:fill="auto"/>
          </w:tcPr>
          <w:p>
            <w:r>
              <w:t>11.61439373</w:t>
            </w:r>
          </w:p>
        </w:tc>
        <w:tc>
          <w:tcPr>
            <w:tcW w:w="1559" w:type="dxa"/>
            <w:shd w:val="clear" w:color="auto" w:fill="auto"/>
          </w:tcPr>
          <w:p>
            <w:r>
              <w:t>0.729895838</w:t>
            </w:r>
          </w:p>
        </w:tc>
        <w:tc>
          <w:tcPr>
            <w:tcW w:w="1418" w:type="dxa"/>
            <w:shd w:val="clear" w:color="auto" w:fill="auto"/>
          </w:tcPr>
          <w:p>
            <w:r>
              <w:t>2.43E-12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MSM population size</w:t>
            </w:r>
          </w:p>
        </w:tc>
        <w:tc>
          <w:tcPr>
            <w:tcW w:w="1134" w:type="dxa"/>
            <w:shd w:val="clear" w:color="auto" w:fill="auto"/>
          </w:tcPr>
          <w:p>
            <w:r>
              <w:t>4.673664139</w:t>
            </w:r>
          </w:p>
        </w:tc>
        <w:tc>
          <w:tcPr>
            <w:tcW w:w="1559" w:type="dxa"/>
            <w:shd w:val="clear" w:color="auto" w:fill="auto"/>
          </w:tcPr>
          <w:p>
            <w:r>
              <w:t>0.582978723</w:t>
            </w:r>
          </w:p>
        </w:tc>
        <w:tc>
          <w:tcPr>
            <w:tcW w:w="1418" w:type="dxa"/>
            <w:shd w:val="clear" w:color="auto" w:fill="auto"/>
          </w:tcPr>
          <w:p>
            <w:r>
              <w:t>2.12E-05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IHR</w:t>
            </w:r>
          </w:p>
        </w:tc>
        <w:tc>
          <w:tcPr>
            <w:tcW w:w="1134" w:type="dxa"/>
            <w:shd w:val="clear" w:color="auto" w:fill="auto"/>
          </w:tcPr>
          <w:p>
            <w:r>
              <w:t>6.630784143</w:t>
            </w:r>
          </w:p>
        </w:tc>
        <w:tc>
          <w:tcPr>
            <w:tcW w:w="1559" w:type="dxa"/>
            <w:shd w:val="clear" w:color="auto" w:fill="auto"/>
          </w:tcPr>
          <w:p>
            <w:r>
              <w:t>0.564977572</w:t>
            </w:r>
          </w:p>
        </w:tc>
        <w:tc>
          <w:tcPr>
            <w:tcW w:w="1418" w:type="dxa"/>
            <w:shd w:val="clear" w:color="auto" w:fill="auto"/>
          </w:tcPr>
          <w:p>
            <w:r>
              <w:t>2.34E-07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Expenditure</w:t>
            </w:r>
          </w:p>
        </w:tc>
        <w:tc>
          <w:tcPr>
            <w:tcW w:w="1134" w:type="dxa"/>
            <w:shd w:val="clear" w:color="auto" w:fill="auto"/>
          </w:tcPr>
          <w:p>
            <w:r>
              <w:t>6.080921908</w:t>
            </w:r>
          </w:p>
        </w:tc>
        <w:tc>
          <w:tcPr>
            <w:tcW w:w="1559" w:type="dxa"/>
            <w:shd w:val="clear" w:color="auto" w:fill="auto"/>
          </w:tcPr>
          <w:p>
            <w:r>
              <w:t>0.543025275</w:t>
            </w:r>
          </w:p>
        </w:tc>
        <w:tc>
          <w:tcPr>
            <w:tcW w:w="1418" w:type="dxa"/>
            <w:shd w:val="clear" w:color="auto" w:fill="auto"/>
          </w:tcPr>
          <w:p>
            <w:r>
              <w:t>8.30E-07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International flight arrivals</w:t>
            </w:r>
          </w:p>
        </w:tc>
        <w:tc>
          <w:tcPr>
            <w:tcW w:w="2693" w:type="dxa"/>
            <w:shd w:val="clear" w:color="auto" w:fill="auto"/>
          </w:tcPr>
          <w:p>
            <w:r>
              <w:t>HIV</w:t>
            </w:r>
          </w:p>
        </w:tc>
        <w:tc>
          <w:tcPr>
            <w:tcW w:w="1134" w:type="dxa"/>
            <w:shd w:val="clear" w:color="auto" w:fill="auto"/>
          </w:tcPr>
          <w:p>
            <w:r>
              <w:t>3.482680036</w:t>
            </w:r>
          </w:p>
        </w:tc>
        <w:tc>
          <w:tcPr>
            <w:tcW w:w="1559" w:type="dxa"/>
            <w:shd w:val="clear" w:color="auto" w:fill="auto"/>
          </w:tcPr>
          <w:p>
            <w:r>
              <w:t>0.406234728</w:t>
            </w:r>
          </w:p>
        </w:tc>
        <w:tc>
          <w:tcPr>
            <w:tcW w:w="1418" w:type="dxa"/>
            <w:shd w:val="clear" w:color="auto" w:fill="auto"/>
          </w:tcPr>
          <w:p>
            <w:r>
              <w:t>0.000329094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MPXV biodiversity</w:t>
            </w:r>
          </w:p>
        </w:tc>
        <w:tc>
          <w:tcPr>
            <w:tcW w:w="2693" w:type="dxa"/>
            <w:shd w:val="clear" w:color="auto" w:fill="auto"/>
          </w:tcPr>
          <w:p>
            <w:r>
              <w:t>Education</w:t>
            </w:r>
          </w:p>
        </w:tc>
        <w:tc>
          <w:tcPr>
            <w:tcW w:w="1134" w:type="dxa"/>
            <w:shd w:val="clear" w:color="auto" w:fill="auto"/>
          </w:tcPr>
          <w:p>
            <w:r>
              <w:t>3.429384684</w:t>
            </w:r>
          </w:p>
        </w:tc>
        <w:tc>
          <w:tcPr>
            <w:tcW w:w="1559" w:type="dxa"/>
            <w:shd w:val="clear" w:color="auto" w:fill="auto"/>
          </w:tcPr>
          <w:p>
            <w:r>
              <w:t>-0.400366613</w:t>
            </w:r>
          </w:p>
        </w:tc>
        <w:tc>
          <w:tcPr>
            <w:tcW w:w="1418" w:type="dxa"/>
            <w:shd w:val="clear" w:color="auto" w:fill="auto"/>
          </w:tcPr>
          <w:p>
            <w:r>
              <w:t>0.000372062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MPXV biodiversity</w:t>
            </w:r>
          </w:p>
        </w:tc>
        <w:tc>
          <w:tcPr>
            <w:tcW w:w="2693" w:type="dxa"/>
            <w:shd w:val="clear" w:color="auto" w:fill="auto"/>
          </w:tcPr>
          <w:p>
            <w:r>
              <w:t>Expenditure</w:t>
            </w:r>
          </w:p>
        </w:tc>
        <w:tc>
          <w:tcPr>
            <w:tcW w:w="1134" w:type="dxa"/>
            <w:shd w:val="clear" w:color="auto" w:fill="auto"/>
          </w:tcPr>
          <w:p>
            <w:r>
              <w:t>6.391473966</w:t>
            </w:r>
          </w:p>
        </w:tc>
        <w:tc>
          <w:tcPr>
            <w:tcW w:w="1559" w:type="dxa"/>
            <w:shd w:val="clear" w:color="auto" w:fill="auto"/>
          </w:tcPr>
          <w:p>
            <w:r>
              <w:t>-0.542836748</w:t>
            </w:r>
          </w:p>
        </w:tc>
        <w:tc>
          <w:tcPr>
            <w:tcW w:w="1418" w:type="dxa"/>
            <w:shd w:val="clear" w:color="auto" w:fill="auto"/>
          </w:tcPr>
          <w:p>
            <w:r>
              <w:t>4.06E-07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MSM population size</w:t>
            </w:r>
          </w:p>
        </w:tc>
        <w:tc>
          <w:tcPr>
            <w:tcW w:w="2693" w:type="dxa"/>
            <w:shd w:val="clear" w:color="auto" w:fill="auto"/>
          </w:tcPr>
          <w:p>
            <w:r>
              <w:t>COVID-19</w:t>
            </w:r>
          </w:p>
        </w:tc>
        <w:tc>
          <w:tcPr>
            <w:tcW w:w="1134" w:type="dxa"/>
            <w:shd w:val="clear" w:color="auto" w:fill="auto"/>
          </w:tcPr>
          <w:p>
            <w:r>
              <w:t>5.958607315</w:t>
            </w:r>
          </w:p>
        </w:tc>
        <w:tc>
          <w:tcPr>
            <w:tcW w:w="1559" w:type="dxa"/>
            <w:shd w:val="clear" w:color="auto" w:fill="auto"/>
          </w:tcPr>
          <w:p>
            <w:r>
              <w:t>0.637537994</w:t>
            </w:r>
          </w:p>
        </w:tc>
        <w:tc>
          <w:tcPr>
            <w:tcW w:w="1418" w:type="dxa"/>
            <w:shd w:val="clear" w:color="auto" w:fill="auto"/>
          </w:tcPr>
          <w:p>
            <w:r>
              <w:t>1.10E-06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MSM population size</w:t>
            </w:r>
          </w:p>
        </w:tc>
        <w:tc>
          <w:tcPr>
            <w:tcW w:w="2693" w:type="dxa"/>
            <w:shd w:val="clear" w:color="auto" w:fill="auto"/>
          </w:tcPr>
          <w:p>
            <w:r>
              <w:t>Air passengers</w:t>
            </w:r>
          </w:p>
        </w:tc>
        <w:tc>
          <w:tcPr>
            <w:tcW w:w="1134" w:type="dxa"/>
            <w:shd w:val="clear" w:color="auto" w:fill="auto"/>
          </w:tcPr>
          <w:p>
            <w:r>
              <w:t>5.187755303</w:t>
            </w:r>
          </w:p>
        </w:tc>
        <w:tc>
          <w:tcPr>
            <w:tcW w:w="1559" w:type="dxa"/>
            <w:shd w:val="clear" w:color="auto" w:fill="auto"/>
          </w:tcPr>
          <w:p>
            <w:r>
              <w:t>0.622291131</w:t>
            </w:r>
          </w:p>
        </w:tc>
        <w:tc>
          <w:tcPr>
            <w:tcW w:w="1418" w:type="dxa"/>
            <w:shd w:val="clear" w:color="auto" w:fill="auto"/>
          </w:tcPr>
          <w:p>
            <w:r>
              <w:t>6.49E-06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MSM population size</w:t>
            </w:r>
          </w:p>
        </w:tc>
        <w:tc>
          <w:tcPr>
            <w:tcW w:w="2693" w:type="dxa"/>
            <w:shd w:val="clear" w:color="auto" w:fill="auto"/>
          </w:tcPr>
          <w:p>
            <w:r>
              <w:t>Inbound travelers</w:t>
            </w:r>
          </w:p>
        </w:tc>
        <w:tc>
          <w:tcPr>
            <w:tcW w:w="1134" w:type="dxa"/>
            <w:shd w:val="clear" w:color="auto" w:fill="auto"/>
          </w:tcPr>
          <w:p>
            <w:r>
              <w:t>2.244248288</w:t>
            </w:r>
          </w:p>
        </w:tc>
        <w:tc>
          <w:tcPr>
            <w:tcW w:w="1559" w:type="dxa"/>
            <w:shd w:val="clear" w:color="auto" w:fill="auto"/>
          </w:tcPr>
          <w:p>
            <w:r>
              <w:t>0.457703081</w:t>
            </w:r>
          </w:p>
        </w:tc>
        <w:tc>
          <w:tcPr>
            <w:tcW w:w="1418" w:type="dxa"/>
            <w:shd w:val="clear" w:color="auto" w:fill="auto"/>
          </w:tcPr>
          <w:p>
            <w:r>
              <w:t>0.005698384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Precipitation</w:t>
            </w:r>
          </w:p>
        </w:tc>
        <w:tc>
          <w:tcPr>
            <w:tcW w:w="2693" w:type="dxa"/>
            <w:shd w:val="clear" w:color="auto" w:fill="auto"/>
          </w:tcPr>
          <w:p>
            <w:r>
              <w:t>Overweight</w:t>
            </w:r>
          </w:p>
        </w:tc>
        <w:tc>
          <w:tcPr>
            <w:tcW w:w="1134" w:type="dxa"/>
            <w:shd w:val="clear" w:color="auto" w:fill="auto"/>
          </w:tcPr>
          <w:p>
            <w:r>
              <w:t>3.1787584</w:t>
            </w:r>
          </w:p>
        </w:tc>
        <w:tc>
          <w:tcPr>
            <w:tcW w:w="1559" w:type="dxa"/>
            <w:shd w:val="clear" w:color="auto" w:fill="auto"/>
          </w:tcPr>
          <w:p>
            <w:r>
              <w:t>-0.389351316</w:t>
            </w:r>
          </w:p>
        </w:tc>
        <w:tc>
          <w:tcPr>
            <w:tcW w:w="1418" w:type="dxa"/>
            <w:shd w:val="clear" w:color="auto" w:fill="auto"/>
          </w:tcPr>
          <w:p>
            <w:r>
              <w:t>0.000662585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Precipitation</w:t>
            </w:r>
          </w:p>
        </w:tc>
        <w:tc>
          <w:tcPr>
            <w:tcW w:w="2693" w:type="dxa"/>
            <w:shd w:val="clear" w:color="auto" w:fill="auto"/>
          </w:tcPr>
          <w:p>
            <w:r>
              <w:t>Low physical activity</w:t>
            </w:r>
          </w:p>
        </w:tc>
        <w:tc>
          <w:tcPr>
            <w:tcW w:w="1134" w:type="dxa"/>
            <w:shd w:val="clear" w:color="auto" w:fill="auto"/>
          </w:tcPr>
          <w:p>
            <w:r>
              <w:t>6.180456064</w:t>
            </w:r>
          </w:p>
        </w:tc>
        <w:tc>
          <w:tcPr>
            <w:tcW w:w="1559" w:type="dxa"/>
            <w:shd w:val="clear" w:color="auto" w:fill="auto"/>
          </w:tcPr>
          <w:p>
            <w:r>
              <w:t>-0.537524893</w:t>
            </w:r>
          </w:p>
        </w:tc>
        <w:tc>
          <w:tcPr>
            <w:tcW w:w="1418" w:type="dxa"/>
            <w:shd w:val="clear" w:color="auto" w:fill="auto"/>
          </w:tcPr>
          <w:p>
            <w:r>
              <w:t>6.60E-07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Expenditure</w:t>
            </w:r>
          </w:p>
        </w:tc>
        <w:tc>
          <w:tcPr>
            <w:tcW w:w="1134" w:type="dxa"/>
            <w:shd w:val="clear" w:color="auto" w:fill="auto"/>
          </w:tcPr>
          <w:p>
            <w:r>
              <w:t>5.677780705</w:t>
            </w:r>
          </w:p>
        </w:tc>
        <w:tc>
          <w:tcPr>
            <w:tcW w:w="1559" w:type="dxa"/>
            <w:shd w:val="clear" w:color="auto" w:fill="auto"/>
          </w:tcPr>
          <w:p>
            <w:r>
              <w:t>0.513532595</w:t>
            </w:r>
          </w:p>
        </w:tc>
        <w:tc>
          <w:tcPr>
            <w:tcW w:w="1418" w:type="dxa"/>
            <w:shd w:val="clear" w:color="auto" w:fill="auto"/>
          </w:tcPr>
          <w:p>
            <w:r>
              <w:t>2.10E-06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HAQ</w:t>
            </w:r>
          </w:p>
        </w:tc>
        <w:tc>
          <w:tcPr>
            <w:tcW w:w="1134" w:type="dxa"/>
            <w:shd w:val="clear" w:color="auto" w:fill="auto"/>
          </w:tcPr>
          <w:p>
            <w:r>
              <w:t>3.720353585</w:t>
            </w:r>
          </w:p>
        </w:tc>
        <w:tc>
          <w:tcPr>
            <w:tcW w:w="1559" w:type="dxa"/>
            <w:shd w:val="clear" w:color="auto" w:fill="auto"/>
          </w:tcPr>
          <w:p>
            <w:r>
              <w:t>0.415397086</w:t>
            </w:r>
          </w:p>
        </w:tc>
        <w:tc>
          <w:tcPr>
            <w:tcW w:w="1418" w:type="dxa"/>
            <w:shd w:val="clear" w:color="auto" w:fill="auto"/>
          </w:tcPr>
          <w:p>
            <w:r>
              <w:t>0.000190391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MSM population size</w:t>
            </w:r>
          </w:p>
        </w:tc>
        <w:tc>
          <w:tcPr>
            <w:tcW w:w="1134" w:type="dxa"/>
            <w:shd w:val="clear" w:color="auto" w:fill="auto"/>
          </w:tcPr>
          <w:p>
            <w:r>
              <w:t>2.392806705</w:t>
            </w:r>
          </w:p>
        </w:tc>
        <w:tc>
          <w:tcPr>
            <w:tcW w:w="1559" w:type="dxa"/>
            <w:shd w:val="clear" w:color="auto" w:fill="auto"/>
          </w:tcPr>
          <w:p>
            <w:r>
              <w:t>0.407458829</w:t>
            </w:r>
          </w:p>
        </w:tc>
        <w:tc>
          <w:tcPr>
            <w:tcW w:w="1418" w:type="dxa"/>
            <w:shd w:val="clear" w:color="auto" w:fill="auto"/>
          </w:tcPr>
          <w:p>
            <w:r>
              <w:t>0.00404756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GDP</w:t>
            </w:r>
          </w:p>
        </w:tc>
        <w:tc>
          <w:tcPr>
            <w:tcW w:w="1134" w:type="dxa"/>
            <w:shd w:val="clear" w:color="auto" w:fill="auto"/>
          </w:tcPr>
          <w:p>
            <w:r>
              <w:t>3.29633211</w:t>
            </w:r>
          </w:p>
        </w:tc>
        <w:tc>
          <w:tcPr>
            <w:tcW w:w="1559" w:type="dxa"/>
            <w:shd w:val="clear" w:color="auto" w:fill="auto"/>
          </w:tcPr>
          <w:p>
            <w:r>
              <w:t>0.387098903</w:t>
            </w:r>
          </w:p>
        </w:tc>
        <w:tc>
          <w:tcPr>
            <w:tcW w:w="1418" w:type="dxa"/>
            <w:shd w:val="clear" w:color="auto" w:fill="auto"/>
          </w:tcPr>
          <w:p>
            <w:r>
              <w:t>0.000505438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International flight arrivals</w:t>
            </w:r>
          </w:p>
        </w:tc>
        <w:tc>
          <w:tcPr>
            <w:tcW w:w="1134" w:type="dxa"/>
            <w:shd w:val="clear" w:color="auto" w:fill="auto"/>
          </w:tcPr>
          <w:p>
            <w:r>
              <w:t>2.607370042</w:t>
            </w:r>
          </w:p>
        </w:tc>
        <w:tc>
          <w:tcPr>
            <w:tcW w:w="1559" w:type="dxa"/>
            <w:shd w:val="clear" w:color="auto" w:fill="auto"/>
          </w:tcPr>
          <w:p>
            <w:r>
              <w:t>0.342342163</w:t>
            </w:r>
          </w:p>
        </w:tc>
        <w:tc>
          <w:tcPr>
            <w:tcW w:w="1418" w:type="dxa"/>
            <w:shd w:val="clear" w:color="auto" w:fill="auto"/>
          </w:tcPr>
          <w:p>
            <w:r>
              <w:t>0.002469619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IHR</w:t>
            </w:r>
          </w:p>
        </w:tc>
        <w:tc>
          <w:tcPr>
            <w:tcW w:w="1134" w:type="dxa"/>
            <w:shd w:val="clear" w:color="auto" w:fill="auto"/>
          </w:tcPr>
          <w:p>
            <w:r>
              <w:t>2.351596854</w:t>
            </w:r>
          </w:p>
        </w:tc>
        <w:tc>
          <w:tcPr>
            <w:tcW w:w="1559" w:type="dxa"/>
            <w:shd w:val="clear" w:color="auto" w:fill="auto"/>
          </w:tcPr>
          <w:p>
            <w:r>
              <w:t>0.322833119</w:t>
            </w:r>
          </w:p>
        </w:tc>
        <w:tc>
          <w:tcPr>
            <w:tcW w:w="1418" w:type="dxa"/>
            <w:shd w:val="clear" w:color="auto" w:fill="auto"/>
          </w:tcPr>
          <w:p>
            <w:r>
              <w:t>0.004450442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Air passengers</w:t>
            </w:r>
          </w:p>
        </w:tc>
        <w:tc>
          <w:tcPr>
            <w:tcW w:w="1134" w:type="dxa"/>
            <w:shd w:val="clear" w:color="auto" w:fill="auto"/>
          </w:tcPr>
          <w:p>
            <w:r>
              <w:t>2.106078416</w:t>
            </w:r>
          </w:p>
        </w:tc>
        <w:tc>
          <w:tcPr>
            <w:tcW w:w="1559" w:type="dxa"/>
            <w:shd w:val="clear" w:color="auto" w:fill="auto"/>
          </w:tcPr>
          <w:p>
            <w:r>
              <w:t>0.31759678</w:t>
            </w:r>
          </w:p>
        </w:tc>
        <w:tc>
          <w:tcPr>
            <w:tcW w:w="1418" w:type="dxa"/>
            <w:shd w:val="clear" w:color="auto" w:fill="auto"/>
          </w:tcPr>
          <w:p>
            <w:r>
              <w:t>0.007832882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Same sex marriage</w:t>
            </w:r>
          </w:p>
        </w:tc>
        <w:tc>
          <w:tcPr>
            <w:tcW w:w="2693" w:type="dxa"/>
            <w:shd w:val="clear" w:color="auto" w:fill="auto"/>
          </w:tcPr>
          <w:p>
            <w:r>
              <w:t>MPXV biodiversity</w:t>
            </w:r>
          </w:p>
        </w:tc>
        <w:tc>
          <w:tcPr>
            <w:tcW w:w="1134" w:type="dxa"/>
            <w:shd w:val="clear" w:color="auto" w:fill="auto"/>
          </w:tcPr>
          <w:p>
            <w:r>
              <w:t>4.161150909</w:t>
            </w:r>
          </w:p>
        </w:tc>
        <w:tc>
          <w:tcPr>
            <w:tcW w:w="1559" w:type="dxa"/>
            <w:shd w:val="clear" w:color="auto" w:fill="auto"/>
          </w:tcPr>
          <w:p>
            <w:r>
              <w:t>-0.429882732</w:t>
            </w:r>
          </w:p>
        </w:tc>
        <w:tc>
          <w:tcPr>
            <w:tcW w:w="1418" w:type="dxa"/>
            <w:shd w:val="clear" w:color="auto" w:fill="auto"/>
          </w:tcPr>
          <w:p>
            <w:r>
              <w:t>6.90E-05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Temperature</w:t>
            </w:r>
          </w:p>
        </w:tc>
        <w:tc>
          <w:tcPr>
            <w:tcW w:w="2693" w:type="dxa"/>
            <w:shd w:val="clear" w:color="auto" w:fill="auto"/>
          </w:tcPr>
          <w:p>
            <w:r>
              <w:t>Expenditure</w:t>
            </w:r>
          </w:p>
        </w:tc>
        <w:tc>
          <w:tcPr>
            <w:tcW w:w="1134" w:type="dxa"/>
            <w:shd w:val="clear" w:color="auto" w:fill="auto"/>
          </w:tcPr>
          <w:p>
            <w:r>
              <w:t>3.595881577</w:t>
            </w:r>
          </w:p>
        </w:tc>
        <w:tc>
          <w:tcPr>
            <w:tcW w:w="1559" w:type="dxa"/>
            <w:shd w:val="clear" w:color="auto" w:fill="auto"/>
          </w:tcPr>
          <w:p>
            <w:r>
              <w:t>-0.415821423</w:t>
            </w:r>
          </w:p>
        </w:tc>
        <w:tc>
          <w:tcPr>
            <w:tcW w:w="1418" w:type="dxa"/>
            <w:shd w:val="clear" w:color="auto" w:fill="auto"/>
          </w:tcPr>
          <w:p>
            <w:r>
              <w:t>0.000253582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Temperature</w:t>
            </w:r>
          </w:p>
        </w:tc>
        <w:tc>
          <w:tcPr>
            <w:tcW w:w="2693" w:type="dxa"/>
            <w:shd w:val="clear" w:color="auto" w:fill="auto"/>
          </w:tcPr>
          <w:p>
            <w:r>
              <w:t>HAQ</w:t>
            </w:r>
          </w:p>
        </w:tc>
        <w:tc>
          <w:tcPr>
            <w:tcW w:w="1134" w:type="dxa"/>
            <w:shd w:val="clear" w:color="auto" w:fill="auto"/>
          </w:tcPr>
          <w:p>
            <w:r>
              <w:t>5.982966661</w:t>
            </w:r>
          </w:p>
        </w:tc>
        <w:tc>
          <w:tcPr>
            <w:tcW w:w="1559" w:type="dxa"/>
            <w:shd w:val="clear" w:color="auto" w:fill="auto"/>
          </w:tcPr>
          <w:p>
            <w:r>
              <w:t>-0.535764702</w:t>
            </w:r>
          </w:p>
        </w:tc>
        <w:tc>
          <w:tcPr>
            <w:tcW w:w="1418" w:type="dxa"/>
            <w:shd w:val="clear" w:color="auto" w:fill="auto"/>
          </w:tcPr>
          <w:p>
            <w:r>
              <w:t>1.04E-06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80" w:type="dxa"/>
            <w:shd w:val="clear" w:color="auto" w:fill="auto"/>
          </w:tcPr>
          <w:p>
            <w:r>
              <w:t>Temperature</w:t>
            </w:r>
          </w:p>
        </w:tc>
        <w:tc>
          <w:tcPr>
            <w:tcW w:w="2693" w:type="dxa"/>
            <w:shd w:val="clear" w:color="auto" w:fill="auto"/>
          </w:tcPr>
          <w:p>
            <w:r>
              <w:t>Education</w:t>
            </w:r>
          </w:p>
        </w:tc>
        <w:tc>
          <w:tcPr>
            <w:tcW w:w="1134" w:type="dxa"/>
            <w:shd w:val="clear" w:color="auto" w:fill="auto"/>
          </w:tcPr>
          <w:p>
            <w:r>
              <w:t>6.826813732</w:t>
            </w:r>
          </w:p>
        </w:tc>
        <w:tc>
          <w:tcPr>
            <w:tcW w:w="1559" w:type="dxa"/>
            <w:shd w:val="clear" w:color="auto" w:fill="auto"/>
          </w:tcPr>
          <w:p>
            <w:r>
              <w:t>-0.572458047</w:t>
            </w:r>
          </w:p>
        </w:tc>
        <w:tc>
          <w:tcPr>
            <w:tcW w:w="1418" w:type="dxa"/>
            <w:shd w:val="clear" w:color="auto" w:fill="auto"/>
          </w:tcPr>
          <w:p>
            <w:r>
              <w:t>1.49E-07</w:t>
            </w:r>
          </w:p>
        </w:tc>
      </w:tr>
    </w:tbl>
    <w:p>
      <w:r>
        <w:t>MPX, monkeypox; GDP, gross domestic product; MSM, men who have sex with men; MPXV, monkeypox virus; HIV, Human Immunodeficiency Virus; COVID-19, coronavirus disease 2019; HAQ, Healthcare Access and Quality; IHR, International Health Regulations</w:t>
      </w:r>
    </w:p>
    <w:p/>
    <w:p/>
    <w:tbl>
      <w:tblPr>
        <w:tblStyle w:val="22"/>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2284"/>
        <w:gridCol w:w="1645"/>
        <w:gridCol w:w="147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478" w:type="dxa"/>
            <w:gridSpan w:val="2"/>
            <w:shd w:val="clear" w:color="auto" w:fill="auto"/>
          </w:tcPr>
          <w:p>
            <w:r>
              <w:t>B: Variable in all infected countries in 2022</w:t>
            </w:r>
          </w:p>
        </w:tc>
        <w:tc>
          <w:tcPr>
            <w:tcW w:w="1759" w:type="dxa"/>
            <w:shd w:val="clear" w:color="auto" w:fill="auto"/>
          </w:tcPr>
          <w:p>
            <w:r>
              <w:t>Weight</w:t>
            </w:r>
          </w:p>
        </w:tc>
        <w:tc>
          <w:tcPr>
            <w:tcW w:w="998" w:type="dxa"/>
            <w:shd w:val="clear" w:color="auto" w:fill="auto"/>
          </w:tcPr>
          <w:p>
            <w:r>
              <w:t>Correlation r</w:t>
            </w:r>
          </w:p>
        </w:tc>
        <w:tc>
          <w:tcPr>
            <w:tcW w:w="1270" w:type="dxa"/>
            <w:shd w:val="clear" w:color="auto" w:fill="auto"/>
          </w:tcPr>
          <w:p>
            <w:r>
              <w:t>P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International flight arrivals</w:t>
            </w:r>
          </w:p>
        </w:tc>
        <w:tc>
          <w:tcPr>
            <w:tcW w:w="1759" w:type="dxa"/>
            <w:shd w:val="clear" w:color="auto" w:fill="auto"/>
          </w:tcPr>
          <w:p>
            <w:r>
              <w:t>10.2362924</w:t>
            </w:r>
          </w:p>
        </w:tc>
        <w:tc>
          <w:tcPr>
            <w:tcW w:w="998" w:type="dxa"/>
            <w:shd w:val="clear" w:color="auto" w:fill="auto"/>
          </w:tcPr>
          <w:p>
            <w:r>
              <w:t>0.639583272</w:t>
            </w:r>
          </w:p>
        </w:tc>
        <w:tc>
          <w:tcPr>
            <w:tcW w:w="1270" w:type="dxa"/>
            <w:shd w:val="clear" w:color="auto" w:fill="auto"/>
          </w:tcPr>
          <w:p>
            <w:r>
              <w:t>5.80E-11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COVID-19</w:t>
            </w:r>
          </w:p>
        </w:tc>
        <w:tc>
          <w:tcPr>
            <w:tcW w:w="1759" w:type="dxa"/>
            <w:shd w:val="clear" w:color="auto" w:fill="auto"/>
          </w:tcPr>
          <w:p>
            <w:r>
              <w:t>8.03133671</w:t>
            </w:r>
          </w:p>
        </w:tc>
        <w:tc>
          <w:tcPr>
            <w:tcW w:w="998" w:type="dxa"/>
            <w:shd w:val="clear" w:color="auto" w:fill="auto"/>
          </w:tcPr>
          <w:p>
            <w:r>
              <w:t>0.56841911</w:t>
            </w:r>
          </w:p>
        </w:tc>
        <w:tc>
          <w:tcPr>
            <w:tcW w:w="1270" w:type="dxa"/>
            <w:shd w:val="clear" w:color="auto" w:fill="auto"/>
          </w:tcPr>
          <w:p>
            <w:r>
              <w:t>9.30E-09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Expenditure</w:t>
            </w:r>
          </w:p>
        </w:tc>
        <w:tc>
          <w:tcPr>
            <w:tcW w:w="1759" w:type="dxa"/>
            <w:shd w:val="clear" w:color="auto" w:fill="auto"/>
          </w:tcPr>
          <w:p>
            <w:r>
              <w:t>5.59521172</w:t>
            </w:r>
          </w:p>
        </w:tc>
        <w:tc>
          <w:tcPr>
            <w:tcW w:w="998" w:type="dxa"/>
            <w:shd w:val="clear" w:color="auto" w:fill="auto"/>
          </w:tcPr>
          <w:p>
            <w:r>
              <w:t>0.487663744</w:t>
            </w:r>
          </w:p>
        </w:tc>
        <w:tc>
          <w:tcPr>
            <w:tcW w:w="1270" w:type="dxa"/>
            <w:shd w:val="clear" w:color="auto" w:fill="auto"/>
          </w:tcPr>
          <w:p>
            <w:r>
              <w:t>2.54E-06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Same sex marriage</w:t>
            </w:r>
          </w:p>
        </w:tc>
        <w:tc>
          <w:tcPr>
            <w:tcW w:w="1759" w:type="dxa"/>
            <w:shd w:val="clear" w:color="auto" w:fill="auto"/>
          </w:tcPr>
          <w:p>
            <w:r>
              <w:t>5.2853286</w:t>
            </w:r>
          </w:p>
        </w:tc>
        <w:tc>
          <w:tcPr>
            <w:tcW w:w="998" w:type="dxa"/>
            <w:shd w:val="clear" w:color="auto" w:fill="auto"/>
          </w:tcPr>
          <w:p>
            <w:r>
              <w:t>0.464354547</w:t>
            </w:r>
          </w:p>
        </w:tc>
        <w:tc>
          <w:tcPr>
            <w:tcW w:w="1270" w:type="dxa"/>
            <w:shd w:val="clear" w:color="auto" w:fill="auto"/>
          </w:tcPr>
          <w:p>
            <w:r>
              <w:t>5.18E-06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Inbound travelers</w:t>
            </w:r>
          </w:p>
        </w:tc>
        <w:tc>
          <w:tcPr>
            <w:tcW w:w="1759" w:type="dxa"/>
            <w:shd w:val="clear" w:color="auto" w:fill="auto"/>
          </w:tcPr>
          <w:p>
            <w:r>
              <w:t>4.87691102</w:t>
            </w:r>
          </w:p>
        </w:tc>
        <w:tc>
          <w:tcPr>
            <w:tcW w:w="998" w:type="dxa"/>
            <w:shd w:val="clear" w:color="auto" w:fill="auto"/>
          </w:tcPr>
          <w:p>
            <w:r>
              <w:t>0.53398065</w:t>
            </w:r>
          </w:p>
        </w:tc>
        <w:tc>
          <w:tcPr>
            <w:tcW w:w="1270" w:type="dxa"/>
            <w:shd w:val="clear" w:color="auto" w:fill="auto"/>
          </w:tcPr>
          <w:p>
            <w:r>
              <w:t>1.33E-05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MSM population size</w:t>
            </w:r>
          </w:p>
        </w:tc>
        <w:tc>
          <w:tcPr>
            <w:tcW w:w="1759" w:type="dxa"/>
            <w:shd w:val="clear" w:color="auto" w:fill="auto"/>
          </w:tcPr>
          <w:p>
            <w:r>
              <w:t>4.32749567</w:t>
            </w:r>
          </w:p>
        </w:tc>
        <w:tc>
          <w:tcPr>
            <w:tcW w:w="998" w:type="dxa"/>
            <w:shd w:val="clear" w:color="auto" w:fill="auto"/>
          </w:tcPr>
          <w:p>
            <w:r>
              <w:t>0.515941634</w:t>
            </w:r>
          </w:p>
        </w:tc>
        <w:tc>
          <w:tcPr>
            <w:tcW w:w="1270" w:type="dxa"/>
            <w:shd w:val="clear" w:color="auto" w:fill="auto"/>
          </w:tcPr>
          <w:p>
            <w:r>
              <w:t>4.70E-05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GDP</w:t>
            </w:r>
          </w:p>
        </w:tc>
        <w:tc>
          <w:tcPr>
            <w:tcW w:w="1759" w:type="dxa"/>
            <w:shd w:val="clear" w:color="auto" w:fill="auto"/>
          </w:tcPr>
          <w:p>
            <w:r>
              <w:t>3.53162615</w:t>
            </w:r>
          </w:p>
        </w:tc>
        <w:tc>
          <w:tcPr>
            <w:tcW w:w="998" w:type="dxa"/>
            <w:shd w:val="clear" w:color="auto" w:fill="auto"/>
          </w:tcPr>
          <w:p>
            <w:r>
              <w:t>0.383266663</w:t>
            </w:r>
          </w:p>
        </w:tc>
        <w:tc>
          <w:tcPr>
            <w:tcW w:w="1270" w:type="dxa"/>
            <w:shd w:val="clear" w:color="auto" w:fill="auto"/>
          </w:tcPr>
          <w:p>
            <w:r>
              <w:t>0.00029402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HAQ</w:t>
            </w:r>
          </w:p>
        </w:tc>
        <w:tc>
          <w:tcPr>
            <w:tcW w:w="1759" w:type="dxa"/>
            <w:shd w:val="clear" w:color="auto" w:fill="auto"/>
          </w:tcPr>
          <w:p>
            <w:r>
              <w:t>3.47682188</w:t>
            </w:r>
          </w:p>
        </w:tc>
        <w:tc>
          <w:tcPr>
            <w:tcW w:w="998" w:type="dxa"/>
            <w:shd w:val="clear" w:color="auto" w:fill="auto"/>
          </w:tcPr>
          <w:p>
            <w:r>
              <w:t>0.384390356</w:t>
            </w:r>
          </w:p>
        </w:tc>
        <w:tc>
          <w:tcPr>
            <w:tcW w:w="1270" w:type="dxa"/>
            <w:shd w:val="clear" w:color="auto" w:fill="auto"/>
          </w:tcPr>
          <w:p>
            <w:r>
              <w:t>0.00033356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Air passengers</w:t>
            </w:r>
          </w:p>
        </w:tc>
        <w:tc>
          <w:tcPr>
            <w:tcW w:w="1759" w:type="dxa"/>
            <w:shd w:val="clear" w:color="auto" w:fill="auto"/>
          </w:tcPr>
          <w:p>
            <w:r>
              <w:t>3.03455231</w:t>
            </w:r>
          </w:p>
        </w:tc>
        <w:tc>
          <w:tcPr>
            <w:tcW w:w="998" w:type="dxa"/>
            <w:shd w:val="clear" w:color="auto" w:fill="auto"/>
          </w:tcPr>
          <w:p>
            <w:r>
              <w:t>0.377200899</w:t>
            </w:r>
          </w:p>
        </w:tc>
        <w:tc>
          <w:tcPr>
            <w:tcW w:w="1270" w:type="dxa"/>
            <w:shd w:val="clear" w:color="auto" w:fill="auto"/>
          </w:tcPr>
          <w:p>
            <w:r>
              <w:t>0.00092352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Monkeypox</w:t>
            </w:r>
          </w:p>
        </w:tc>
        <w:tc>
          <w:tcPr>
            <w:tcW w:w="2615" w:type="dxa"/>
            <w:shd w:val="clear" w:color="auto" w:fill="auto"/>
          </w:tcPr>
          <w:p>
            <w:r>
              <w:t>Education</w:t>
            </w:r>
          </w:p>
        </w:tc>
        <w:tc>
          <w:tcPr>
            <w:tcW w:w="1759" w:type="dxa"/>
            <w:shd w:val="clear" w:color="auto" w:fill="auto"/>
          </w:tcPr>
          <w:p>
            <w:r>
              <w:t>2.30243529</w:t>
            </w:r>
          </w:p>
        </w:tc>
        <w:tc>
          <w:tcPr>
            <w:tcW w:w="998" w:type="dxa"/>
            <w:shd w:val="clear" w:color="auto" w:fill="auto"/>
          </w:tcPr>
          <w:p>
            <w:r>
              <w:t>0.305455565</w:t>
            </w:r>
          </w:p>
        </w:tc>
        <w:tc>
          <w:tcPr>
            <w:tcW w:w="1270" w:type="dxa"/>
            <w:shd w:val="clear" w:color="auto" w:fill="auto"/>
          </w:tcPr>
          <w:p>
            <w:r>
              <w:t>0.00498385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Monkeypox</w:t>
            </w:r>
          </w:p>
        </w:tc>
        <w:tc>
          <w:tcPr>
            <w:tcW w:w="2615" w:type="dxa"/>
            <w:shd w:val="clear" w:color="auto" w:fill="auto"/>
          </w:tcPr>
          <w:p>
            <w:r>
              <w:t>Aged under 40</w:t>
            </w:r>
          </w:p>
        </w:tc>
        <w:tc>
          <w:tcPr>
            <w:tcW w:w="1759" w:type="dxa"/>
            <w:shd w:val="clear" w:color="auto" w:fill="auto"/>
          </w:tcPr>
          <w:p>
            <w:r>
              <w:t>2.24286768</w:t>
            </w:r>
          </w:p>
        </w:tc>
        <w:tc>
          <w:tcPr>
            <w:tcW w:w="998" w:type="dxa"/>
            <w:shd w:val="clear" w:color="auto" w:fill="auto"/>
          </w:tcPr>
          <w:p>
            <w:r>
              <w:t>-0.30264396</w:t>
            </w:r>
          </w:p>
        </w:tc>
        <w:tc>
          <w:tcPr>
            <w:tcW w:w="1270" w:type="dxa"/>
            <w:shd w:val="clear" w:color="auto" w:fill="auto"/>
          </w:tcPr>
          <w:p>
            <w:r>
              <w:t>0.00571653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HAQ</w:t>
            </w:r>
          </w:p>
        </w:tc>
        <w:tc>
          <w:tcPr>
            <w:tcW w:w="1759" w:type="dxa"/>
            <w:shd w:val="clear" w:color="auto" w:fill="auto"/>
          </w:tcPr>
          <w:p>
            <w:r>
              <w:t>13.7241409</w:t>
            </w:r>
          </w:p>
        </w:tc>
        <w:tc>
          <w:tcPr>
            <w:tcW w:w="998" w:type="dxa"/>
            <w:shd w:val="clear" w:color="auto" w:fill="auto"/>
          </w:tcPr>
          <w:p>
            <w:r>
              <w:t>-0.73162805</w:t>
            </w:r>
          </w:p>
        </w:tc>
        <w:tc>
          <w:tcPr>
            <w:tcW w:w="1270" w:type="dxa"/>
            <w:shd w:val="clear" w:color="auto" w:fill="auto"/>
          </w:tcPr>
          <w:p>
            <w:r>
              <w:t>1.89E-14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Education</w:t>
            </w:r>
          </w:p>
        </w:tc>
        <w:tc>
          <w:tcPr>
            <w:tcW w:w="1759" w:type="dxa"/>
            <w:shd w:val="clear" w:color="auto" w:fill="auto"/>
          </w:tcPr>
          <w:p>
            <w:r>
              <w:t>11.1329453</w:t>
            </w:r>
          </w:p>
        </w:tc>
        <w:tc>
          <w:tcPr>
            <w:tcW w:w="998" w:type="dxa"/>
            <w:shd w:val="clear" w:color="auto" w:fill="auto"/>
          </w:tcPr>
          <w:p>
            <w:r>
              <w:t>-0.67386911</w:t>
            </w:r>
          </w:p>
        </w:tc>
        <w:tc>
          <w:tcPr>
            <w:tcW w:w="1270" w:type="dxa"/>
            <w:shd w:val="clear" w:color="auto" w:fill="auto"/>
          </w:tcPr>
          <w:p>
            <w:r>
              <w:t>7.36E-12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Expenditure</w:t>
            </w:r>
          </w:p>
        </w:tc>
        <w:tc>
          <w:tcPr>
            <w:tcW w:w="1759" w:type="dxa"/>
            <w:shd w:val="clear" w:color="auto" w:fill="auto"/>
          </w:tcPr>
          <w:p>
            <w:r>
              <w:t>10.3280031</w:t>
            </w:r>
          </w:p>
        </w:tc>
        <w:tc>
          <w:tcPr>
            <w:tcW w:w="998" w:type="dxa"/>
            <w:shd w:val="clear" w:color="auto" w:fill="auto"/>
          </w:tcPr>
          <w:p>
            <w:r>
              <w:t>-0.65417253</w:t>
            </w:r>
          </w:p>
        </w:tc>
        <w:tc>
          <w:tcPr>
            <w:tcW w:w="1270" w:type="dxa"/>
            <w:shd w:val="clear" w:color="auto" w:fill="auto"/>
          </w:tcPr>
          <w:p>
            <w:r>
              <w:t>4.70E-11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Temperature</w:t>
            </w:r>
          </w:p>
        </w:tc>
        <w:tc>
          <w:tcPr>
            <w:tcW w:w="1759" w:type="dxa"/>
            <w:shd w:val="clear" w:color="auto" w:fill="auto"/>
          </w:tcPr>
          <w:p>
            <w:r>
              <w:t>7.53752153</w:t>
            </w:r>
          </w:p>
        </w:tc>
        <w:tc>
          <w:tcPr>
            <w:tcW w:w="998" w:type="dxa"/>
            <w:shd w:val="clear" w:color="auto" w:fill="auto"/>
          </w:tcPr>
          <w:p>
            <w:r>
              <w:t>0.575438169</w:t>
            </w:r>
          </w:p>
        </w:tc>
        <w:tc>
          <w:tcPr>
            <w:tcW w:w="1270" w:type="dxa"/>
            <w:shd w:val="clear" w:color="auto" w:fill="auto"/>
          </w:tcPr>
          <w:p>
            <w:r>
              <w:t>2.90E-08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COVID-19</w:t>
            </w:r>
          </w:p>
        </w:tc>
        <w:tc>
          <w:tcPr>
            <w:tcW w:w="1759" w:type="dxa"/>
            <w:shd w:val="clear" w:color="auto" w:fill="auto"/>
          </w:tcPr>
          <w:p>
            <w:r>
              <w:t>7.13727708</w:t>
            </w:r>
          </w:p>
        </w:tc>
        <w:tc>
          <w:tcPr>
            <w:tcW w:w="998" w:type="dxa"/>
            <w:shd w:val="clear" w:color="auto" w:fill="auto"/>
          </w:tcPr>
          <w:p>
            <w:r>
              <w:t>-0.55560072</w:t>
            </w:r>
          </w:p>
        </w:tc>
        <w:tc>
          <w:tcPr>
            <w:tcW w:w="1270" w:type="dxa"/>
            <w:shd w:val="clear" w:color="auto" w:fill="auto"/>
          </w:tcPr>
          <w:p>
            <w:r>
              <w:t>7.29E-08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International flight arrivals</w:t>
            </w:r>
          </w:p>
        </w:tc>
        <w:tc>
          <w:tcPr>
            <w:tcW w:w="1759" w:type="dxa"/>
            <w:shd w:val="clear" w:color="auto" w:fill="auto"/>
          </w:tcPr>
          <w:p>
            <w:r>
              <w:t>5.44362465</w:t>
            </w:r>
          </w:p>
        </w:tc>
        <w:tc>
          <w:tcPr>
            <w:tcW w:w="998" w:type="dxa"/>
            <w:shd w:val="clear" w:color="auto" w:fill="auto"/>
          </w:tcPr>
          <w:p>
            <w:r>
              <w:t>-0.49183364</w:t>
            </w:r>
          </w:p>
        </w:tc>
        <w:tc>
          <w:tcPr>
            <w:tcW w:w="1270" w:type="dxa"/>
            <w:shd w:val="clear" w:color="auto" w:fill="auto"/>
          </w:tcPr>
          <w:p>
            <w:r>
              <w:t>3.60E-06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MPXV biodiversity</w:t>
            </w:r>
          </w:p>
        </w:tc>
        <w:tc>
          <w:tcPr>
            <w:tcW w:w="1759" w:type="dxa"/>
            <w:shd w:val="clear" w:color="auto" w:fill="auto"/>
          </w:tcPr>
          <w:p>
            <w:r>
              <w:t>4.77779998</w:t>
            </w:r>
          </w:p>
        </w:tc>
        <w:tc>
          <w:tcPr>
            <w:tcW w:w="998" w:type="dxa"/>
            <w:shd w:val="clear" w:color="auto" w:fill="auto"/>
          </w:tcPr>
          <w:p>
            <w:r>
              <w:t>0.456000105</w:t>
            </w:r>
          </w:p>
        </w:tc>
        <w:tc>
          <w:tcPr>
            <w:tcW w:w="1270" w:type="dxa"/>
            <w:shd w:val="clear" w:color="auto" w:fill="auto"/>
          </w:tcPr>
          <w:p>
            <w:r>
              <w:t>1.67E-05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IHR</w:t>
            </w:r>
          </w:p>
        </w:tc>
        <w:tc>
          <w:tcPr>
            <w:tcW w:w="1759" w:type="dxa"/>
            <w:shd w:val="clear" w:color="auto" w:fill="auto"/>
          </w:tcPr>
          <w:p>
            <w:r>
              <w:t>3.52067428</w:t>
            </w:r>
          </w:p>
        </w:tc>
        <w:tc>
          <w:tcPr>
            <w:tcW w:w="998" w:type="dxa"/>
            <w:shd w:val="clear" w:color="auto" w:fill="auto"/>
          </w:tcPr>
          <w:p>
            <w:r>
              <w:t>-0.39379712</w:t>
            </w:r>
          </w:p>
        </w:tc>
        <w:tc>
          <w:tcPr>
            <w:tcW w:w="1270" w:type="dxa"/>
            <w:shd w:val="clear" w:color="auto" w:fill="auto"/>
          </w:tcPr>
          <w:p>
            <w:r>
              <w:t>0.00030153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HIV</w:t>
            </w:r>
          </w:p>
        </w:tc>
        <w:tc>
          <w:tcPr>
            <w:tcW w:w="1759" w:type="dxa"/>
            <w:shd w:val="clear" w:color="auto" w:fill="auto"/>
          </w:tcPr>
          <w:p>
            <w:r>
              <w:t>3.2459489</w:t>
            </w:r>
          </w:p>
        </w:tc>
        <w:tc>
          <w:tcPr>
            <w:tcW w:w="998" w:type="dxa"/>
            <w:shd w:val="clear" w:color="auto" w:fill="auto"/>
          </w:tcPr>
          <w:p>
            <w:r>
              <w:t>0.374728997</w:t>
            </w:r>
          </w:p>
        </w:tc>
        <w:tc>
          <w:tcPr>
            <w:tcW w:w="1270" w:type="dxa"/>
            <w:shd w:val="clear" w:color="auto" w:fill="auto"/>
          </w:tcPr>
          <w:p>
            <w:r>
              <w:t>0.00056761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Aged under 40</w:t>
            </w:r>
          </w:p>
        </w:tc>
        <w:tc>
          <w:tcPr>
            <w:tcW w:w="2615" w:type="dxa"/>
            <w:shd w:val="clear" w:color="auto" w:fill="auto"/>
          </w:tcPr>
          <w:p>
            <w:r>
              <w:t>Inbound travelers</w:t>
            </w:r>
          </w:p>
        </w:tc>
        <w:tc>
          <w:tcPr>
            <w:tcW w:w="1759" w:type="dxa"/>
            <w:shd w:val="clear" w:color="auto" w:fill="auto"/>
          </w:tcPr>
          <w:p>
            <w:r>
              <w:t>2.38910825</w:t>
            </w:r>
          </w:p>
        </w:tc>
        <w:tc>
          <w:tcPr>
            <w:tcW w:w="998" w:type="dxa"/>
            <w:shd w:val="clear" w:color="auto" w:fill="auto"/>
          </w:tcPr>
          <w:p>
            <w:r>
              <w:t>-0.38124098</w:t>
            </w:r>
          </w:p>
        </w:tc>
        <w:tc>
          <w:tcPr>
            <w:tcW w:w="1270" w:type="dxa"/>
            <w:shd w:val="clear" w:color="auto" w:fill="auto"/>
          </w:tcPr>
          <w:p>
            <w:r>
              <w:t>0.00408218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Air passengers</w:t>
            </w:r>
          </w:p>
        </w:tc>
        <w:tc>
          <w:tcPr>
            <w:tcW w:w="2615" w:type="dxa"/>
            <w:shd w:val="clear" w:color="auto" w:fill="auto"/>
          </w:tcPr>
          <w:p>
            <w:r>
              <w:t>COVID-19</w:t>
            </w:r>
          </w:p>
        </w:tc>
        <w:tc>
          <w:tcPr>
            <w:tcW w:w="1759" w:type="dxa"/>
            <w:shd w:val="clear" w:color="auto" w:fill="auto"/>
          </w:tcPr>
          <w:p>
            <w:r>
              <w:t>11.0263476</w:t>
            </w:r>
          </w:p>
        </w:tc>
        <w:tc>
          <w:tcPr>
            <w:tcW w:w="998" w:type="dxa"/>
            <w:shd w:val="clear" w:color="auto" w:fill="auto"/>
          </w:tcPr>
          <w:p>
            <w:r>
              <w:t>0.691097848</w:t>
            </w:r>
          </w:p>
        </w:tc>
        <w:tc>
          <w:tcPr>
            <w:tcW w:w="1270" w:type="dxa"/>
            <w:shd w:val="clear" w:color="auto" w:fill="auto"/>
          </w:tcPr>
          <w:p>
            <w:r>
              <w:t>9.41E-12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Air passengers</w:t>
            </w:r>
          </w:p>
        </w:tc>
        <w:tc>
          <w:tcPr>
            <w:tcW w:w="2615" w:type="dxa"/>
            <w:shd w:val="clear" w:color="auto" w:fill="auto"/>
          </w:tcPr>
          <w:p>
            <w:r>
              <w:t>Inbound travelers</w:t>
            </w:r>
          </w:p>
        </w:tc>
        <w:tc>
          <w:tcPr>
            <w:tcW w:w="1759" w:type="dxa"/>
            <w:shd w:val="clear" w:color="auto" w:fill="auto"/>
          </w:tcPr>
          <w:p>
            <w:r>
              <w:t>5.9923252</w:t>
            </w:r>
          </w:p>
        </w:tc>
        <w:tc>
          <w:tcPr>
            <w:tcW w:w="998" w:type="dxa"/>
            <w:shd w:val="clear" w:color="auto" w:fill="auto"/>
          </w:tcPr>
          <w:p>
            <w:r>
              <w:t>0.623585847</w:t>
            </w:r>
          </w:p>
        </w:tc>
        <w:tc>
          <w:tcPr>
            <w:tcW w:w="1270" w:type="dxa"/>
            <w:shd w:val="clear" w:color="auto" w:fill="auto"/>
          </w:tcPr>
          <w:p>
            <w:r>
              <w:t>1.02E-06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Education</w:t>
            </w:r>
          </w:p>
        </w:tc>
        <w:tc>
          <w:tcPr>
            <w:tcW w:w="2615" w:type="dxa"/>
            <w:shd w:val="clear" w:color="auto" w:fill="auto"/>
          </w:tcPr>
          <w:p>
            <w:r>
              <w:t>Expenditure</w:t>
            </w:r>
          </w:p>
        </w:tc>
        <w:tc>
          <w:tcPr>
            <w:tcW w:w="1759" w:type="dxa"/>
            <w:shd w:val="clear" w:color="auto" w:fill="auto"/>
          </w:tcPr>
          <w:p>
            <w:r>
              <w:t>14</w:t>
            </w:r>
          </w:p>
        </w:tc>
        <w:tc>
          <w:tcPr>
            <w:tcW w:w="998" w:type="dxa"/>
            <w:shd w:val="clear" w:color="auto" w:fill="auto"/>
          </w:tcPr>
          <w:p>
            <w:r>
              <w:t>0.791158642</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Education</w:t>
            </w:r>
          </w:p>
        </w:tc>
        <w:tc>
          <w:tcPr>
            <w:tcW w:w="2615" w:type="dxa"/>
            <w:shd w:val="clear" w:color="auto" w:fill="auto"/>
          </w:tcPr>
          <w:p>
            <w:r>
              <w:t>COVID-19</w:t>
            </w:r>
          </w:p>
        </w:tc>
        <w:tc>
          <w:tcPr>
            <w:tcW w:w="1759" w:type="dxa"/>
            <w:shd w:val="clear" w:color="auto" w:fill="auto"/>
          </w:tcPr>
          <w:p>
            <w:r>
              <w:t>5.22383975</w:t>
            </w:r>
          </w:p>
        </w:tc>
        <w:tc>
          <w:tcPr>
            <w:tcW w:w="998" w:type="dxa"/>
            <w:shd w:val="clear" w:color="auto" w:fill="auto"/>
          </w:tcPr>
          <w:p>
            <w:r>
              <w:t>0.474088402</w:t>
            </w:r>
          </w:p>
        </w:tc>
        <w:tc>
          <w:tcPr>
            <w:tcW w:w="1270" w:type="dxa"/>
            <w:shd w:val="clear" w:color="auto" w:fill="auto"/>
          </w:tcPr>
          <w:p>
            <w:r>
              <w:t>5.97E-06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Education</w:t>
            </w:r>
          </w:p>
        </w:tc>
        <w:tc>
          <w:tcPr>
            <w:tcW w:w="2615" w:type="dxa"/>
            <w:shd w:val="clear" w:color="auto" w:fill="auto"/>
          </w:tcPr>
          <w:p>
            <w:r>
              <w:t>Overweight</w:t>
            </w:r>
          </w:p>
        </w:tc>
        <w:tc>
          <w:tcPr>
            <w:tcW w:w="1759" w:type="dxa"/>
            <w:shd w:val="clear" w:color="auto" w:fill="auto"/>
          </w:tcPr>
          <w:p>
            <w:r>
              <w:t>2.28893628</w:t>
            </w:r>
          </w:p>
        </w:tc>
        <w:tc>
          <w:tcPr>
            <w:tcW w:w="998" w:type="dxa"/>
            <w:shd w:val="clear" w:color="auto" w:fill="auto"/>
          </w:tcPr>
          <w:p>
            <w:r>
              <w:t>0.304417445</w:t>
            </w:r>
          </w:p>
        </w:tc>
        <w:tc>
          <w:tcPr>
            <w:tcW w:w="1270" w:type="dxa"/>
            <w:shd w:val="clear" w:color="auto" w:fill="auto"/>
          </w:tcPr>
          <w:p>
            <w:r>
              <w:t>0.00514119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Expenditure</w:t>
            </w:r>
          </w:p>
        </w:tc>
        <w:tc>
          <w:tcPr>
            <w:tcW w:w="2615" w:type="dxa"/>
            <w:shd w:val="clear" w:color="auto" w:fill="auto"/>
          </w:tcPr>
          <w:p>
            <w:r>
              <w:t>COVID-19</w:t>
            </w:r>
          </w:p>
        </w:tc>
        <w:tc>
          <w:tcPr>
            <w:tcW w:w="1759" w:type="dxa"/>
            <w:shd w:val="clear" w:color="auto" w:fill="auto"/>
          </w:tcPr>
          <w:p>
            <w:r>
              <w:t>6.06093131</w:t>
            </w:r>
          </w:p>
        </w:tc>
        <w:tc>
          <w:tcPr>
            <w:tcW w:w="998" w:type="dxa"/>
            <w:shd w:val="clear" w:color="auto" w:fill="auto"/>
          </w:tcPr>
          <w:p>
            <w:r>
              <w:t>0.506806251</w:t>
            </w:r>
          </w:p>
        </w:tc>
        <w:tc>
          <w:tcPr>
            <w:tcW w:w="1270" w:type="dxa"/>
            <w:shd w:val="clear" w:color="auto" w:fill="auto"/>
          </w:tcPr>
          <w:p>
            <w:r>
              <w:t>8.69E-07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Expenditure</w:t>
            </w:r>
          </w:p>
        </w:tc>
        <w:tc>
          <w:tcPr>
            <w:tcW w:w="2615" w:type="dxa"/>
            <w:shd w:val="clear" w:color="auto" w:fill="auto"/>
          </w:tcPr>
          <w:p>
            <w:r>
              <w:t>Air passengers</w:t>
            </w:r>
          </w:p>
        </w:tc>
        <w:tc>
          <w:tcPr>
            <w:tcW w:w="1759" w:type="dxa"/>
            <w:shd w:val="clear" w:color="auto" w:fill="auto"/>
          </w:tcPr>
          <w:p>
            <w:r>
              <w:t>3.05364152</w:t>
            </w:r>
          </w:p>
        </w:tc>
        <w:tc>
          <w:tcPr>
            <w:tcW w:w="998" w:type="dxa"/>
            <w:shd w:val="clear" w:color="auto" w:fill="auto"/>
          </w:tcPr>
          <w:p>
            <w:r>
              <w:t>0.378493254</w:t>
            </w:r>
          </w:p>
        </w:tc>
        <w:tc>
          <w:tcPr>
            <w:tcW w:w="1270" w:type="dxa"/>
            <w:shd w:val="clear" w:color="auto" w:fill="auto"/>
          </w:tcPr>
          <w:p>
            <w:r>
              <w:t>0.00088381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Forest area</w:t>
            </w:r>
          </w:p>
        </w:tc>
        <w:tc>
          <w:tcPr>
            <w:tcW w:w="2615" w:type="dxa"/>
            <w:shd w:val="clear" w:color="auto" w:fill="auto"/>
          </w:tcPr>
          <w:p>
            <w:r>
              <w:t>Precipitation</w:t>
            </w:r>
          </w:p>
        </w:tc>
        <w:tc>
          <w:tcPr>
            <w:tcW w:w="1759" w:type="dxa"/>
            <w:shd w:val="clear" w:color="auto" w:fill="auto"/>
          </w:tcPr>
          <w:p>
            <w:r>
              <w:t>5.31327127</w:t>
            </w:r>
          </w:p>
        </w:tc>
        <w:tc>
          <w:tcPr>
            <w:tcW w:w="998" w:type="dxa"/>
            <w:shd w:val="clear" w:color="auto" w:fill="auto"/>
          </w:tcPr>
          <w:p>
            <w:r>
              <w:t>0.478065572</w:t>
            </w:r>
          </w:p>
        </w:tc>
        <w:tc>
          <w:tcPr>
            <w:tcW w:w="1270" w:type="dxa"/>
            <w:shd w:val="clear" w:color="auto" w:fill="auto"/>
          </w:tcPr>
          <w:p>
            <w:r>
              <w:t>4.86E-06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Forest area</w:t>
            </w:r>
          </w:p>
        </w:tc>
        <w:tc>
          <w:tcPr>
            <w:tcW w:w="2615" w:type="dxa"/>
            <w:shd w:val="clear" w:color="auto" w:fill="auto"/>
          </w:tcPr>
          <w:p>
            <w:r>
              <w:t>MPXV biodiversity</w:t>
            </w:r>
          </w:p>
        </w:tc>
        <w:tc>
          <w:tcPr>
            <w:tcW w:w="1759" w:type="dxa"/>
            <w:shd w:val="clear" w:color="auto" w:fill="auto"/>
          </w:tcPr>
          <w:p>
            <w:r>
              <w:t>2.51575341</w:t>
            </w:r>
          </w:p>
        </w:tc>
        <w:tc>
          <w:tcPr>
            <w:tcW w:w="998" w:type="dxa"/>
            <w:shd w:val="clear" w:color="auto" w:fill="auto"/>
          </w:tcPr>
          <w:p>
            <w:r>
              <w:t>0.31587504</w:t>
            </w:r>
          </w:p>
        </w:tc>
        <w:tc>
          <w:tcPr>
            <w:tcW w:w="1270" w:type="dxa"/>
            <w:shd w:val="clear" w:color="auto" w:fill="auto"/>
          </w:tcPr>
          <w:p>
            <w:r>
              <w:t>0.00304963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HAQ</w:t>
            </w:r>
          </w:p>
        </w:tc>
        <w:tc>
          <w:tcPr>
            <w:tcW w:w="1759" w:type="dxa"/>
            <w:shd w:val="clear" w:color="auto" w:fill="auto"/>
          </w:tcPr>
          <w:p>
            <w:r>
              <w:t>14</w:t>
            </w:r>
          </w:p>
        </w:tc>
        <w:tc>
          <w:tcPr>
            <w:tcW w:w="998" w:type="dxa"/>
            <w:shd w:val="clear" w:color="auto" w:fill="auto"/>
          </w:tcPr>
          <w:p>
            <w:r>
              <w:t>0.921352134</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GDP</w:t>
            </w:r>
          </w:p>
        </w:tc>
        <w:tc>
          <w:tcPr>
            <w:tcW w:w="2615" w:type="dxa"/>
            <w:shd w:val="clear" w:color="auto" w:fill="auto"/>
          </w:tcPr>
          <w:p>
            <w:r>
              <w:t>Education</w:t>
            </w:r>
          </w:p>
        </w:tc>
        <w:tc>
          <w:tcPr>
            <w:tcW w:w="1759" w:type="dxa"/>
            <w:shd w:val="clear" w:color="auto" w:fill="auto"/>
          </w:tcPr>
          <w:p>
            <w:r>
              <w:t>14</w:t>
            </w:r>
          </w:p>
        </w:tc>
        <w:tc>
          <w:tcPr>
            <w:tcW w:w="998" w:type="dxa"/>
            <w:shd w:val="clear" w:color="auto" w:fill="auto"/>
          </w:tcPr>
          <w:p>
            <w:r>
              <w:t>0.793685732</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GDP</w:t>
            </w:r>
          </w:p>
        </w:tc>
        <w:tc>
          <w:tcPr>
            <w:tcW w:w="2615" w:type="dxa"/>
            <w:shd w:val="clear" w:color="auto" w:fill="auto"/>
          </w:tcPr>
          <w:p>
            <w:r>
              <w:t>Expenditure</w:t>
            </w:r>
          </w:p>
        </w:tc>
        <w:tc>
          <w:tcPr>
            <w:tcW w:w="1759" w:type="dxa"/>
            <w:shd w:val="clear" w:color="auto" w:fill="auto"/>
          </w:tcPr>
          <w:p>
            <w:r>
              <w:t>14</w:t>
            </w:r>
          </w:p>
        </w:tc>
        <w:tc>
          <w:tcPr>
            <w:tcW w:w="998" w:type="dxa"/>
            <w:shd w:val="clear" w:color="auto" w:fill="auto"/>
          </w:tcPr>
          <w:p>
            <w:r>
              <w:t>0.965791559</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IHR</w:t>
            </w:r>
          </w:p>
        </w:tc>
        <w:tc>
          <w:tcPr>
            <w:tcW w:w="1759" w:type="dxa"/>
            <w:shd w:val="clear" w:color="auto" w:fill="auto"/>
          </w:tcPr>
          <w:p>
            <w:r>
              <w:t>11.4424927</w:t>
            </w:r>
          </w:p>
        </w:tc>
        <w:tc>
          <w:tcPr>
            <w:tcW w:w="998" w:type="dxa"/>
            <w:shd w:val="clear" w:color="auto" w:fill="auto"/>
          </w:tcPr>
          <w:p>
            <w:r>
              <w:t>0.671755382</w:t>
            </w:r>
          </w:p>
        </w:tc>
        <w:tc>
          <w:tcPr>
            <w:tcW w:w="1270" w:type="dxa"/>
            <w:shd w:val="clear" w:color="auto" w:fill="auto"/>
          </w:tcPr>
          <w:p>
            <w:r>
              <w:t>3.61E-12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MPXV biodiversity</w:t>
            </w:r>
          </w:p>
        </w:tc>
        <w:tc>
          <w:tcPr>
            <w:tcW w:w="1759" w:type="dxa"/>
            <w:shd w:val="clear" w:color="auto" w:fill="auto"/>
          </w:tcPr>
          <w:p>
            <w:r>
              <w:t>10.9873414</w:t>
            </w:r>
          </w:p>
        </w:tc>
        <w:tc>
          <w:tcPr>
            <w:tcW w:w="998" w:type="dxa"/>
            <w:shd w:val="clear" w:color="auto" w:fill="auto"/>
          </w:tcPr>
          <w:p>
            <w:r>
              <w:t>-0.65512498</w:t>
            </w:r>
          </w:p>
        </w:tc>
        <w:tc>
          <w:tcPr>
            <w:tcW w:w="1270" w:type="dxa"/>
            <w:shd w:val="clear" w:color="auto" w:fill="auto"/>
          </w:tcPr>
          <w:p>
            <w:r>
              <w:t>1.03E-11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Aged under 40</w:t>
            </w:r>
          </w:p>
        </w:tc>
        <w:tc>
          <w:tcPr>
            <w:tcW w:w="1759" w:type="dxa"/>
            <w:shd w:val="clear" w:color="auto" w:fill="auto"/>
          </w:tcPr>
          <w:p>
            <w:r>
              <w:t>9.16868989</w:t>
            </w:r>
          </w:p>
        </w:tc>
        <w:tc>
          <w:tcPr>
            <w:tcW w:w="998" w:type="dxa"/>
            <w:shd w:val="clear" w:color="auto" w:fill="auto"/>
          </w:tcPr>
          <w:p>
            <w:r>
              <w:t>-0.6199187</w:t>
            </w:r>
          </w:p>
        </w:tc>
        <w:tc>
          <w:tcPr>
            <w:tcW w:w="1270" w:type="dxa"/>
            <w:shd w:val="clear" w:color="auto" w:fill="auto"/>
          </w:tcPr>
          <w:p>
            <w:r>
              <w:t>6.78E-10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International flight arrivals</w:t>
            </w:r>
          </w:p>
        </w:tc>
        <w:tc>
          <w:tcPr>
            <w:tcW w:w="1759" w:type="dxa"/>
            <w:shd w:val="clear" w:color="auto" w:fill="auto"/>
          </w:tcPr>
          <w:p>
            <w:r>
              <w:t>8.47851469</w:t>
            </w:r>
          </w:p>
        </w:tc>
        <w:tc>
          <w:tcPr>
            <w:tcW w:w="998" w:type="dxa"/>
            <w:shd w:val="clear" w:color="auto" w:fill="auto"/>
          </w:tcPr>
          <w:p>
            <w:r>
              <w:t>0.59660102</w:t>
            </w:r>
          </w:p>
        </w:tc>
        <w:tc>
          <w:tcPr>
            <w:tcW w:w="1270" w:type="dxa"/>
            <w:shd w:val="clear" w:color="auto" w:fill="auto"/>
          </w:tcPr>
          <w:p>
            <w:r>
              <w:t>3.32E-09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Temperature</w:t>
            </w:r>
          </w:p>
        </w:tc>
        <w:tc>
          <w:tcPr>
            <w:tcW w:w="1759" w:type="dxa"/>
            <w:shd w:val="clear" w:color="auto" w:fill="auto"/>
          </w:tcPr>
          <w:p>
            <w:r>
              <w:t>4.12931699</w:t>
            </w:r>
          </w:p>
        </w:tc>
        <w:tc>
          <w:tcPr>
            <w:tcW w:w="998" w:type="dxa"/>
            <w:shd w:val="clear" w:color="auto" w:fill="auto"/>
          </w:tcPr>
          <w:p>
            <w:r>
              <w:t>-0.42329753</w:t>
            </w:r>
          </w:p>
        </w:tc>
        <w:tc>
          <w:tcPr>
            <w:tcW w:w="1270" w:type="dxa"/>
            <w:shd w:val="clear" w:color="auto" w:fill="auto"/>
          </w:tcPr>
          <w:p>
            <w:r>
              <w:t>7.42E-05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HIV</w:t>
            </w:r>
          </w:p>
        </w:tc>
        <w:tc>
          <w:tcPr>
            <w:tcW w:w="1759" w:type="dxa"/>
            <w:shd w:val="clear" w:color="auto" w:fill="auto"/>
          </w:tcPr>
          <w:p>
            <w:r>
              <w:t>4.11060293</w:t>
            </w:r>
          </w:p>
        </w:tc>
        <w:tc>
          <w:tcPr>
            <w:tcW w:w="998" w:type="dxa"/>
            <w:shd w:val="clear" w:color="auto" w:fill="auto"/>
          </w:tcPr>
          <w:p>
            <w:r>
              <w:t>-0.41757619</w:t>
            </w:r>
          </w:p>
        </w:tc>
        <w:tc>
          <w:tcPr>
            <w:tcW w:w="1270" w:type="dxa"/>
            <w:shd w:val="clear" w:color="auto" w:fill="auto"/>
          </w:tcPr>
          <w:p>
            <w:r>
              <w:t>7.75E-05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COVID-19</w:t>
            </w:r>
          </w:p>
        </w:tc>
        <w:tc>
          <w:tcPr>
            <w:tcW w:w="1759" w:type="dxa"/>
            <w:shd w:val="clear" w:color="auto" w:fill="auto"/>
          </w:tcPr>
          <w:p>
            <w:r>
              <w:t>4.00870411</w:t>
            </w:r>
          </w:p>
        </w:tc>
        <w:tc>
          <w:tcPr>
            <w:tcW w:w="998" w:type="dxa"/>
            <w:shd w:val="clear" w:color="auto" w:fill="auto"/>
          </w:tcPr>
          <w:p>
            <w:r>
              <w:t>0.412149438</w:t>
            </w:r>
          </w:p>
        </w:tc>
        <w:tc>
          <w:tcPr>
            <w:tcW w:w="1270" w:type="dxa"/>
            <w:shd w:val="clear" w:color="auto" w:fill="auto"/>
          </w:tcPr>
          <w:p>
            <w:r>
              <w:t>9.80E-05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Overweight</w:t>
            </w:r>
          </w:p>
        </w:tc>
        <w:tc>
          <w:tcPr>
            <w:tcW w:w="1759" w:type="dxa"/>
            <w:shd w:val="clear" w:color="auto" w:fill="auto"/>
          </w:tcPr>
          <w:p>
            <w:r>
              <w:t>3.62228774</w:t>
            </w:r>
          </w:p>
        </w:tc>
        <w:tc>
          <w:tcPr>
            <w:tcW w:w="998" w:type="dxa"/>
            <w:shd w:val="clear" w:color="auto" w:fill="auto"/>
          </w:tcPr>
          <w:p>
            <w:r>
              <w:t>0.392904751</w:t>
            </w:r>
          </w:p>
        </w:tc>
        <w:tc>
          <w:tcPr>
            <w:tcW w:w="1270" w:type="dxa"/>
            <w:shd w:val="clear" w:color="auto" w:fill="auto"/>
          </w:tcPr>
          <w:p>
            <w:r>
              <w:t>0.00023862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GDP</w:t>
            </w:r>
          </w:p>
        </w:tc>
        <w:tc>
          <w:tcPr>
            <w:tcW w:w="2615" w:type="dxa"/>
            <w:shd w:val="clear" w:color="auto" w:fill="auto"/>
          </w:tcPr>
          <w:p>
            <w:r>
              <w:t>Air passengers</w:t>
            </w:r>
          </w:p>
        </w:tc>
        <w:tc>
          <w:tcPr>
            <w:tcW w:w="1759" w:type="dxa"/>
            <w:shd w:val="clear" w:color="auto" w:fill="auto"/>
          </w:tcPr>
          <w:p>
            <w:r>
              <w:t>3.0134818</w:t>
            </w:r>
          </w:p>
        </w:tc>
        <w:tc>
          <w:tcPr>
            <w:tcW w:w="998" w:type="dxa"/>
            <w:shd w:val="clear" w:color="auto" w:fill="auto"/>
          </w:tcPr>
          <w:p>
            <w:r>
              <w:t>0.375768257</w:t>
            </w:r>
          </w:p>
        </w:tc>
        <w:tc>
          <w:tcPr>
            <w:tcW w:w="1270" w:type="dxa"/>
            <w:shd w:val="clear" w:color="auto" w:fill="auto"/>
          </w:tcPr>
          <w:p>
            <w:r>
              <w:t>0.00096943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Education</w:t>
            </w:r>
          </w:p>
        </w:tc>
        <w:tc>
          <w:tcPr>
            <w:tcW w:w="1759" w:type="dxa"/>
            <w:shd w:val="clear" w:color="auto" w:fill="auto"/>
          </w:tcPr>
          <w:p>
            <w:r>
              <w:t>14</w:t>
            </w:r>
          </w:p>
        </w:tc>
        <w:tc>
          <w:tcPr>
            <w:tcW w:w="998" w:type="dxa"/>
            <w:shd w:val="clear" w:color="auto" w:fill="auto"/>
          </w:tcPr>
          <w:p>
            <w:r>
              <w:t>0.765096606</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Expenditure</w:t>
            </w:r>
          </w:p>
        </w:tc>
        <w:tc>
          <w:tcPr>
            <w:tcW w:w="1759" w:type="dxa"/>
            <w:shd w:val="clear" w:color="auto" w:fill="auto"/>
          </w:tcPr>
          <w:p>
            <w:r>
              <w:t>14</w:t>
            </w:r>
          </w:p>
        </w:tc>
        <w:tc>
          <w:tcPr>
            <w:tcW w:w="998" w:type="dxa"/>
            <w:shd w:val="clear" w:color="auto" w:fill="auto"/>
          </w:tcPr>
          <w:p>
            <w:r>
              <w:t>0.935149114</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MPXV biodiversity</w:t>
            </w:r>
          </w:p>
        </w:tc>
        <w:tc>
          <w:tcPr>
            <w:tcW w:w="1759" w:type="dxa"/>
            <w:shd w:val="clear" w:color="auto" w:fill="auto"/>
          </w:tcPr>
          <w:p>
            <w:r>
              <w:t>9.25465358</w:t>
            </w:r>
          </w:p>
        </w:tc>
        <w:tc>
          <w:tcPr>
            <w:tcW w:w="998" w:type="dxa"/>
            <w:shd w:val="clear" w:color="auto" w:fill="auto"/>
          </w:tcPr>
          <w:p>
            <w:r>
              <w:t>-0.61629601</w:t>
            </w:r>
          </w:p>
        </w:tc>
        <w:tc>
          <w:tcPr>
            <w:tcW w:w="1270" w:type="dxa"/>
            <w:shd w:val="clear" w:color="auto" w:fill="auto"/>
          </w:tcPr>
          <w:p>
            <w:r>
              <w:t>5.56E-10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International flight arrivals</w:t>
            </w:r>
          </w:p>
        </w:tc>
        <w:tc>
          <w:tcPr>
            <w:tcW w:w="1759" w:type="dxa"/>
            <w:shd w:val="clear" w:color="auto" w:fill="auto"/>
          </w:tcPr>
          <w:p>
            <w:r>
              <w:t>6.99514424</w:t>
            </w:r>
          </w:p>
        </w:tc>
        <w:tc>
          <w:tcPr>
            <w:tcW w:w="998" w:type="dxa"/>
            <w:shd w:val="clear" w:color="auto" w:fill="auto"/>
          </w:tcPr>
          <w:p>
            <w:r>
              <w:t>0.55346981</w:t>
            </w:r>
          </w:p>
        </w:tc>
        <w:tc>
          <w:tcPr>
            <w:tcW w:w="1270" w:type="dxa"/>
            <w:shd w:val="clear" w:color="auto" w:fill="auto"/>
          </w:tcPr>
          <w:p>
            <w:r>
              <w:t>1.01E-07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IHR</w:t>
            </w:r>
          </w:p>
        </w:tc>
        <w:tc>
          <w:tcPr>
            <w:tcW w:w="1759" w:type="dxa"/>
            <w:shd w:val="clear" w:color="auto" w:fill="auto"/>
          </w:tcPr>
          <w:p>
            <w:r>
              <w:t>6.74269537</w:t>
            </w:r>
          </w:p>
        </w:tc>
        <w:tc>
          <w:tcPr>
            <w:tcW w:w="998" w:type="dxa"/>
            <w:shd w:val="clear" w:color="auto" w:fill="auto"/>
          </w:tcPr>
          <w:p>
            <w:r>
              <w:t>0.541330622</w:t>
            </w:r>
          </w:p>
        </w:tc>
        <w:tc>
          <w:tcPr>
            <w:tcW w:w="1270" w:type="dxa"/>
            <w:shd w:val="clear" w:color="auto" w:fill="auto"/>
          </w:tcPr>
          <w:p>
            <w:r>
              <w:t>1.81E-07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COVID-19</w:t>
            </w:r>
          </w:p>
        </w:tc>
        <w:tc>
          <w:tcPr>
            <w:tcW w:w="1759" w:type="dxa"/>
            <w:shd w:val="clear" w:color="auto" w:fill="auto"/>
          </w:tcPr>
          <w:p>
            <w:r>
              <w:t>4.49303834</w:t>
            </w:r>
          </w:p>
        </w:tc>
        <w:tc>
          <w:tcPr>
            <w:tcW w:w="998" w:type="dxa"/>
            <w:shd w:val="clear" w:color="auto" w:fill="auto"/>
          </w:tcPr>
          <w:p>
            <w:r>
              <w:t>0.4395827</w:t>
            </w:r>
          </w:p>
        </w:tc>
        <w:tc>
          <w:tcPr>
            <w:tcW w:w="1270" w:type="dxa"/>
            <w:shd w:val="clear" w:color="auto" w:fill="auto"/>
          </w:tcPr>
          <w:p>
            <w:r>
              <w:t>3.21E-05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HIV</w:t>
            </w:r>
          </w:p>
        </w:tc>
        <w:tc>
          <w:tcPr>
            <w:tcW w:w="1759" w:type="dxa"/>
            <w:shd w:val="clear" w:color="auto" w:fill="auto"/>
          </w:tcPr>
          <w:p>
            <w:r>
              <w:t>4.4190967</w:t>
            </w:r>
          </w:p>
        </w:tc>
        <w:tc>
          <w:tcPr>
            <w:tcW w:w="998" w:type="dxa"/>
            <w:shd w:val="clear" w:color="auto" w:fill="auto"/>
          </w:tcPr>
          <w:p>
            <w:r>
              <w:t>-0.4408196</w:t>
            </w:r>
          </w:p>
        </w:tc>
        <w:tc>
          <w:tcPr>
            <w:tcW w:w="1270" w:type="dxa"/>
            <w:shd w:val="clear" w:color="auto" w:fill="auto"/>
          </w:tcPr>
          <w:p>
            <w:r>
              <w:t>3.81E-05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Overweight</w:t>
            </w:r>
          </w:p>
        </w:tc>
        <w:tc>
          <w:tcPr>
            <w:tcW w:w="1759" w:type="dxa"/>
            <w:shd w:val="clear" w:color="auto" w:fill="auto"/>
          </w:tcPr>
          <w:p>
            <w:r>
              <w:t>3.38999519</w:t>
            </w:r>
          </w:p>
        </w:tc>
        <w:tc>
          <w:tcPr>
            <w:tcW w:w="998" w:type="dxa"/>
            <w:shd w:val="clear" w:color="auto" w:fill="auto"/>
          </w:tcPr>
          <w:p>
            <w:r>
              <w:t>0.383625923</w:t>
            </w:r>
          </w:p>
        </w:tc>
        <w:tc>
          <w:tcPr>
            <w:tcW w:w="1270" w:type="dxa"/>
            <w:shd w:val="clear" w:color="auto" w:fill="auto"/>
          </w:tcPr>
          <w:p>
            <w:r>
              <w:t>0.00040739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HAQ</w:t>
            </w:r>
          </w:p>
        </w:tc>
        <w:tc>
          <w:tcPr>
            <w:tcW w:w="2615" w:type="dxa"/>
            <w:shd w:val="clear" w:color="auto" w:fill="auto"/>
          </w:tcPr>
          <w:p>
            <w:r>
              <w:t>Air passengers</w:t>
            </w:r>
          </w:p>
        </w:tc>
        <w:tc>
          <w:tcPr>
            <w:tcW w:w="1759" w:type="dxa"/>
            <w:shd w:val="clear" w:color="auto" w:fill="auto"/>
          </w:tcPr>
          <w:p>
            <w:r>
              <w:t>2.52747817</w:t>
            </w:r>
          </w:p>
        </w:tc>
        <w:tc>
          <w:tcPr>
            <w:tcW w:w="998" w:type="dxa"/>
            <w:shd w:val="clear" w:color="auto" w:fill="auto"/>
          </w:tcPr>
          <w:p>
            <w:r>
              <w:t>0.343032136</w:t>
            </w:r>
          </w:p>
        </w:tc>
        <w:tc>
          <w:tcPr>
            <w:tcW w:w="1270" w:type="dxa"/>
            <w:shd w:val="clear" w:color="auto" w:fill="auto"/>
          </w:tcPr>
          <w:p>
            <w:r>
              <w:t>0.0029684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HIV</w:t>
            </w:r>
          </w:p>
        </w:tc>
        <w:tc>
          <w:tcPr>
            <w:tcW w:w="2615" w:type="dxa"/>
            <w:shd w:val="clear" w:color="auto" w:fill="auto"/>
          </w:tcPr>
          <w:p>
            <w:r>
              <w:t>MSM population size</w:t>
            </w:r>
          </w:p>
        </w:tc>
        <w:tc>
          <w:tcPr>
            <w:tcW w:w="1759" w:type="dxa"/>
            <w:shd w:val="clear" w:color="auto" w:fill="auto"/>
          </w:tcPr>
          <w:p>
            <w:r>
              <w:t>6.03081124</w:t>
            </w:r>
          </w:p>
        </w:tc>
        <w:tc>
          <w:tcPr>
            <w:tcW w:w="998" w:type="dxa"/>
            <w:shd w:val="clear" w:color="auto" w:fill="auto"/>
          </w:tcPr>
          <w:p>
            <w:r>
              <w:t>0.606277056</w:t>
            </w:r>
          </w:p>
        </w:tc>
        <w:tc>
          <w:tcPr>
            <w:tcW w:w="1270" w:type="dxa"/>
            <w:shd w:val="clear" w:color="auto" w:fill="auto"/>
          </w:tcPr>
          <w:p>
            <w:r>
              <w:t>9.32E-07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HIV</w:t>
            </w:r>
          </w:p>
        </w:tc>
        <w:tc>
          <w:tcPr>
            <w:tcW w:w="2615" w:type="dxa"/>
            <w:shd w:val="clear" w:color="auto" w:fill="auto"/>
          </w:tcPr>
          <w:p>
            <w:r>
              <w:t>Inbound travelers</w:t>
            </w:r>
          </w:p>
        </w:tc>
        <w:tc>
          <w:tcPr>
            <w:tcW w:w="1759" w:type="dxa"/>
            <w:shd w:val="clear" w:color="auto" w:fill="auto"/>
          </w:tcPr>
          <w:p>
            <w:r>
              <w:t>4.24032546</w:t>
            </w:r>
          </w:p>
        </w:tc>
        <w:tc>
          <w:tcPr>
            <w:tcW w:w="998" w:type="dxa"/>
            <w:shd w:val="clear" w:color="auto" w:fill="auto"/>
          </w:tcPr>
          <w:p>
            <w:r>
              <w:t>0.506805808</w:t>
            </w:r>
          </w:p>
        </w:tc>
        <w:tc>
          <w:tcPr>
            <w:tcW w:w="1270" w:type="dxa"/>
            <w:shd w:val="clear" w:color="auto" w:fill="auto"/>
          </w:tcPr>
          <w:p>
            <w:r>
              <w:t>5.75E-05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HIV</w:t>
            </w:r>
          </w:p>
        </w:tc>
        <w:tc>
          <w:tcPr>
            <w:tcW w:w="2615" w:type="dxa"/>
            <w:shd w:val="clear" w:color="auto" w:fill="auto"/>
          </w:tcPr>
          <w:p>
            <w:r>
              <w:t>Education</w:t>
            </w:r>
          </w:p>
        </w:tc>
        <w:tc>
          <w:tcPr>
            <w:tcW w:w="1759" w:type="dxa"/>
            <w:shd w:val="clear" w:color="auto" w:fill="auto"/>
          </w:tcPr>
          <w:p>
            <w:r>
              <w:t>3.5958388</w:t>
            </w:r>
          </w:p>
        </w:tc>
        <w:tc>
          <w:tcPr>
            <w:tcW w:w="998" w:type="dxa"/>
            <w:shd w:val="clear" w:color="auto" w:fill="auto"/>
          </w:tcPr>
          <w:p>
            <w:r>
              <w:t>-0.39362683</w:t>
            </w:r>
          </w:p>
        </w:tc>
        <w:tc>
          <w:tcPr>
            <w:tcW w:w="1270" w:type="dxa"/>
            <w:shd w:val="clear" w:color="auto" w:fill="auto"/>
          </w:tcPr>
          <w:p>
            <w:r>
              <w:t>0.00025361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HIV</w:t>
            </w:r>
          </w:p>
        </w:tc>
        <w:tc>
          <w:tcPr>
            <w:tcW w:w="2615" w:type="dxa"/>
            <w:shd w:val="clear" w:color="auto" w:fill="auto"/>
          </w:tcPr>
          <w:p>
            <w:r>
              <w:t>Air passengers</w:t>
            </w:r>
          </w:p>
        </w:tc>
        <w:tc>
          <w:tcPr>
            <w:tcW w:w="1759" w:type="dxa"/>
            <w:shd w:val="clear" w:color="auto" w:fill="auto"/>
          </w:tcPr>
          <w:p>
            <w:r>
              <w:t>3.1744391</w:t>
            </w:r>
          </w:p>
        </w:tc>
        <w:tc>
          <w:tcPr>
            <w:tcW w:w="998" w:type="dxa"/>
            <w:shd w:val="clear" w:color="auto" w:fill="auto"/>
          </w:tcPr>
          <w:p>
            <w:r>
              <w:t>0.389065441</w:t>
            </w:r>
          </w:p>
        </w:tc>
        <w:tc>
          <w:tcPr>
            <w:tcW w:w="1270" w:type="dxa"/>
            <w:shd w:val="clear" w:color="auto" w:fill="auto"/>
          </w:tcPr>
          <w:p>
            <w:r>
              <w:t>0.00066921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HIV</w:t>
            </w:r>
          </w:p>
        </w:tc>
        <w:tc>
          <w:tcPr>
            <w:tcW w:w="2615" w:type="dxa"/>
            <w:shd w:val="clear" w:color="auto" w:fill="auto"/>
          </w:tcPr>
          <w:p>
            <w:r>
              <w:t>Expenditure</w:t>
            </w:r>
          </w:p>
        </w:tc>
        <w:tc>
          <w:tcPr>
            <w:tcW w:w="1759" w:type="dxa"/>
            <w:shd w:val="clear" w:color="auto" w:fill="auto"/>
          </w:tcPr>
          <w:p>
            <w:r>
              <w:t>3.14719867</w:t>
            </w:r>
          </w:p>
        </w:tc>
        <w:tc>
          <w:tcPr>
            <w:tcW w:w="998" w:type="dxa"/>
            <w:shd w:val="clear" w:color="auto" w:fill="auto"/>
          </w:tcPr>
          <w:p>
            <w:r>
              <w:t>-0.36419737</w:t>
            </w:r>
          </w:p>
        </w:tc>
        <w:tc>
          <w:tcPr>
            <w:tcW w:w="1270" w:type="dxa"/>
            <w:shd w:val="clear" w:color="auto" w:fill="auto"/>
          </w:tcPr>
          <w:p>
            <w:r>
              <w:t>0.00071253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HIV</w:t>
            </w:r>
          </w:p>
        </w:tc>
        <w:tc>
          <w:tcPr>
            <w:tcW w:w="2615" w:type="dxa"/>
            <w:shd w:val="clear" w:color="auto" w:fill="auto"/>
          </w:tcPr>
          <w:p>
            <w:r>
              <w:t>COVID-19</w:t>
            </w:r>
          </w:p>
        </w:tc>
        <w:tc>
          <w:tcPr>
            <w:tcW w:w="1759" w:type="dxa"/>
            <w:shd w:val="clear" w:color="auto" w:fill="auto"/>
          </w:tcPr>
          <w:p>
            <w:r>
              <w:t>2.45117763</w:t>
            </w:r>
          </w:p>
        </w:tc>
        <w:tc>
          <w:tcPr>
            <w:tcW w:w="998" w:type="dxa"/>
            <w:shd w:val="clear" w:color="auto" w:fill="auto"/>
          </w:tcPr>
          <w:p>
            <w:r>
              <w:t>0.312995896</w:t>
            </w:r>
          </w:p>
        </w:tc>
        <w:tc>
          <w:tcPr>
            <w:tcW w:w="1270" w:type="dxa"/>
            <w:shd w:val="clear" w:color="auto" w:fill="auto"/>
          </w:tcPr>
          <w:p>
            <w:r>
              <w:t>0.00353853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Expenditure</w:t>
            </w:r>
          </w:p>
        </w:tc>
        <w:tc>
          <w:tcPr>
            <w:tcW w:w="1759" w:type="dxa"/>
            <w:shd w:val="clear" w:color="auto" w:fill="auto"/>
          </w:tcPr>
          <w:p>
            <w:r>
              <w:t>9.90642464</w:t>
            </w:r>
          </w:p>
        </w:tc>
        <w:tc>
          <w:tcPr>
            <w:tcW w:w="998" w:type="dxa"/>
            <w:shd w:val="clear" w:color="auto" w:fill="auto"/>
          </w:tcPr>
          <w:p>
            <w:r>
              <w:t>0.631034183</w:t>
            </w:r>
          </w:p>
        </w:tc>
        <w:tc>
          <w:tcPr>
            <w:tcW w:w="1270" w:type="dxa"/>
            <w:shd w:val="clear" w:color="auto" w:fill="auto"/>
          </w:tcPr>
          <w:p>
            <w:r>
              <w:t>1.24E-10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Air passengers</w:t>
            </w:r>
          </w:p>
        </w:tc>
        <w:tc>
          <w:tcPr>
            <w:tcW w:w="1759" w:type="dxa"/>
            <w:shd w:val="clear" w:color="auto" w:fill="auto"/>
          </w:tcPr>
          <w:p>
            <w:r>
              <w:t>9.41996014</w:t>
            </w:r>
          </w:p>
        </w:tc>
        <w:tc>
          <w:tcPr>
            <w:tcW w:w="998" w:type="dxa"/>
            <w:shd w:val="clear" w:color="auto" w:fill="auto"/>
          </w:tcPr>
          <w:p>
            <w:r>
              <w:t>0.64963668</w:t>
            </w:r>
          </w:p>
        </w:tc>
        <w:tc>
          <w:tcPr>
            <w:tcW w:w="1270" w:type="dxa"/>
            <w:shd w:val="clear" w:color="auto" w:fill="auto"/>
          </w:tcPr>
          <w:p>
            <w:r>
              <w:t>3.80E-10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COVID-19</w:t>
            </w:r>
          </w:p>
        </w:tc>
        <w:tc>
          <w:tcPr>
            <w:tcW w:w="1759" w:type="dxa"/>
            <w:shd w:val="clear" w:color="auto" w:fill="auto"/>
          </w:tcPr>
          <w:p>
            <w:r>
              <w:t>8.91437127</w:t>
            </w:r>
          </w:p>
        </w:tc>
        <w:tc>
          <w:tcPr>
            <w:tcW w:w="998" w:type="dxa"/>
            <w:shd w:val="clear" w:color="auto" w:fill="auto"/>
          </w:tcPr>
          <w:p>
            <w:r>
              <w:t>0.603633171</w:t>
            </w:r>
          </w:p>
        </w:tc>
        <w:tc>
          <w:tcPr>
            <w:tcW w:w="1270" w:type="dxa"/>
            <w:shd w:val="clear" w:color="auto" w:fill="auto"/>
          </w:tcPr>
          <w:p>
            <w:r>
              <w:t>1.22E-09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Education</w:t>
            </w:r>
          </w:p>
        </w:tc>
        <w:tc>
          <w:tcPr>
            <w:tcW w:w="1759" w:type="dxa"/>
            <w:shd w:val="clear" w:color="auto" w:fill="auto"/>
          </w:tcPr>
          <w:p>
            <w:r>
              <w:t>5.70931842</w:t>
            </w:r>
          </w:p>
        </w:tc>
        <w:tc>
          <w:tcPr>
            <w:tcW w:w="998" w:type="dxa"/>
            <w:shd w:val="clear" w:color="auto" w:fill="auto"/>
          </w:tcPr>
          <w:p>
            <w:r>
              <w:t>0.49510332</w:t>
            </w:r>
          </w:p>
        </w:tc>
        <w:tc>
          <w:tcPr>
            <w:tcW w:w="1270" w:type="dxa"/>
            <w:shd w:val="clear" w:color="auto" w:fill="auto"/>
          </w:tcPr>
          <w:p>
            <w:r>
              <w:t>1.95E-06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MSM population size</w:t>
            </w:r>
          </w:p>
        </w:tc>
        <w:tc>
          <w:tcPr>
            <w:tcW w:w="1759" w:type="dxa"/>
            <w:shd w:val="clear" w:color="auto" w:fill="auto"/>
          </w:tcPr>
          <w:p>
            <w:r>
              <w:t>3.33362711</w:t>
            </w:r>
          </w:p>
        </w:tc>
        <w:tc>
          <w:tcPr>
            <w:tcW w:w="998" w:type="dxa"/>
            <w:shd w:val="clear" w:color="auto" w:fill="auto"/>
          </w:tcPr>
          <w:p>
            <w:r>
              <w:t>0.452430254</w:t>
            </w:r>
          </w:p>
        </w:tc>
        <w:tc>
          <w:tcPr>
            <w:tcW w:w="1270" w:type="dxa"/>
            <w:shd w:val="clear" w:color="auto" w:fill="auto"/>
          </w:tcPr>
          <w:p>
            <w:r>
              <w:t>0.00046385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IHR</w:t>
            </w:r>
          </w:p>
        </w:tc>
        <w:tc>
          <w:tcPr>
            <w:tcW w:w="2615" w:type="dxa"/>
            <w:shd w:val="clear" w:color="auto" w:fill="auto"/>
          </w:tcPr>
          <w:p>
            <w:r>
              <w:t>Inbound travelers</w:t>
            </w:r>
          </w:p>
        </w:tc>
        <w:tc>
          <w:tcPr>
            <w:tcW w:w="1759" w:type="dxa"/>
            <w:shd w:val="clear" w:color="auto" w:fill="auto"/>
          </w:tcPr>
          <w:p>
            <w:r>
              <w:t>1.99798872</w:t>
            </w:r>
          </w:p>
        </w:tc>
        <w:tc>
          <w:tcPr>
            <w:tcW w:w="998" w:type="dxa"/>
            <w:shd w:val="clear" w:color="auto" w:fill="auto"/>
          </w:tcPr>
          <w:p>
            <w:r>
              <w:t>0.34129667</w:t>
            </w:r>
          </w:p>
        </w:tc>
        <w:tc>
          <w:tcPr>
            <w:tcW w:w="1270" w:type="dxa"/>
            <w:shd w:val="clear" w:color="auto" w:fill="auto"/>
          </w:tcPr>
          <w:p>
            <w:r>
              <w:t>0.01004642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Inbound travelers</w:t>
            </w:r>
          </w:p>
        </w:tc>
        <w:tc>
          <w:tcPr>
            <w:tcW w:w="2615" w:type="dxa"/>
            <w:shd w:val="clear" w:color="auto" w:fill="auto"/>
          </w:tcPr>
          <w:p>
            <w:r>
              <w:t>COVID-19</w:t>
            </w:r>
          </w:p>
        </w:tc>
        <w:tc>
          <w:tcPr>
            <w:tcW w:w="1759" w:type="dxa"/>
            <w:shd w:val="clear" w:color="auto" w:fill="auto"/>
          </w:tcPr>
          <w:p>
            <w:r>
              <w:t>7.6705149</w:t>
            </w:r>
          </w:p>
        </w:tc>
        <w:tc>
          <w:tcPr>
            <w:tcW w:w="998" w:type="dxa"/>
            <w:shd w:val="clear" w:color="auto" w:fill="auto"/>
          </w:tcPr>
          <w:p>
            <w:r>
              <w:t>0.656956535</w:t>
            </w:r>
          </w:p>
        </w:tc>
        <w:tc>
          <w:tcPr>
            <w:tcW w:w="1270" w:type="dxa"/>
            <w:shd w:val="clear" w:color="auto" w:fill="auto"/>
          </w:tcPr>
          <w:p>
            <w:r>
              <w:t>2.14E-08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COVID-19</w:t>
            </w:r>
          </w:p>
        </w:tc>
        <w:tc>
          <w:tcPr>
            <w:tcW w:w="1759" w:type="dxa"/>
            <w:shd w:val="clear" w:color="auto" w:fill="auto"/>
          </w:tcPr>
          <w:p>
            <w:r>
              <w:t>14</w:t>
            </w:r>
          </w:p>
        </w:tc>
        <w:tc>
          <w:tcPr>
            <w:tcW w:w="998" w:type="dxa"/>
            <w:shd w:val="clear" w:color="auto" w:fill="auto"/>
          </w:tcPr>
          <w:p>
            <w:r>
              <w:t>0.805333557</w:t>
            </w:r>
          </w:p>
        </w:tc>
        <w:tc>
          <w:tcPr>
            <w:tcW w:w="1270" w:type="dxa"/>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International flight arrivals</w:t>
            </w:r>
          </w:p>
        </w:tc>
        <w:tc>
          <w:tcPr>
            <w:tcW w:w="2615" w:type="dxa"/>
            <w:shd w:val="clear" w:color="auto" w:fill="auto"/>
          </w:tcPr>
          <w:p>
            <w:r>
              <w:t>Air passengers</w:t>
            </w:r>
          </w:p>
        </w:tc>
        <w:tc>
          <w:tcPr>
            <w:tcW w:w="1759" w:type="dxa"/>
            <w:shd w:val="clear" w:color="auto" w:fill="auto"/>
          </w:tcPr>
          <w:p>
            <w:r>
              <w:t>13.9908019</w:t>
            </w:r>
          </w:p>
        </w:tc>
        <w:tc>
          <w:tcPr>
            <w:tcW w:w="998" w:type="dxa"/>
            <w:shd w:val="clear" w:color="auto" w:fill="auto"/>
          </w:tcPr>
          <w:p>
            <w:r>
              <w:t>0.759822168</w:t>
            </w:r>
          </w:p>
        </w:tc>
        <w:tc>
          <w:tcPr>
            <w:tcW w:w="1270" w:type="dxa"/>
            <w:shd w:val="clear" w:color="auto" w:fill="auto"/>
          </w:tcPr>
          <w:p>
            <w:r>
              <w:t>1.02E-14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IHR</w:t>
            </w:r>
          </w:p>
        </w:tc>
        <w:tc>
          <w:tcPr>
            <w:tcW w:w="1759" w:type="dxa"/>
            <w:shd w:val="clear" w:color="auto" w:fill="auto"/>
          </w:tcPr>
          <w:p>
            <w:r>
              <w:t>10.7445122</w:t>
            </w:r>
          </w:p>
        </w:tc>
        <w:tc>
          <w:tcPr>
            <w:tcW w:w="998" w:type="dxa"/>
            <w:shd w:val="clear" w:color="auto" w:fill="auto"/>
          </w:tcPr>
          <w:p>
            <w:r>
              <w:t>0.664548267</w:t>
            </w:r>
          </w:p>
        </w:tc>
        <w:tc>
          <w:tcPr>
            <w:tcW w:w="1270" w:type="dxa"/>
            <w:shd w:val="clear" w:color="auto" w:fill="auto"/>
          </w:tcPr>
          <w:p>
            <w:r>
              <w:t>1.80E-11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Expenditure</w:t>
            </w:r>
          </w:p>
        </w:tc>
        <w:tc>
          <w:tcPr>
            <w:tcW w:w="1759" w:type="dxa"/>
            <w:shd w:val="clear" w:color="auto" w:fill="auto"/>
          </w:tcPr>
          <w:p>
            <w:r>
              <w:t>10.2065895</w:t>
            </w:r>
          </w:p>
        </w:tc>
        <w:tc>
          <w:tcPr>
            <w:tcW w:w="998" w:type="dxa"/>
            <w:shd w:val="clear" w:color="auto" w:fill="auto"/>
          </w:tcPr>
          <w:p>
            <w:r>
              <w:t>0.651070388</w:t>
            </w:r>
          </w:p>
        </w:tc>
        <w:tc>
          <w:tcPr>
            <w:tcW w:w="1270" w:type="dxa"/>
            <w:shd w:val="clear" w:color="auto" w:fill="auto"/>
          </w:tcPr>
          <w:p>
            <w:r>
              <w:t>6.21E-11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Inbound travelers</w:t>
            </w:r>
          </w:p>
        </w:tc>
        <w:tc>
          <w:tcPr>
            <w:tcW w:w="1759" w:type="dxa"/>
            <w:shd w:val="clear" w:color="auto" w:fill="auto"/>
          </w:tcPr>
          <w:p>
            <w:r>
              <w:t>9.75576999</w:t>
            </w:r>
          </w:p>
        </w:tc>
        <w:tc>
          <w:tcPr>
            <w:tcW w:w="998" w:type="dxa"/>
            <w:shd w:val="clear" w:color="auto" w:fill="auto"/>
          </w:tcPr>
          <w:p>
            <w:r>
              <w:t>0.734415584</w:t>
            </w:r>
          </w:p>
        </w:tc>
        <w:tc>
          <w:tcPr>
            <w:tcW w:w="1270" w:type="dxa"/>
            <w:shd w:val="clear" w:color="auto" w:fill="auto"/>
          </w:tcPr>
          <w:p>
            <w:r>
              <w:t>1.75E-10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MSM population size</w:t>
            </w:r>
          </w:p>
        </w:tc>
        <w:tc>
          <w:tcPr>
            <w:tcW w:w="1759" w:type="dxa"/>
            <w:shd w:val="clear" w:color="auto" w:fill="auto"/>
          </w:tcPr>
          <w:p>
            <w:r>
              <w:t>5.86620117</w:t>
            </w:r>
          </w:p>
        </w:tc>
        <w:tc>
          <w:tcPr>
            <w:tcW w:w="998" w:type="dxa"/>
            <w:shd w:val="clear" w:color="auto" w:fill="auto"/>
          </w:tcPr>
          <w:p>
            <w:r>
              <w:t>0.603518268</w:t>
            </w:r>
          </w:p>
        </w:tc>
        <w:tc>
          <w:tcPr>
            <w:tcW w:w="1270" w:type="dxa"/>
            <w:shd w:val="clear" w:color="auto" w:fill="auto"/>
          </w:tcPr>
          <w:p>
            <w:r>
              <w:t>1.36E-06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Education</w:t>
            </w:r>
          </w:p>
        </w:tc>
        <w:tc>
          <w:tcPr>
            <w:tcW w:w="1759" w:type="dxa"/>
            <w:shd w:val="clear" w:color="auto" w:fill="auto"/>
          </w:tcPr>
          <w:p>
            <w:r>
              <w:t>3.82879036</w:t>
            </w:r>
          </w:p>
        </w:tc>
        <w:tc>
          <w:tcPr>
            <w:tcW w:w="998" w:type="dxa"/>
            <w:shd w:val="clear" w:color="auto" w:fill="auto"/>
          </w:tcPr>
          <w:p>
            <w:r>
              <w:t>0.411674723</w:t>
            </w:r>
          </w:p>
        </w:tc>
        <w:tc>
          <w:tcPr>
            <w:tcW w:w="1270" w:type="dxa"/>
            <w:shd w:val="clear" w:color="auto" w:fill="auto"/>
          </w:tcPr>
          <w:p>
            <w:r>
              <w:t>0.00014832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International flight arrivals</w:t>
            </w:r>
          </w:p>
        </w:tc>
        <w:tc>
          <w:tcPr>
            <w:tcW w:w="2615" w:type="dxa"/>
            <w:shd w:val="clear" w:color="auto" w:fill="auto"/>
          </w:tcPr>
          <w:p>
            <w:r>
              <w:t>Overweight</w:t>
            </w:r>
          </w:p>
        </w:tc>
        <w:tc>
          <w:tcPr>
            <w:tcW w:w="1759" w:type="dxa"/>
            <w:shd w:val="clear" w:color="auto" w:fill="auto"/>
          </w:tcPr>
          <w:p>
            <w:r>
              <w:t>3.45670138</w:t>
            </w:r>
          </w:p>
        </w:tc>
        <w:tc>
          <w:tcPr>
            <w:tcW w:w="998" w:type="dxa"/>
            <w:shd w:val="clear" w:color="auto" w:fill="auto"/>
          </w:tcPr>
          <w:p>
            <w:r>
              <w:t>0.389955576</w:t>
            </w:r>
          </w:p>
        </w:tc>
        <w:tc>
          <w:tcPr>
            <w:tcW w:w="1270" w:type="dxa"/>
            <w:shd w:val="clear" w:color="auto" w:fill="auto"/>
          </w:tcPr>
          <w:p>
            <w:r>
              <w:t>0.00034938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Low physical activity</w:t>
            </w:r>
          </w:p>
        </w:tc>
        <w:tc>
          <w:tcPr>
            <w:tcW w:w="2615" w:type="dxa"/>
            <w:shd w:val="clear" w:color="auto" w:fill="auto"/>
          </w:tcPr>
          <w:p>
            <w:r>
              <w:t>COVID-19</w:t>
            </w:r>
          </w:p>
        </w:tc>
        <w:tc>
          <w:tcPr>
            <w:tcW w:w="1759" w:type="dxa"/>
            <w:shd w:val="clear" w:color="auto" w:fill="auto"/>
          </w:tcPr>
          <w:p>
            <w:r>
              <w:t>2.42455751</w:t>
            </w:r>
          </w:p>
        </w:tc>
        <w:tc>
          <w:tcPr>
            <w:tcW w:w="998" w:type="dxa"/>
            <w:shd w:val="clear" w:color="auto" w:fill="auto"/>
          </w:tcPr>
          <w:p>
            <w:r>
              <w:t>-0.31104163</w:t>
            </w:r>
          </w:p>
        </w:tc>
        <w:tc>
          <w:tcPr>
            <w:tcW w:w="1270" w:type="dxa"/>
            <w:shd w:val="clear" w:color="auto" w:fill="auto"/>
          </w:tcPr>
          <w:p>
            <w:r>
              <w:t>0.00376221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Low physical activity</w:t>
            </w:r>
          </w:p>
        </w:tc>
        <w:tc>
          <w:tcPr>
            <w:tcW w:w="2615" w:type="dxa"/>
            <w:shd w:val="clear" w:color="auto" w:fill="auto"/>
          </w:tcPr>
          <w:p>
            <w:r>
              <w:t>MSM population size</w:t>
            </w:r>
          </w:p>
        </w:tc>
        <w:tc>
          <w:tcPr>
            <w:tcW w:w="1759" w:type="dxa"/>
            <w:shd w:val="clear" w:color="auto" w:fill="auto"/>
          </w:tcPr>
          <w:p>
            <w:r>
              <w:t>1.6603452</w:t>
            </w:r>
          </w:p>
        </w:tc>
        <w:tc>
          <w:tcPr>
            <w:tcW w:w="998" w:type="dxa"/>
            <w:shd w:val="clear" w:color="auto" w:fill="auto"/>
          </w:tcPr>
          <w:p>
            <w:r>
              <w:t>-0.30865801</w:t>
            </w:r>
          </w:p>
        </w:tc>
        <w:tc>
          <w:tcPr>
            <w:tcW w:w="1270" w:type="dxa"/>
            <w:shd w:val="clear" w:color="auto" w:fill="auto"/>
          </w:tcPr>
          <w:p>
            <w:r>
              <w:t>0.02186023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Expenditure</w:t>
            </w:r>
          </w:p>
        </w:tc>
        <w:tc>
          <w:tcPr>
            <w:tcW w:w="1759" w:type="dxa"/>
            <w:shd w:val="clear" w:color="auto" w:fill="auto"/>
          </w:tcPr>
          <w:p>
            <w:r>
              <w:t>11.2264958</w:t>
            </w:r>
          </w:p>
        </w:tc>
        <w:tc>
          <w:tcPr>
            <w:tcW w:w="998" w:type="dxa"/>
            <w:shd w:val="clear" w:color="auto" w:fill="auto"/>
          </w:tcPr>
          <w:p>
            <w:r>
              <w:t>-0.66374111</w:t>
            </w:r>
          </w:p>
        </w:tc>
        <w:tc>
          <w:tcPr>
            <w:tcW w:w="1270" w:type="dxa"/>
            <w:shd w:val="clear" w:color="auto" w:fill="auto"/>
          </w:tcPr>
          <w:p>
            <w:r>
              <w:t>5.94E-12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Education</w:t>
            </w:r>
          </w:p>
        </w:tc>
        <w:tc>
          <w:tcPr>
            <w:tcW w:w="1759" w:type="dxa"/>
            <w:shd w:val="clear" w:color="auto" w:fill="auto"/>
          </w:tcPr>
          <w:p>
            <w:r>
              <w:t>7.39902851</w:t>
            </w:r>
          </w:p>
        </w:tc>
        <w:tc>
          <w:tcPr>
            <w:tcW w:w="998" w:type="dxa"/>
            <w:shd w:val="clear" w:color="auto" w:fill="auto"/>
          </w:tcPr>
          <w:p>
            <w:r>
              <w:t>-0.55890296</w:t>
            </w:r>
          </w:p>
        </w:tc>
        <w:tc>
          <w:tcPr>
            <w:tcW w:w="1270" w:type="dxa"/>
            <w:shd w:val="clear" w:color="auto" w:fill="auto"/>
          </w:tcPr>
          <w:p>
            <w:r>
              <w:t>3.99E-08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IHR</w:t>
            </w:r>
          </w:p>
        </w:tc>
        <w:tc>
          <w:tcPr>
            <w:tcW w:w="1759" w:type="dxa"/>
            <w:shd w:val="clear" w:color="auto" w:fill="auto"/>
          </w:tcPr>
          <w:p>
            <w:r>
              <w:t>4.81993368</w:t>
            </w:r>
          </w:p>
        </w:tc>
        <w:tc>
          <w:tcPr>
            <w:tcW w:w="998" w:type="dxa"/>
            <w:shd w:val="clear" w:color="auto" w:fill="auto"/>
          </w:tcPr>
          <w:p>
            <w:r>
              <w:t>-0.45298858</w:t>
            </w:r>
          </w:p>
        </w:tc>
        <w:tc>
          <w:tcPr>
            <w:tcW w:w="1270" w:type="dxa"/>
            <w:shd w:val="clear" w:color="auto" w:fill="auto"/>
          </w:tcPr>
          <w:p>
            <w:r>
              <w:t>1.51E-05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Overweight</w:t>
            </w:r>
          </w:p>
        </w:tc>
        <w:tc>
          <w:tcPr>
            <w:tcW w:w="1759" w:type="dxa"/>
            <w:shd w:val="clear" w:color="auto" w:fill="auto"/>
          </w:tcPr>
          <w:p>
            <w:r>
              <w:t>3.70313743</w:t>
            </w:r>
          </w:p>
        </w:tc>
        <w:tc>
          <w:tcPr>
            <w:tcW w:w="998" w:type="dxa"/>
            <w:shd w:val="clear" w:color="auto" w:fill="auto"/>
          </w:tcPr>
          <w:p>
            <w:r>
              <w:t>-0.39529624</w:t>
            </w:r>
          </w:p>
        </w:tc>
        <w:tc>
          <w:tcPr>
            <w:tcW w:w="1270" w:type="dxa"/>
            <w:shd w:val="clear" w:color="auto" w:fill="auto"/>
          </w:tcPr>
          <w:p>
            <w:r>
              <w:t>0.00019809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International flight arrivals</w:t>
            </w:r>
          </w:p>
        </w:tc>
        <w:tc>
          <w:tcPr>
            <w:tcW w:w="1759" w:type="dxa"/>
            <w:shd w:val="clear" w:color="auto" w:fill="auto"/>
          </w:tcPr>
          <w:p>
            <w:r>
              <w:t>3.14509239</w:t>
            </w:r>
          </w:p>
        </w:tc>
        <w:tc>
          <w:tcPr>
            <w:tcW w:w="998" w:type="dxa"/>
            <w:shd w:val="clear" w:color="auto" w:fill="auto"/>
          </w:tcPr>
          <w:p>
            <w:r>
              <w:t>-0.36197814</w:t>
            </w:r>
          </w:p>
        </w:tc>
        <w:tc>
          <w:tcPr>
            <w:tcW w:w="1270" w:type="dxa"/>
            <w:shd w:val="clear" w:color="auto" w:fill="auto"/>
          </w:tcPr>
          <w:p>
            <w:r>
              <w:t>0.00071599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HIV</w:t>
            </w:r>
          </w:p>
        </w:tc>
        <w:tc>
          <w:tcPr>
            <w:tcW w:w="1759" w:type="dxa"/>
            <w:shd w:val="clear" w:color="auto" w:fill="auto"/>
          </w:tcPr>
          <w:p>
            <w:r>
              <w:t>2.36768093</w:t>
            </w:r>
          </w:p>
        </w:tc>
        <w:tc>
          <w:tcPr>
            <w:tcW w:w="998" w:type="dxa"/>
            <w:shd w:val="clear" w:color="auto" w:fill="auto"/>
          </w:tcPr>
          <w:p>
            <w:r>
              <w:t>0.305068735</w:t>
            </w:r>
          </w:p>
        </w:tc>
        <w:tc>
          <w:tcPr>
            <w:tcW w:w="1270" w:type="dxa"/>
            <w:shd w:val="clear" w:color="auto" w:fill="auto"/>
          </w:tcPr>
          <w:p>
            <w:r>
              <w:t>0.00428864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MPXV biodiversity</w:t>
            </w:r>
          </w:p>
        </w:tc>
        <w:tc>
          <w:tcPr>
            <w:tcW w:w="2615" w:type="dxa"/>
            <w:shd w:val="clear" w:color="auto" w:fill="auto"/>
          </w:tcPr>
          <w:p>
            <w:r>
              <w:t>Air passengers</w:t>
            </w:r>
          </w:p>
        </w:tc>
        <w:tc>
          <w:tcPr>
            <w:tcW w:w="1759" w:type="dxa"/>
            <w:shd w:val="clear" w:color="auto" w:fill="auto"/>
          </w:tcPr>
          <w:p>
            <w:r>
              <w:t>2.21153424</w:t>
            </w:r>
          </w:p>
        </w:tc>
        <w:tc>
          <w:tcPr>
            <w:tcW w:w="998" w:type="dxa"/>
            <w:shd w:val="clear" w:color="auto" w:fill="auto"/>
          </w:tcPr>
          <w:p>
            <w:r>
              <w:t>-0.31570173</w:t>
            </w:r>
          </w:p>
        </w:tc>
        <w:tc>
          <w:tcPr>
            <w:tcW w:w="1270" w:type="dxa"/>
            <w:shd w:val="clear" w:color="auto" w:fill="auto"/>
          </w:tcPr>
          <w:p>
            <w:r>
              <w:t>0.00614421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MSM population size</w:t>
            </w:r>
          </w:p>
        </w:tc>
        <w:tc>
          <w:tcPr>
            <w:tcW w:w="2615" w:type="dxa"/>
            <w:shd w:val="clear" w:color="auto" w:fill="auto"/>
          </w:tcPr>
          <w:p>
            <w:r>
              <w:t>COVID-19</w:t>
            </w:r>
          </w:p>
        </w:tc>
        <w:tc>
          <w:tcPr>
            <w:tcW w:w="1759" w:type="dxa"/>
            <w:shd w:val="clear" w:color="auto" w:fill="auto"/>
          </w:tcPr>
          <w:p>
            <w:r>
              <w:t>6.48984138</w:t>
            </w:r>
          </w:p>
        </w:tc>
        <w:tc>
          <w:tcPr>
            <w:tcW w:w="998" w:type="dxa"/>
            <w:shd w:val="clear" w:color="auto" w:fill="auto"/>
          </w:tcPr>
          <w:p>
            <w:r>
              <w:t>0.62125769</w:t>
            </w:r>
          </w:p>
        </w:tc>
        <w:tc>
          <w:tcPr>
            <w:tcW w:w="1270" w:type="dxa"/>
            <w:shd w:val="clear" w:color="auto" w:fill="auto"/>
          </w:tcPr>
          <w:p>
            <w:r>
              <w:t>3.24E-07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MSM population size</w:t>
            </w:r>
          </w:p>
        </w:tc>
        <w:tc>
          <w:tcPr>
            <w:tcW w:w="2615" w:type="dxa"/>
            <w:shd w:val="clear" w:color="auto" w:fill="auto"/>
          </w:tcPr>
          <w:p>
            <w:r>
              <w:t>Air passengers</w:t>
            </w:r>
          </w:p>
        </w:tc>
        <w:tc>
          <w:tcPr>
            <w:tcW w:w="1759" w:type="dxa"/>
            <w:shd w:val="clear" w:color="auto" w:fill="auto"/>
          </w:tcPr>
          <w:p>
            <w:r>
              <w:t>5.80626273</w:t>
            </w:r>
          </w:p>
        </w:tc>
        <w:tc>
          <w:tcPr>
            <w:tcW w:w="998" w:type="dxa"/>
            <w:shd w:val="clear" w:color="auto" w:fill="auto"/>
          </w:tcPr>
          <w:p>
            <w:r>
              <w:t>0.625271053</w:t>
            </w:r>
          </w:p>
        </w:tc>
        <w:tc>
          <w:tcPr>
            <w:tcW w:w="1270" w:type="dxa"/>
            <w:shd w:val="clear" w:color="auto" w:fill="auto"/>
          </w:tcPr>
          <w:p>
            <w:r>
              <w:t>1.56E-06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MSM population size</w:t>
            </w:r>
          </w:p>
        </w:tc>
        <w:tc>
          <w:tcPr>
            <w:tcW w:w="2615" w:type="dxa"/>
            <w:shd w:val="clear" w:color="auto" w:fill="auto"/>
          </w:tcPr>
          <w:p>
            <w:r>
              <w:t>Inbound travelers</w:t>
            </w:r>
          </w:p>
        </w:tc>
        <w:tc>
          <w:tcPr>
            <w:tcW w:w="1759" w:type="dxa"/>
            <w:shd w:val="clear" w:color="auto" w:fill="auto"/>
          </w:tcPr>
          <w:p>
            <w:r>
              <w:t>2.24424831</w:t>
            </w:r>
          </w:p>
        </w:tc>
        <w:tc>
          <w:tcPr>
            <w:tcW w:w="998" w:type="dxa"/>
            <w:shd w:val="clear" w:color="auto" w:fill="auto"/>
          </w:tcPr>
          <w:p>
            <w:r>
              <w:t>0.457703081</w:t>
            </w:r>
          </w:p>
        </w:tc>
        <w:tc>
          <w:tcPr>
            <w:tcW w:w="1270" w:type="dxa"/>
            <w:shd w:val="clear" w:color="auto" w:fill="auto"/>
          </w:tcPr>
          <w:p>
            <w:r>
              <w:t>0.00569838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Overweight</w:t>
            </w:r>
          </w:p>
        </w:tc>
        <w:tc>
          <w:tcPr>
            <w:tcW w:w="2615" w:type="dxa"/>
            <w:shd w:val="clear" w:color="auto" w:fill="auto"/>
          </w:tcPr>
          <w:p>
            <w:r>
              <w:t>Expenditure</w:t>
            </w:r>
          </w:p>
        </w:tc>
        <w:tc>
          <w:tcPr>
            <w:tcW w:w="1759" w:type="dxa"/>
            <w:shd w:val="clear" w:color="auto" w:fill="auto"/>
          </w:tcPr>
          <w:p>
            <w:r>
              <w:t>4.00392198</w:t>
            </w:r>
          </w:p>
        </w:tc>
        <w:tc>
          <w:tcPr>
            <w:tcW w:w="998" w:type="dxa"/>
            <w:shd w:val="clear" w:color="auto" w:fill="auto"/>
          </w:tcPr>
          <w:p>
            <w:r>
              <w:t>0.411892468</w:t>
            </w:r>
          </w:p>
        </w:tc>
        <w:tc>
          <w:tcPr>
            <w:tcW w:w="1270" w:type="dxa"/>
            <w:shd w:val="clear" w:color="auto" w:fill="auto"/>
          </w:tcPr>
          <w:p>
            <w:r>
              <w:t>9.91E-05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Precipitation</w:t>
            </w:r>
          </w:p>
        </w:tc>
        <w:tc>
          <w:tcPr>
            <w:tcW w:w="2615" w:type="dxa"/>
            <w:shd w:val="clear" w:color="auto" w:fill="auto"/>
          </w:tcPr>
          <w:p>
            <w:r>
              <w:t>Low physical activity</w:t>
            </w:r>
          </w:p>
        </w:tc>
        <w:tc>
          <w:tcPr>
            <w:tcW w:w="1759" w:type="dxa"/>
            <w:shd w:val="clear" w:color="auto" w:fill="auto"/>
          </w:tcPr>
          <w:p>
            <w:r>
              <w:t>4.99018384</w:t>
            </w:r>
          </w:p>
        </w:tc>
        <w:tc>
          <w:tcPr>
            <w:tcW w:w="998" w:type="dxa"/>
            <w:shd w:val="clear" w:color="auto" w:fill="auto"/>
          </w:tcPr>
          <w:p>
            <w:r>
              <w:t>-0.46345661</w:t>
            </w:r>
          </w:p>
        </w:tc>
        <w:tc>
          <w:tcPr>
            <w:tcW w:w="1270" w:type="dxa"/>
            <w:shd w:val="clear" w:color="auto" w:fill="auto"/>
          </w:tcPr>
          <w:p>
            <w:r>
              <w:t>1.02E-05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Precipitation</w:t>
            </w:r>
          </w:p>
        </w:tc>
        <w:tc>
          <w:tcPr>
            <w:tcW w:w="2615" w:type="dxa"/>
            <w:shd w:val="clear" w:color="auto" w:fill="auto"/>
          </w:tcPr>
          <w:p>
            <w:r>
              <w:t>Overweight</w:t>
            </w:r>
          </w:p>
        </w:tc>
        <w:tc>
          <w:tcPr>
            <w:tcW w:w="1759" w:type="dxa"/>
            <w:shd w:val="clear" w:color="auto" w:fill="auto"/>
          </w:tcPr>
          <w:p>
            <w:r>
              <w:t>3.85699286</w:t>
            </w:r>
          </w:p>
        </w:tc>
        <w:tc>
          <w:tcPr>
            <w:tcW w:w="998" w:type="dxa"/>
            <w:shd w:val="clear" w:color="auto" w:fill="auto"/>
          </w:tcPr>
          <w:p>
            <w:r>
              <w:t>-0.41085928</w:t>
            </w:r>
          </w:p>
        </w:tc>
        <w:tc>
          <w:tcPr>
            <w:tcW w:w="1270" w:type="dxa"/>
            <w:shd w:val="clear" w:color="auto" w:fill="auto"/>
          </w:tcPr>
          <w:p>
            <w:r>
              <w:t>0.000139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Precipitation</w:t>
            </w:r>
          </w:p>
        </w:tc>
        <w:tc>
          <w:tcPr>
            <w:tcW w:w="2615" w:type="dxa"/>
            <w:shd w:val="clear" w:color="auto" w:fill="auto"/>
          </w:tcPr>
          <w:p>
            <w:r>
              <w:t>MPXV biodiversity</w:t>
            </w:r>
          </w:p>
        </w:tc>
        <w:tc>
          <w:tcPr>
            <w:tcW w:w="1759" w:type="dxa"/>
            <w:shd w:val="clear" w:color="auto" w:fill="auto"/>
          </w:tcPr>
          <w:p>
            <w:r>
              <w:t>2.53983008</w:t>
            </w:r>
          </w:p>
        </w:tc>
        <w:tc>
          <w:tcPr>
            <w:tcW w:w="998" w:type="dxa"/>
            <w:shd w:val="clear" w:color="auto" w:fill="auto"/>
          </w:tcPr>
          <w:p>
            <w:r>
              <w:t>0.319413245</w:t>
            </w:r>
          </w:p>
        </w:tc>
        <w:tc>
          <w:tcPr>
            <w:tcW w:w="1270" w:type="dxa"/>
            <w:shd w:val="clear" w:color="auto" w:fill="auto"/>
          </w:tcPr>
          <w:p>
            <w:r>
              <w:t>0.00288516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Expenditure</w:t>
            </w:r>
          </w:p>
        </w:tc>
        <w:tc>
          <w:tcPr>
            <w:tcW w:w="1759" w:type="dxa"/>
            <w:shd w:val="clear" w:color="auto" w:fill="auto"/>
          </w:tcPr>
          <w:p>
            <w:r>
              <w:t>7.13089842</w:t>
            </w:r>
          </w:p>
        </w:tc>
        <w:tc>
          <w:tcPr>
            <w:tcW w:w="998" w:type="dxa"/>
            <w:shd w:val="clear" w:color="auto" w:fill="auto"/>
          </w:tcPr>
          <w:p>
            <w:r>
              <w:t>0.54680262</w:t>
            </w:r>
          </w:p>
        </w:tc>
        <w:tc>
          <w:tcPr>
            <w:tcW w:w="1270" w:type="dxa"/>
            <w:shd w:val="clear" w:color="auto" w:fill="auto"/>
          </w:tcPr>
          <w:p>
            <w:r>
              <w:t>7.40E-08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Same sex marriage</w:t>
            </w:r>
          </w:p>
        </w:tc>
        <w:tc>
          <w:tcPr>
            <w:tcW w:w="2615" w:type="dxa"/>
            <w:shd w:val="clear" w:color="auto" w:fill="auto"/>
          </w:tcPr>
          <w:p>
            <w:r>
              <w:t>MPXV biodiversity</w:t>
            </w:r>
          </w:p>
        </w:tc>
        <w:tc>
          <w:tcPr>
            <w:tcW w:w="1759" w:type="dxa"/>
            <w:shd w:val="clear" w:color="auto" w:fill="auto"/>
          </w:tcPr>
          <w:p>
            <w:r>
              <w:t>5.58868278</w:t>
            </w:r>
          </w:p>
        </w:tc>
        <w:tc>
          <w:tcPr>
            <w:tcW w:w="998" w:type="dxa"/>
            <w:shd w:val="clear" w:color="auto" w:fill="auto"/>
          </w:tcPr>
          <w:p>
            <w:r>
              <w:t>-0.47729763</w:t>
            </w:r>
          </w:p>
        </w:tc>
        <w:tc>
          <w:tcPr>
            <w:tcW w:w="1270" w:type="dxa"/>
            <w:shd w:val="clear" w:color="auto" w:fill="auto"/>
          </w:tcPr>
          <w:p>
            <w:r>
              <w:t>2.58E-06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HAQ</w:t>
            </w:r>
          </w:p>
        </w:tc>
        <w:tc>
          <w:tcPr>
            <w:tcW w:w="1759" w:type="dxa"/>
            <w:shd w:val="clear" w:color="auto" w:fill="auto"/>
          </w:tcPr>
          <w:p>
            <w:r>
              <w:t>5.00758376</w:t>
            </w:r>
          </w:p>
        </w:tc>
        <w:tc>
          <w:tcPr>
            <w:tcW w:w="998" w:type="dxa"/>
            <w:shd w:val="clear" w:color="auto" w:fill="auto"/>
          </w:tcPr>
          <w:p>
            <w:r>
              <w:t>0.464260684</w:t>
            </w:r>
          </w:p>
        </w:tc>
        <w:tc>
          <w:tcPr>
            <w:tcW w:w="1270" w:type="dxa"/>
            <w:shd w:val="clear" w:color="auto" w:fill="auto"/>
          </w:tcPr>
          <w:p>
            <w:r>
              <w:t>9.83E-06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GDP</w:t>
            </w:r>
          </w:p>
        </w:tc>
        <w:tc>
          <w:tcPr>
            <w:tcW w:w="1759" w:type="dxa"/>
            <w:shd w:val="clear" w:color="auto" w:fill="auto"/>
          </w:tcPr>
          <w:p>
            <w:r>
              <w:t>4.64027317</w:t>
            </w:r>
          </w:p>
        </w:tc>
        <w:tc>
          <w:tcPr>
            <w:tcW w:w="998" w:type="dxa"/>
            <w:shd w:val="clear" w:color="auto" w:fill="auto"/>
          </w:tcPr>
          <w:p>
            <w:r>
              <w:t>0.441967341</w:t>
            </w:r>
          </w:p>
        </w:tc>
        <w:tc>
          <w:tcPr>
            <w:tcW w:w="1270" w:type="dxa"/>
            <w:shd w:val="clear" w:color="auto" w:fill="auto"/>
          </w:tcPr>
          <w:p>
            <w:r>
              <w:t>2.29E-05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International flight arrivals</w:t>
            </w:r>
          </w:p>
        </w:tc>
        <w:tc>
          <w:tcPr>
            <w:tcW w:w="1759" w:type="dxa"/>
            <w:shd w:val="clear" w:color="auto" w:fill="auto"/>
          </w:tcPr>
          <w:p>
            <w:r>
              <w:t>3.68510706</w:t>
            </w:r>
          </w:p>
        </w:tc>
        <w:tc>
          <w:tcPr>
            <w:tcW w:w="998" w:type="dxa"/>
            <w:shd w:val="clear" w:color="auto" w:fill="auto"/>
          </w:tcPr>
          <w:p>
            <w:r>
              <w:t>0.394273182</w:t>
            </w:r>
          </w:p>
        </w:tc>
        <w:tc>
          <w:tcPr>
            <w:tcW w:w="1270" w:type="dxa"/>
            <w:shd w:val="clear" w:color="auto" w:fill="auto"/>
          </w:tcPr>
          <w:p>
            <w:r>
              <w:t>0.00020649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IHR</w:t>
            </w:r>
          </w:p>
        </w:tc>
        <w:tc>
          <w:tcPr>
            <w:tcW w:w="1759" w:type="dxa"/>
            <w:shd w:val="clear" w:color="auto" w:fill="auto"/>
          </w:tcPr>
          <w:p>
            <w:r>
              <w:t>3.55998605</w:t>
            </w:r>
          </w:p>
        </w:tc>
        <w:tc>
          <w:tcPr>
            <w:tcW w:w="998" w:type="dxa"/>
            <w:shd w:val="clear" w:color="auto" w:fill="auto"/>
          </w:tcPr>
          <w:p>
            <w:r>
              <w:t>0.387080822</w:t>
            </w:r>
          </w:p>
        </w:tc>
        <w:tc>
          <w:tcPr>
            <w:tcW w:w="1270" w:type="dxa"/>
            <w:shd w:val="clear" w:color="auto" w:fill="auto"/>
          </w:tcPr>
          <w:p>
            <w:r>
              <w:t>0.00027543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MSM population size</w:t>
            </w:r>
          </w:p>
        </w:tc>
        <w:tc>
          <w:tcPr>
            <w:tcW w:w="1759" w:type="dxa"/>
            <w:shd w:val="clear" w:color="auto" w:fill="auto"/>
          </w:tcPr>
          <w:p>
            <w:r>
              <w:t>2.97178417</w:t>
            </w:r>
          </w:p>
        </w:tc>
        <w:tc>
          <w:tcPr>
            <w:tcW w:w="998" w:type="dxa"/>
            <w:shd w:val="clear" w:color="auto" w:fill="auto"/>
          </w:tcPr>
          <w:p>
            <w:r>
              <w:t>0.425850397</w:t>
            </w:r>
          </w:p>
        </w:tc>
        <w:tc>
          <w:tcPr>
            <w:tcW w:w="1270" w:type="dxa"/>
            <w:shd w:val="clear" w:color="auto" w:fill="auto"/>
          </w:tcPr>
          <w:p>
            <w:r>
              <w:t>0.00106713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COVID-19</w:t>
            </w:r>
          </w:p>
        </w:tc>
        <w:tc>
          <w:tcPr>
            <w:tcW w:w="1759" w:type="dxa"/>
            <w:shd w:val="clear" w:color="auto" w:fill="auto"/>
          </w:tcPr>
          <w:p>
            <w:r>
              <w:t>2.87926053</w:t>
            </w:r>
          </w:p>
        </w:tc>
        <w:tc>
          <w:tcPr>
            <w:tcW w:w="998" w:type="dxa"/>
            <w:shd w:val="clear" w:color="auto" w:fill="auto"/>
          </w:tcPr>
          <w:p>
            <w:r>
              <w:t>0.338957049</w:t>
            </w:r>
          </w:p>
        </w:tc>
        <w:tc>
          <w:tcPr>
            <w:tcW w:w="1270" w:type="dxa"/>
            <w:shd w:val="clear" w:color="auto" w:fill="auto"/>
          </w:tcPr>
          <w:p>
            <w:r>
              <w:t>0.0013205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Air passengers</w:t>
            </w:r>
          </w:p>
        </w:tc>
        <w:tc>
          <w:tcPr>
            <w:tcW w:w="1759" w:type="dxa"/>
            <w:shd w:val="clear" w:color="auto" w:fill="auto"/>
          </w:tcPr>
          <w:p>
            <w:r>
              <w:t>2.81688258</w:t>
            </w:r>
          </w:p>
        </w:tc>
        <w:tc>
          <w:tcPr>
            <w:tcW w:w="998" w:type="dxa"/>
            <w:shd w:val="clear" w:color="auto" w:fill="auto"/>
          </w:tcPr>
          <w:p>
            <w:r>
              <w:t>0.362078066</w:t>
            </w:r>
          </w:p>
        </w:tc>
        <w:tc>
          <w:tcPr>
            <w:tcW w:w="1270" w:type="dxa"/>
            <w:shd w:val="clear" w:color="auto" w:fill="auto"/>
          </w:tcPr>
          <w:p>
            <w:r>
              <w:t>0.00152447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Same sex marriage</w:t>
            </w:r>
          </w:p>
        </w:tc>
        <w:tc>
          <w:tcPr>
            <w:tcW w:w="2615" w:type="dxa"/>
            <w:shd w:val="clear" w:color="auto" w:fill="auto"/>
          </w:tcPr>
          <w:p>
            <w:r>
              <w:t>Overweight</w:t>
            </w:r>
          </w:p>
        </w:tc>
        <w:tc>
          <w:tcPr>
            <w:tcW w:w="1759" w:type="dxa"/>
            <w:shd w:val="clear" w:color="auto" w:fill="auto"/>
          </w:tcPr>
          <w:p>
            <w:r>
              <w:t>2.34314246</w:t>
            </w:r>
          </w:p>
        </w:tc>
        <w:tc>
          <w:tcPr>
            <w:tcW w:w="998" w:type="dxa"/>
            <w:shd w:val="clear" w:color="auto" w:fill="auto"/>
          </w:tcPr>
          <w:p>
            <w:r>
              <w:t>0.306758185</w:t>
            </w:r>
          </w:p>
        </w:tc>
        <w:tc>
          <w:tcPr>
            <w:tcW w:w="1270" w:type="dxa"/>
            <w:shd w:val="clear" w:color="auto" w:fill="auto"/>
          </w:tcPr>
          <w:p>
            <w:r>
              <w:t>0.00453793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Temperature</w:t>
            </w:r>
          </w:p>
        </w:tc>
        <w:tc>
          <w:tcPr>
            <w:tcW w:w="2615" w:type="dxa"/>
            <w:shd w:val="clear" w:color="auto" w:fill="auto"/>
          </w:tcPr>
          <w:p>
            <w:r>
              <w:t>Education</w:t>
            </w:r>
          </w:p>
        </w:tc>
        <w:tc>
          <w:tcPr>
            <w:tcW w:w="1759" w:type="dxa"/>
            <w:shd w:val="clear" w:color="auto" w:fill="auto"/>
          </w:tcPr>
          <w:p>
            <w:r>
              <w:t>9.47296056</w:t>
            </w:r>
          </w:p>
        </w:tc>
        <w:tc>
          <w:tcPr>
            <w:tcW w:w="998" w:type="dxa"/>
            <w:shd w:val="clear" w:color="auto" w:fill="auto"/>
          </w:tcPr>
          <w:p>
            <w:r>
              <w:t>-0.63153331</w:t>
            </w:r>
          </w:p>
        </w:tc>
        <w:tc>
          <w:tcPr>
            <w:tcW w:w="1270" w:type="dxa"/>
            <w:shd w:val="clear" w:color="auto" w:fill="auto"/>
          </w:tcPr>
          <w:p>
            <w:r>
              <w:t>3.37E-10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Temperature</w:t>
            </w:r>
          </w:p>
        </w:tc>
        <w:tc>
          <w:tcPr>
            <w:tcW w:w="2615" w:type="dxa"/>
            <w:shd w:val="clear" w:color="auto" w:fill="auto"/>
          </w:tcPr>
          <w:p>
            <w:r>
              <w:t>HAQ</w:t>
            </w:r>
          </w:p>
        </w:tc>
        <w:tc>
          <w:tcPr>
            <w:tcW w:w="1759" w:type="dxa"/>
            <w:shd w:val="clear" w:color="auto" w:fill="auto"/>
          </w:tcPr>
          <w:p>
            <w:r>
              <w:t>8.47839345</w:t>
            </w:r>
          </w:p>
        </w:tc>
        <w:tc>
          <w:tcPr>
            <w:tcW w:w="998" w:type="dxa"/>
            <w:shd w:val="clear" w:color="auto" w:fill="auto"/>
          </w:tcPr>
          <w:p>
            <w:r>
              <w:t>-0.6026572</w:t>
            </w:r>
          </w:p>
        </w:tc>
        <w:tc>
          <w:tcPr>
            <w:tcW w:w="1270" w:type="dxa"/>
            <w:shd w:val="clear" w:color="auto" w:fill="auto"/>
          </w:tcPr>
          <w:p>
            <w:r>
              <w:t>3.32E-09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Temperature</w:t>
            </w:r>
          </w:p>
        </w:tc>
        <w:tc>
          <w:tcPr>
            <w:tcW w:w="2615" w:type="dxa"/>
            <w:shd w:val="clear" w:color="auto" w:fill="auto"/>
          </w:tcPr>
          <w:p>
            <w:r>
              <w:t>Expenditure</w:t>
            </w:r>
          </w:p>
        </w:tc>
        <w:tc>
          <w:tcPr>
            <w:tcW w:w="1759" w:type="dxa"/>
            <w:shd w:val="clear" w:color="auto" w:fill="auto"/>
          </w:tcPr>
          <w:p>
            <w:r>
              <w:t>5.98788641</w:t>
            </w:r>
          </w:p>
        </w:tc>
        <w:tc>
          <w:tcPr>
            <w:tcW w:w="998" w:type="dxa"/>
            <w:shd w:val="clear" w:color="auto" w:fill="auto"/>
          </w:tcPr>
          <w:p>
            <w:r>
              <w:t>-0.51205122</w:t>
            </w:r>
          </w:p>
        </w:tc>
        <w:tc>
          <w:tcPr>
            <w:tcW w:w="1270" w:type="dxa"/>
            <w:shd w:val="clear" w:color="auto" w:fill="auto"/>
          </w:tcPr>
          <w:p>
            <w:r>
              <w:t>1.03E-06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Temperature</w:t>
            </w:r>
          </w:p>
        </w:tc>
        <w:tc>
          <w:tcPr>
            <w:tcW w:w="2615" w:type="dxa"/>
            <w:shd w:val="clear" w:color="auto" w:fill="auto"/>
          </w:tcPr>
          <w:p>
            <w:r>
              <w:t>MPXV biodiversity</w:t>
            </w:r>
          </w:p>
        </w:tc>
        <w:tc>
          <w:tcPr>
            <w:tcW w:w="1759" w:type="dxa"/>
            <w:shd w:val="clear" w:color="auto" w:fill="auto"/>
          </w:tcPr>
          <w:p>
            <w:r>
              <w:t>3.50136565</w:t>
            </w:r>
          </w:p>
        </w:tc>
        <w:tc>
          <w:tcPr>
            <w:tcW w:w="998" w:type="dxa"/>
            <w:shd w:val="clear" w:color="auto" w:fill="auto"/>
          </w:tcPr>
          <w:p>
            <w:r>
              <w:t>0.38150111</w:t>
            </w:r>
          </w:p>
        </w:tc>
        <w:tc>
          <w:tcPr>
            <w:tcW w:w="1270" w:type="dxa"/>
            <w:shd w:val="clear" w:color="auto" w:fill="auto"/>
          </w:tcPr>
          <w:p>
            <w:r>
              <w:t>0.00031524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63" w:type="dxa"/>
            <w:shd w:val="clear" w:color="auto" w:fill="auto"/>
          </w:tcPr>
          <w:p>
            <w:r>
              <w:t>Temperature</w:t>
            </w:r>
          </w:p>
        </w:tc>
        <w:tc>
          <w:tcPr>
            <w:tcW w:w="2615" w:type="dxa"/>
            <w:shd w:val="clear" w:color="auto" w:fill="auto"/>
          </w:tcPr>
          <w:p>
            <w:r>
              <w:t>HIV</w:t>
            </w:r>
          </w:p>
        </w:tc>
        <w:tc>
          <w:tcPr>
            <w:tcW w:w="1759" w:type="dxa"/>
            <w:shd w:val="clear" w:color="auto" w:fill="auto"/>
          </w:tcPr>
          <w:p>
            <w:r>
              <w:t>2.88292014</w:t>
            </w:r>
          </w:p>
        </w:tc>
        <w:tc>
          <w:tcPr>
            <w:tcW w:w="998" w:type="dxa"/>
            <w:shd w:val="clear" w:color="auto" w:fill="auto"/>
          </w:tcPr>
          <w:p>
            <w:r>
              <w:t>0.347004744</w:t>
            </w:r>
          </w:p>
        </w:tc>
        <w:tc>
          <w:tcPr>
            <w:tcW w:w="1270" w:type="dxa"/>
            <w:shd w:val="clear" w:color="auto" w:fill="auto"/>
          </w:tcPr>
          <w:p>
            <w:r>
              <w:t>0.00130942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863" w:type="dxa"/>
            <w:shd w:val="clear" w:color="auto" w:fill="auto"/>
          </w:tcPr>
          <w:p>
            <w:r>
              <w:t>Temperature</w:t>
            </w:r>
          </w:p>
        </w:tc>
        <w:tc>
          <w:tcPr>
            <w:tcW w:w="2615" w:type="dxa"/>
            <w:shd w:val="clear" w:color="auto" w:fill="auto"/>
          </w:tcPr>
          <w:p>
            <w:r>
              <w:t>COVID-19</w:t>
            </w:r>
          </w:p>
        </w:tc>
        <w:tc>
          <w:tcPr>
            <w:tcW w:w="1759" w:type="dxa"/>
            <w:shd w:val="clear" w:color="auto" w:fill="auto"/>
          </w:tcPr>
          <w:p>
            <w:r>
              <w:t>2.3726598</w:t>
            </w:r>
          </w:p>
        </w:tc>
        <w:tc>
          <w:tcPr>
            <w:tcW w:w="998" w:type="dxa"/>
            <w:shd w:val="clear" w:color="auto" w:fill="auto"/>
          </w:tcPr>
          <w:p>
            <w:r>
              <w:t>-0.30898046</w:t>
            </w:r>
          </w:p>
        </w:tc>
        <w:tc>
          <w:tcPr>
            <w:tcW w:w="1270" w:type="dxa"/>
            <w:shd w:val="clear" w:color="auto" w:fill="auto"/>
          </w:tcPr>
          <w:p>
            <w:r>
              <w:t>0.00423975</w:t>
            </w:r>
          </w:p>
        </w:tc>
      </w:tr>
    </w:tbl>
    <w:p/>
    <w:p>
      <w:r>
        <w:t>MPX, monkeypox; GDP, gross domestic product; MSM, men who have sex with men; MPXV, monkeypox virus; HIV, Human Immunodeficiency Virus; COVID-19, coronavirus disease 2019; HAQ, Healthcare Access and Quality; IHR, International Health Regulations</w:t>
      </w:r>
    </w:p>
    <w:p/>
    <w:p/>
    <w:p/>
    <w:tbl>
      <w:tblPr>
        <w:tblStyle w:val="22"/>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2188"/>
        <w:gridCol w:w="1675"/>
        <w:gridCol w:w="1310"/>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520" w:type="dxa"/>
            <w:gridSpan w:val="2"/>
            <w:shd w:val="clear" w:color="auto" w:fill="auto"/>
          </w:tcPr>
          <w:p>
            <w:r>
              <w:t>C: Variable in all infected countries during 2001-2021</w:t>
            </w:r>
          </w:p>
        </w:tc>
        <w:tc>
          <w:tcPr>
            <w:tcW w:w="1712" w:type="dxa"/>
            <w:shd w:val="clear" w:color="auto" w:fill="auto"/>
          </w:tcPr>
          <w:p>
            <w:r>
              <w:t>Weight</w:t>
            </w:r>
          </w:p>
        </w:tc>
        <w:tc>
          <w:tcPr>
            <w:tcW w:w="1148" w:type="dxa"/>
            <w:shd w:val="clear" w:color="auto" w:fill="auto"/>
          </w:tcPr>
          <w:p>
            <w:r>
              <w:t>Correlation r</w:t>
            </w:r>
          </w:p>
        </w:tc>
        <w:tc>
          <w:tcPr>
            <w:tcW w:w="1400" w:type="dxa"/>
            <w:shd w:val="clear" w:color="auto" w:fill="auto"/>
          </w:tcPr>
          <w:p>
            <w:r>
              <w:t>P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Monkeypox</w:t>
            </w:r>
          </w:p>
        </w:tc>
        <w:tc>
          <w:tcPr>
            <w:tcW w:w="2240" w:type="dxa"/>
            <w:shd w:val="clear" w:color="auto" w:fill="auto"/>
          </w:tcPr>
          <w:p>
            <w:r>
              <w:t>HIV</w:t>
            </w:r>
          </w:p>
        </w:tc>
        <w:tc>
          <w:tcPr>
            <w:tcW w:w="1712" w:type="dxa"/>
            <w:shd w:val="clear" w:color="auto" w:fill="auto"/>
          </w:tcPr>
          <w:p>
            <w:r>
              <w:t>2.458114</w:t>
            </w:r>
          </w:p>
        </w:tc>
        <w:tc>
          <w:tcPr>
            <w:tcW w:w="1148" w:type="dxa"/>
            <w:shd w:val="clear" w:color="auto" w:fill="auto"/>
          </w:tcPr>
          <w:p>
            <w:r>
              <w:t>0.794529</w:t>
            </w:r>
          </w:p>
        </w:tc>
        <w:tc>
          <w:tcPr>
            <w:tcW w:w="1400" w:type="dxa"/>
            <w:shd w:val="clear" w:color="auto" w:fill="auto"/>
          </w:tcPr>
          <w:p>
            <w:r>
              <w:t>0.003482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Monkeypox</w:t>
            </w:r>
          </w:p>
        </w:tc>
        <w:tc>
          <w:tcPr>
            <w:tcW w:w="2240" w:type="dxa"/>
            <w:shd w:val="clear" w:color="auto" w:fill="auto"/>
          </w:tcPr>
          <w:p>
            <w:r>
              <w:t>Population density</w:t>
            </w:r>
          </w:p>
        </w:tc>
        <w:tc>
          <w:tcPr>
            <w:tcW w:w="1712" w:type="dxa"/>
            <w:shd w:val="clear" w:color="auto" w:fill="auto"/>
          </w:tcPr>
          <w:p>
            <w:r>
              <w:t>1.509597</w:t>
            </w:r>
          </w:p>
        </w:tc>
        <w:tc>
          <w:tcPr>
            <w:tcW w:w="1148" w:type="dxa"/>
            <w:shd w:val="clear" w:color="auto" w:fill="auto"/>
          </w:tcPr>
          <w:p>
            <w:r>
              <w:t>-0.648409</w:t>
            </w:r>
          </w:p>
        </w:tc>
        <w:tc>
          <w:tcPr>
            <w:tcW w:w="1400" w:type="dxa"/>
            <w:shd w:val="clear" w:color="auto" w:fill="auto"/>
          </w:tcPr>
          <w:p>
            <w:r>
              <w:t>0.030932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Air passenger</w:t>
            </w:r>
          </w:p>
        </w:tc>
        <w:tc>
          <w:tcPr>
            <w:tcW w:w="1712" w:type="dxa"/>
            <w:shd w:val="clear" w:color="auto" w:fill="auto"/>
          </w:tcPr>
          <w:p>
            <w:r>
              <w:t>1.43708</w:t>
            </w:r>
          </w:p>
        </w:tc>
        <w:tc>
          <w:tcPr>
            <w:tcW w:w="1148" w:type="dxa"/>
            <w:shd w:val="clear" w:color="auto" w:fill="auto"/>
          </w:tcPr>
          <w:p>
            <w:r>
              <w:t>-0.738095</w:t>
            </w:r>
          </w:p>
        </w:tc>
        <w:tc>
          <w:tcPr>
            <w:tcW w:w="1400" w:type="dxa"/>
            <w:shd w:val="clear" w:color="auto" w:fill="auto"/>
          </w:tcPr>
          <w:p>
            <w:r>
              <w:t>0.036553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Aged under 40 </w:t>
            </w:r>
          </w:p>
        </w:tc>
        <w:tc>
          <w:tcPr>
            <w:tcW w:w="2240" w:type="dxa"/>
            <w:shd w:val="clear" w:color="auto" w:fill="auto"/>
          </w:tcPr>
          <w:p>
            <w:r>
              <w:t>MPXV Biodiversity</w:t>
            </w:r>
          </w:p>
        </w:tc>
        <w:tc>
          <w:tcPr>
            <w:tcW w:w="1712" w:type="dxa"/>
            <w:shd w:val="clear" w:color="auto" w:fill="auto"/>
          </w:tcPr>
          <w:p>
            <w:r>
              <w:t>1.897685</w:t>
            </w:r>
          </w:p>
        </w:tc>
        <w:tc>
          <w:tcPr>
            <w:tcW w:w="1148" w:type="dxa"/>
            <w:shd w:val="clear" w:color="auto" w:fill="auto"/>
          </w:tcPr>
          <w:p>
            <w:r>
              <w:t>0.718963</w:t>
            </w:r>
          </w:p>
        </w:tc>
        <w:tc>
          <w:tcPr>
            <w:tcW w:w="1400" w:type="dxa"/>
            <w:shd w:val="clear" w:color="auto" w:fill="auto"/>
          </w:tcPr>
          <w:p>
            <w:r>
              <w:t>0.012657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COVID-19</w:t>
            </w:r>
          </w:p>
        </w:tc>
        <w:tc>
          <w:tcPr>
            <w:tcW w:w="1712" w:type="dxa"/>
            <w:shd w:val="clear" w:color="auto" w:fill="auto"/>
          </w:tcPr>
          <w:p>
            <w:r>
              <w:t>1.452385</w:t>
            </w:r>
          </w:p>
        </w:tc>
        <w:tc>
          <w:tcPr>
            <w:tcW w:w="1148" w:type="dxa"/>
            <w:shd w:val="clear" w:color="auto" w:fill="auto"/>
          </w:tcPr>
          <w:p>
            <w:r>
              <w:t>-0.636364</w:t>
            </w:r>
          </w:p>
        </w:tc>
        <w:tc>
          <w:tcPr>
            <w:tcW w:w="1400" w:type="dxa"/>
            <w:shd w:val="clear" w:color="auto" w:fill="auto"/>
          </w:tcPr>
          <w:p>
            <w:r>
              <w:t>0.035287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Aged under 40 </w:t>
            </w:r>
          </w:p>
        </w:tc>
        <w:tc>
          <w:tcPr>
            <w:tcW w:w="2240" w:type="dxa"/>
            <w:shd w:val="clear" w:color="auto" w:fill="auto"/>
          </w:tcPr>
          <w:p>
            <w:r>
              <w:t>Expenditure</w:t>
            </w:r>
          </w:p>
        </w:tc>
        <w:tc>
          <w:tcPr>
            <w:tcW w:w="1712" w:type="dxa"/>
            <w:shd w:val="clear" w:color="auto" w:fill="auto"/>
          </w:tcPr>
          <w:p>
            <w:r>
              <w:t>2.681281</w:t>
            </w:r>
          </w:p>
        </w:tc>
        <w:tc>
          <w:tcPr>
            <w:tcW w:w="1148" w:type="dxa"/>
            <w:shd w:val="clear" w:color="auto" w:fill="auto"/>
          </w:tcPr>
          <w:p>
            <w:r>
              <w:t>-0.818182</w:t>
            </w:r>
          </w:p>
        </w:tc>
        <w:tc>
          <w:tcPr>
            <w:tcW w:w="1400" w:type="dxa"/>
            <w:shd w:val="clear" w:color="auto" w:fill="auto"/>
          </w:tcPr>
          <w:p>
            <w:r>
              <w:t>0.002083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HAQ</w:t>
            </w:r>
          </w:p>
        </w:tc>
        <w:tc>
          <w:tcPr>
            <w:tcW w:w="1712" w:type="dxa"/>
            <w:shd w:val="clear" w:color="auto" w:fill="auto"/>
          </w:tcPr>
          <w:p>
            <w:r>
              <w:t>3.481264</w:t>
            </w:r>
          </w:p>
        </w:tc>
        <w:tc>
          <w:tcPr>
            <w:tcW w:w="1148" w:type="dxa"/>
            <w:shd w:val="clear" w:color="auto" w:fill="auto"/>
          </w:tcPr>
          <w:p>
            <w:r>
              <w:t>-0.881818</w:t>
            </w:r>
          </w:p>
        </w:tc>
        <w:tc>
          <w:tcPr>
            <w:tcW w:w="1400" w:type="dxa"/>
            <w:shd w:val="clear" w:color="auto" w:fill="auto"/>
          </w:tcPr>
          <w:p>
            <w:r>
              <w:t>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IHR</w:t>
            </w:r>
          </w:p>
        </w:tc>
        <w:tc>
          <w:tcPr>
            <w:tcW w:w="1712" w:type="dxa"/>
            <w:shd w:val="clear" w:color="auto" w:fill="auto"/>
          </w:tcPr>
          <w:p>
            <w:r>
              <w:t>2.426423</w:t>
            </w:r>
          </w:p>
        </w:tc>
        <w:tc>
          <w:tcPr>
            <w:tcW w:w="1148" w:type="dxa"/>
            <w:shd w:val="clear" w:color="auto" w:fill="auto"/>
          </w:tcPr>
          <w:p>
            <w:r>
              <w:t>-0.790909</w:t>
            </w:r>
          </w:p>
        </w:tc>
        <w:tc>
          <w:tcPr>
            <w:tcW w:w="1400" w:type="dxa"/>
            <w:shd w:val="clear" w:color="auto" w:fill="auto"/>
          </w:tcPr>
          <w:p>
            <w:r>
              <w:t>0.003746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Overweight</w:t>
            </w:r>
          </w:p>
        </w:tc>
        <w:tc>
          <w:tcPr>
            <w:tcW w:w="1712" w:type="dxa"/>
            <w:shd w:val="clear" w:color="auto" w:fill="auto"/>
          </w:tcPr>
          <w:p>
            <w:r>
              <w:t>2.786004</w:t>
            </w:r>
          </w:p>
        </w:tc>
        <w:tc>
          <w:tcPr>
            <w:tcW w:w="1148" w:type="dxa"/>
            <w:shd w:val="clear" w:color="auto" w:fill="auto"/>
          </w:tcPr>
          <w:p>
            <w:r>
              <w:t>-0.854545</w:t>
            </w:r>
          </w:p>
        </w:tc>
        <w:tc>
          <w:tcPr>
            <w:tcW w:w="1400" w:type="dxa"/>
            <w:shd w:val="clear" w:color="auto" w:fill="auto"/>
          </w:tcPr>
          <w:p>
            <w:r>
              <w:t>0.001637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Aged under 40 </w:t>
            </w:r>
          </w:p>
        </w:tc>
        <w:tc>
          <w:tcPr>
            <w:tcW w:w="2240" w:type="dxa"/>
            <w:shd w:val="clear" w:color="auto" w:fill="auto"/>
          </w:tcPr>
          <w:p>
            <w:r>
              <w:t>Education</w:t>
            </w:r>
          </w:p>
        </w:tc>
        <w:tc>
          <w:tcPr>
            <w:tcW w:w="1712" w:type="dxa"/>
            <w:shd w:val="clear" w:color="auto" w:fill="auto"/>
          </w:tcPr>
          <w:p>
            <w:r>
              <w:t>1.731304</w:t>
            </w:r>
          </w:p>
        </w:tc>
        <w:tc>
          <w:tcPr>
            <w:tcW w:w="1148" w:type="dxa"/>
            <w:shd w:val="clear" w:color="auto" w:fill="auto"/>
          </w:tcPr>
          <w:p>
            <w:r>
              <w:t>-0.690909</w:t>
            </w:r>
          </w:p>
        </w:tc>
        <w:tc>
          <w:tcPr>
            <w:tcW w:w="1400" w:type="dxa"/>
            <w:shd w:val="clear" w:color="auto" w:fill="auto"/>
          </w:tcPr>
          <w:p>
            <w:r>
              <w:t>0.018565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Air passenger</w:t>
            </w:r>
          </w:p>
        </w:tc>
        <w:tc>
          <w:tcPr>
            <w:tcW w:w="2240" w:type="dxa"/>
            <w:shd w:val="clear" w:color="auto" w:fill="auto"/>
          </w:tcPr>
          <w:p>
            <w:r>
              <w:t>Expenditure</w:t>
            </w:r>
          </w:p>
        </w:tc>
        <w:tc>
          <w:tcPr>
            <w:tcW w:w="1712" w:type="dxa"/>
            <w:shd w:val="clear" w:color="auto" w:fill="auto"/>
          </w:tcPr>
          <w:p>
            <w:r>
              <w:t>3.064005</w:t>
            </w:r>
          </w:p>
        </w:tc>
        <w:tc>
          <w:tcPr>
            <w:tcW w:w="1148" w:type="dxa"/>
            <w:shd w:val="clear" w:color="auto" w:fill="auto"/>
          </w:tcPr>
          <w:p>
            <w:r>
              <w:t>0.928571</w:t>
            </w:r>
          </w:p>
        </w:tc>
        <w:tc>
          <w:tcPr>
            <w:tcW w:w="1400" w:type="dxa"/>
            <w:shd w:val="clear" w:color="auto" w:fill="auto"/>
          </w:tcPr>
          <w:p>
            <w:r>
              <w:t>0.000863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Air passenger</w:t>
            </w:r>
          </w:p>
        </w:tc>
        <w:tc>
          <w:tcPr>
            <w:tcW w:w="2240" w:type="dxa"/>
            <w:shd w:val="clear" w:color="auto" w:fill="auto"/>
          </w:tcPr>
          <w:p>
            <w:r>
              <w:t>Overweight</w:t>
            </w:r>
          </w:p>
        </w:tc>
        <w:tc>
          <w:tcPr>
            <w:tcW w:w="1712" w:type="dxa"/>
            <w:shd w:val="clear" w:color="auto" w:fill="auto"/>
          </w:tcPr>
          <w:p>
            <w:r>
              <w:t>1.44083</w:t>
            </w:r>
          </w:p>
        </w:tc>
        <w:tc>
          <w:tcPr>
            <w:tcW w:w="1148" w:type="dxa"/>
            <w:shd w:val="clear" w:color="auto" w:fill="auto"/>
          </w:tcPr>
          <w:p>
            <w:r>
              <w:t>0.785714</w:t>
            </w:r>
          </w:p>
        </w:tc>
        <w:tc>
          <w:tcPr>
            <w:tcW w:w="1400" w:type="dxa"/>
            <w:shd w:val="clear" w:color="auto" w:fill="auto"/>
          </w:tcPr>
          <w:p>
            <w:r>
              <w:t>0.036238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Air passenger</w:t>
            </w:r>
          </w:p>
        </w:tc>
        <w:tc>
          <w:tcPr>
            <w:tcW w:w="2240" w:type="dxa"/>
            <w:shd w:val="clear" w:color="auto" w:fill="auto"/>
          </w:tcPr>
          <w:p>
            <w:r>
              <w:t>Education</w:t>
            </w:r>
          </w:p>
        </w:tc>
        <w:tc>
          <w:tcPr>
            <w:tcW w:w="1712" w:type="dxa"/>
            <w:shd w:val="clear" w:color="auto" w:fill="auto"/>
          </w:tcPr>
          <w:p>
            <w:r>
              <w:t>1.332283</w:t>
            </w:r>
          </w:p>
        </w:tc>
        <w:tc>
          <w:tcPr>
            <w:tcW w:w="1148" w:type="dxa"/>
            <w:shd w:val="clear" w:color="auto" w:fill="auto"/>
          </w:tcPr>
          <w:p>
            <w:r>
              <w:t>0.714286</w:t>
            </w:r>
          </w:p>
        </w:tc>
        <w:tc>
          <w:tcPr>
            <w:tcW w:w="1400" w:type="dxa"/>
            <w:shd w:val="clear" w:color="auto" w:fill="auto"/>
          </w:tcPr>
          <w:p>
            <w:r>
              <w:t>0.046528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MPXV Biodiversity</w:t>
            </w:r>
          </w:p>
        </w:tc>
        <w:tc>
          <w:tcPr>
            <w:tcW w:w="2240" w:type="dxa"/>
            <w:shd w:val="clear" w:color="auto" w:fill="auto"/>
          </w:tcPr>
          <w:p>
            <w:r>
              <w:t>Air passenger</w:t>
            </w:r>
          </w:p>
        </w:tc>
        <w:tc>
          <w:tcPr>
            <w:tcW w:w="1712" w:type="dxa"/>
            <w:shd w:val="clear" w:color="auto" w:fill="auto"/>
          </w:tcPr>
          <w:p>
            <w:r>
              <w:t>2.746738</w:t>
            </w:r>
          </w:p>
        </w:tc>
        <w:tc>
          <w:tcPr>
            <w:tcW w:w="1148" w:type="dxa"/>
            <w:shd w:val="clear" w:color="auto" w:fill="auto"/>
          </w:tcPr>
          <w:p>
            <w:r>
              <w:t>-0.908403</w:t>
            </w:r>
          </w:p>
        </w:tc>
        <w:tc>
          <w:tcPr>
            <w:tcW w:w="1400" w:type="dxa"/>
            <w:shd w:val="clear" w:color="auto" w:fill="auto"/>
          </w:tcPr>
          <w:p>
            <w:r>
              <w:t>0.001792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MPXV Biodiversity</w:t>
            </w:r>
          </w:p>
        </w:tc>
        <w:tc>
          <w:tcPr>
            <w:tcW w:w="2240" w:type="dxa"/>
            <w:shd w:val="clear" w:color="auto" w:fill="auto"/>
          </w:tcPr>
          <w:p>
            <w:r>
              <w:t>Expenditure</w:t>
            </w:r>
          </w:p>
        </w:tc>
        <w:tc>
          <w:tcPr>
            <w:tcW w:w="1712" w:type="dxa"/>
            <w:shd w:val="clear" w:color="auto" w:fill="auto"/>
          </w:tcPr>
          <w:p>
            <w:r>
              <w:t>2.800141</w:t>
            </w:r>
          </w:p>
        </w:tc>
        <w:tc>
          <w:tcPr>
            <w:tcW w:w="1148" w:type="dxa"/>
            <w:shd w:val="clear" w:color="auto" w:fill="auto"/>
          </w:tcPr>
          <w:p>
            <w:r>
              <w:t>-0.829572</w:t>
            </w:r>
          </w:p>
        </w:tc>
        <w:tc>
          <w:tcPr>
            <w:tcW w:w="1400" w:type="dxa"/>
            <w:shd w:val="clear" w:color="auto" w:fill="auto"/>
          </w:tcPr>
          <w:p>
            <w:r>
              <w:t>0.001584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MPXV Biodiversity</w:t>
            </w:r>
          </w:p>
        </w:tc>
        <w:tc>
          <w:tcPr>
            <w:tcW w:w="2240" w:type="dxa"/>
            <w:shd w:val="clear" w:color="auto" w:fill="auto"/>
          </w:tcPr>
          <w:p>
            <w:r>
              <w:t>Overweight</w:t>
            </w:r>
          </w:p>
        </w:tc>
        <w:tc>
          <w:tcPr>
            <w:tcW w:w="1712" w:type="dxa"/>
            <w:shd w:val="clear" w:color="auto" w:fill="auto"/>
          </w:tcPr>
          <w:p>
            <w:r>
              <w:t>1.415628</w:t>
            </w:r>
          </w:p>
        </w:tc>
        <w:tc>
          <w:tcPr>
            <w:tcW w:w="1148" w:type="dxa"/>
            <w:shd w:val="clear" w:color="auto" w:fill="auto"/>
          </w:tcPr>
          <w:p>
            <w:r>
              <w:t>-0.658539</w:t>
            </w:r>
          </w:p>
        </w:tc>
        <w:tc>
          <w:tcPr>
            <w:tcW w:w="1400" w:type="dxa"/>
            <w:shd w:val="clear" w:color="auto" w:fill="auto"/>
          </w:tcPr>
          <w:p>
            <w:r>
              <w:t>0.038404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MPXV Biodiversity</w:t>
            </w:r>
          </w:p>
        </w:tc>
        <w:tc>
          <w:tcPr>
            <w:tcW w:w="2240" w:type="dxa"/>
            <w:shd w:val="clear" w:color="auto" w:fill="auto"/>
          </w:tcPr>
          <w:p>
            <w:r>
              <w:t>Education</w:t>
            </w:r>
          </w:p>
        </w:tc>
        <w:tc>
          <w:tcPr>
            <w:tcW w:w="1712" w:type="dxa"/>
            <w:shd w:val="clear" w:color="auto" w:fill="auto"/>
          </w:tcPr>
          <w:p>
            <w:r>
              <w:t>1.347366</w:t>
            </w:r>
          </w:p>
        </w:tc>
        <w:tc>
          <w:tcPr>
            <w:tcW w:w="1148" w:type="dxa"/>
            <w:shd w:val="clear" w:color="auto" w:fill="auto"/>
          </w:tcPr>
          <w:p>
            <w:r>
              <w:t>-0.612962</w:t>
            </w:r>
          </w:p>
        </w:tc>
        <w:tc>
          <w:tcPr>
            <w:tcW w:w="1400" w:type="dxa"/>
            <w:shd w:val="clear" w:color="auto" w:fill="auto"/>
          </w:tcPr>
          <w:p>
            <w:r>
              <w:t>0.04494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COVID-19</w:t>
            </w:r>
          </w:p>
        </w:tc>
        <w:tc>
          <w:tcPr>
            <w:tcW w:w="2240" w:type="dxa"/>
            <w:shd w:val="clear" w:color="auto" w:fill="auto"/>
          </w:tcPr>
          <w:p>
            <w:r>
              <w:t>Air passenger</w:t>
            </w:r>
          </w:p>
        </w:tc>
        <w:tc>
          <w:tcPr>
            <w:tcW w:w="1712" w:type="dxa"/>
            <w:shd w:val="clear" w:color="auto" w:fill="auto"/>
          </w:tcPr>
          <w:p>
            <w:r>
              <w:t>3.584359</w:t>
            </w:r>
          </w:p>
        </w:tc>
        <w:tc>
          <w:tcPr>
            <w:tcW w:w="1148" w:type="dxa"/>
            <w:shd w:val="clear" w:color="auto" w:fill="auto"/>
          </w:tcPr>
          <w:p>
            <w:r>
              <w:t>0.952381</w:t>
            </w:r>
          </w:p>
        </w:tc>
        <w:tc>
          <w:tcPr>
            <w:tcW w:w="1400" w:type="dxa"/>
            <w:shd w:val="clear" w:color="auto" w:fill="auto"/>
          </w:tcPr>
          <w:p>
            <w:r>
              <w:t>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COVID-19</w:t>
            </w:r>
          </w:p>
        </w:tc>
        <w:tc>
          <w:tcPr>
            <w:tcW w:w="2240" w:type="dxa"/>
            <w:shd w:val="clear" w:color="auto" w:fill="auto"/>
          </w:tcPr>
          <w:p>
            <w:r>
              <w:t>MPXV Biodiversity</w:t>
            </w:r>
          </w:p>
        </w:tc>
        <w:tc>
          <w:tcPr>
            <w:tcW w:w="1712" w:type="dxa"/>
            <w:shd w:val="clear" w:color="auto" w:fill="auto"/>
          </w:tcPr>
          <w:p>
            <w:r>
              <w:t>2.703331</w:t>
            </w:r>
          </w:p>
        </w:tc>
        <w:tc>
          <w:tcPr>
            <w:tcW w:w="1148" w:type="dxa"/>
            <w:shd w:val="clear" w:color="auto" w:fill="auto"/>
          </w:tcPr>
          <w:p>
            <w:r>
              <w:t>-0.820355</w:t>
            </w:r>
          </w:p>
        </w:tc>
        <w:tc>
          <w:tcPr>
            <w:tcW w:w="1400" w:type="dxa"/>
            <w:shd w:val="clear" w:color="auto" w:fill="auto"/>
          </w:tcPr>
          <w:p>
            <w:r>
              <w:t>0.00198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COVID-19</w:t>
            </w:r>
          </w:p>
        </w:tc>
        <w:tc>
          <w:tcPr>
            <w:tcW w:w="2240" w:type="dxa"/>
            <w:shd w:val="clear" w:color="auto" w:fill="auto"/>
          </w:tcPr>
          <w:p>
            <w:r>
              <w:t>Expenditure</w:t>
            </w:r>
          </w:p>
        </w:tc>
        <w:tc>
          <w:tcPr>
            <w:tcW w:w="1712" w:type="dxa"/>
            <w:shd w:val="clear" w:color="auto" w:fill="auto"/>
          </w:tcPr>
          <w:p>
            <w:r>
              <w:t>2.50718</w:t>
            </w:r>
          </w:p>
        </w:tc>
        <w:tc>
          <w:tcPr>
            <w:tcW w:w="1148" w:type="dxa"/>
            <w:shd w:val="clear" w:color="auto" w:fill="auto"/>
          </w:tcPr>
          <w:p>
            <w:r>
              <w:t>0.8</w:t>
            </w:r>
          </w:p>
        </w:tc>
        <w:tc>
          <w:tcPr>
            <w:tcW w:w="1400" w:type="dxa"/>
            <w:shd w:val="clear" w:color="auto" w:fill="auto"/>
          </w:tcPr>
          <w:p>
            <w:r>
              <w:t>0.00311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COVID-19</w:t>
            </w:r>
          </w:p>
        </w:tc>
        <w:tc>
          <w:tcPr>
            <w:tcW w:w="2240" w:type="dxa"/>
            <w:shd w:val="clear" w:color="auto" w:fill="auto"/>
          </w:tcPr>
          <w:p>
            <w:r>
              <w:t>Overweight</w:t>
            </w:r>
          </w:p>
        </w:tc>
        <w:tc>
          <w:tcPr>
            <w:tcW w:w="1712" w:type="dxa"/>
            <w:shd w:val="clear" w:color="auto" w:fill="auto"/>
          </w:tcPr>
          <w:p>
            <w:r>
              <w:t>1.600384</w:t>
            </w:r>
          </w:p>
        </w:tc>
        <w:tc>
          <w:tcPr>
            <w:tcW w:w="1148" w:type="dxa"/>
            <w:shd w:val="clear" w:color="auto" w:fill="auto"/>
          </w:tcPr>
          <w:p>
            <w:r>
              <w:t>0.69697</w:t>
            </w:r>
          </w:p>
        </w:tc>
        <w:tc>
          <w:tcPr>
            <w:tcW w:w="1400" w:type="dxa"/>
            <w:shd w:val="clear" w:color="auto" w:fill="auto"/>
          </w:tcPr>
          <w:p>
            <w:r>
              <w:t>0.025097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COVID-19</w:t>
            </w:r>
          </w:p>
        </w:tc>
        <w:tc>
          <w:tcPr>
            <w:tcW w:w="2240" w:type="dxa"/>
            <w:shd w:val="clear" w:color="auto" w:fill="auto"/>
          </w:tcPr>
          <w:p>
            <w:r>
              <w:t>Education</w:t>
            </w:r>
          </w:p>
        </w:tc>
        <w:tc>
          <w:tcPr>
            <w:tcW w:w="1712" w:type="dxa"/>
            <w:shd w:val="clear" w:color="auto" w:fill="auto"/>
          </w:tcPr>
          <w:p>
            <w:r>
              <w:t>2.980808</w:t>
            </w:r>
          </w:p>
        </w:tc>
        <w:tc>
          <w:tcPr>
            <w:tcW w:w="1148" w:type="dxa"/>
            <w:shd w:val="clear" w:color="auto" w:fill="auto"/>
          </w:tcPr>
          <w:p>
            <w:r>
              <w:t>0.845455</w:t>
            </w:r>
          </w:p>
        </w:tc>
        <w:tc>
          <w:tcPr>
            <w:tcW w:w="1400" w:type="dxa"/>
            <w:shd w:val="clear" w:color="auto" w:fill="auto"/>
          </w:tcPr>
          <w:p>
            <w:r>
              <w:t>0.001045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Forest area</w:t>
            </w:r>
          </w:p>
        </w:tc>
        <w:tc>
          <w:tcPr>
            <w:tcW w:w="2240" w:type="dxa"/>
            <w:shd w:val="clear" w:color="auto" w:fill="auto"/>
          </w:tcPr>
          <w:p>
            <w:r>
              <w:t>MPXV Biodiversity</w:t>
            </w:r>
          </w:p>
        </w:tc>
        <w:tc>
          <w:tcPr>
            <w:tcW w:w="1712" w:type="dxa"/>
            <w:shd w:val="clear" w:color="auto" w:fill="auto"/>
          </w:tcPr>
          <w:p>
            <w:r>
              <w:t>2.21606</w:t>
            </w:r>
          </w:p>
        </w:tc>
        <w:tc>
          <w:tcPr>
            <w:tcW w:w="1148" w:type="dxa"/>
            <w:shd w:val="clear" w:color="auto" w:fill="auto"/>
          </w:tcPr>
          <w:p>
            <w:r>
              <w:t>0.76505</w:t>
            </w:r>
          </w:p>
        </w:tc>
        <w:tc>
          <w:tcPr>
            <w:tcW w:w="1400" w:type="dxa"/>
            <w:shd w:val="clear" w:color="auto" w:fill="auto"/>
          </w:tcPr>
          <w:p>
            <w:r>
              <w:t>0.006081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Forest area</w:t>
            </w:r>
          </w:p>
        </w:tc>
        <w:tc>
          <w:tcPr>
            <w:tcW w:w="2240" w:type="dxa"/>
            <w:shd w:val="clear" w:color="auto" w:fill="auto"/>
          </w:tcPr>
          <w:p>
            <w:r>
              <w:t>COVID-19</w:t>
            </w:r>
          </w:p>
        </w:tc>
        <w:tc>
          <w:tcPr>
            <w:tcW w:w="1712" w:type="dxa"/>
            <w:shd w:val="clear" w:color="auto" w:fill="auto"/>
          </w:tcPr>
          <w:p>
            <w:r>
              <w:t>1.539634</w:t>
            </w:r>
          </w:p>
        </w:tc>
        <w:tc>
          <w:tcPr>
            <w:tcW w:w="1148" w:type="dxa"/>
            <w:shd w:val="clear" w:color="auto" w:fill="auto"/>
          </w:tcPr>
          <w:p>
            <w:r>
              <w:t>-0.654545</w:t>
            </w:r>
          </w:p>
        </w:tc>
        <w:tc>
          <w:tcPr>
            <w:tcW w:w="1400" w:type="dxa"/>
            <w:shd w:val="clear" w:color="auto" w:fill="auto"/>
          </w:tcPr>
          <w:p>
            <w:r>
              <w:t>0.028865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Forest area</w:t>
            </w:r>
          </w:p>
        </w:tc>
        <w:tc>
          <w:tcPr>
            <w:tcW w:w="2240" w:type="dxa"/>
            <w:shd w:val="clear" w:color="auto" w:fill="auto"/>
          </w:tcPr>
          <w:p>
            <w:r>
              <w:t>Expenditure</w:t>
            </w:r>
          </w:p>
        </w:tc>
        <w:tc>
          <w:tcPr>
            <w:tcW w:w="1712" w:type="dxa"/>
            <w:shd w:val="clear" w:color="auto" w:fill="auto"/>
          </w:tcPr>
          <w:p>
            <w:r>
              <w:t>1.892804</w:t>
            </w:r>
          </w:p>
        </w:tc>
        <w:tc>
          <w:tcPr>
            <w:tcW w:w="1148" w:type="dxa"/>
            <w:shd w:val="clear" w:color="auto" w:fill="auto"/>
          </w:tcPr>
          <w:p>
            <w:r>
              <w:t>-0.718182</w:t>
            </w:r>
          </w:p>
        </w:tc>
        <w:tc>
          <w:tcPr>
            <w:tcW w:w="1400" w:type="dxa"/>
            <w:shd w:val="clear" w:color="auto" w:fill="auto"/>
          </w:tcPr>
          <w:p>
            <w: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Forest area</w:t>
            </w:r>
          </w:p>
        </w:tc>
        <w:tc>
          <w:tcPr>
            <w:tcW w:w="2240" w:type="dxa"/>
            <w:shd w:val="clear" w:color="auto" w:fill="auto"/>
          </w:tcPr>
          <w:p>
            <w:r>
              <w:t>HAQ</w:t>
            </w:r>
          </w:p>
        </w:tc>
        <w:tc>
          <w:tcPr>
            <w:tcW w:w="1712" w:type="dxa"/>
            <w:shd w:val="clear" w:color="auto" w:fill="auto"/>
          </w:tcPr>
          <w:p>
            <w:r>
              <w:t>1.783281</w:t>
            </w:r>
          </w:p>
        </w:tc>
        <w:tc>
          <w:tcPr>
            <w:tcW w:w="1148" w:type="dxa"/>
            <w:shd w:val="clear" w:color="auto" w:fill="auto"/>
          </w:tcPr>
          <w:p>
            <w:r>
              <w:t>-0.7</w:t>
            </w:r>
          </w:p>
        </w:tc>
        <w:tc>
          <w:tcPr>
            <w:tcW w:w="1400" w:type="dxa"/>
            <w:shd w:val="clear" w:color="auto" w:fill="auto"/>
          </w:tcPr>
          <w:p>
            <w:r>
              <w:t>0.016471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Aged under 40 </w:t>
            </w:r>
          </w:p>
        </w:tc>
        <w:tc>
          <w:tcPr>
            <w:tcW w:w="1712" w:type="dxa"/>
            <w:shd w:val="clear" w:color="auto" w:fill="auto"/>
          </w:tcPr>
          <w:p>
            <w:r>
              <w:t>3.976363</w:t>
            </w:r>
          </w:p>
        </w:tc>
        <w:tc>
          <w:tcPr>
            <w:tcW w:w="1148" w:type="dxa"/>
            <w:shd w:val="clear" w:color="auto" w:fill="auto"/>
          </w:tcPr>
          <w:p>
            <w:r>
              <w:t>-0.909091</w:t>
            </w:r>
          </w:p>
        </w:tc>
        <w:tc>
          <w:tcPr>
            <w:tcW w:w="1400" w:type="dxa"/>
            <w:shd w:val="clear" w:color="auto" w:fill="auto"/>
          </w:tcPr>
          <w:p>
            <w:r>
              <w:t>0.000106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Air passenger</w:t>
            </w:r>
          </w:p>
        </w:tc>
        <w:tc>
          <w:tcPr>
            <w:tcW w:w="1712" w:type="dxa"/>
            <w:shd w:val="clear" w:color="auto" w:fill="auto"/>
          </w:tcPr>
          <w:p>
            <w:r>
              <w:t>1.992443</w:t>
            </w:r>
          </w:p>
        </w:tc>
        <w:tc>
          <w:tcPr>
            <w:tcW w:w="1148" w:type="dxa"/>
            <w:shd w:val="clear" w:color="auto" w:fill="auto"/>
          </w:tcPr>
          <w:p>
            <w:r>
              <w:t>0.833333</w:t>
            </w:r>
          </w:p>
        </w:tc>
        <w:tc>
          <w:tcPr>
            <w:tcW w:w="1400" w:type="dxa"/>
            <w:shd w:val="clear" w:color="auto" w:fill="auto"/>
          </w:tcPr>
          <w:p>
            <w:r>
              <w:t>0.010176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MPXV Biodiversity</w:t>
            </w:r>
          </w:p>
        </w:tc>
        <w:tc>
          <w:tcPr>
            <w:tcW w:w="1712" w:type="dxa"/>
            <w:shd w:val="clear" w:color="auto" w:fill="auto"/>
          </w:tcPr>
          <w:p>
            <w:r>
              <w:t>2.402182</w:t>
            </w:r>
          </w:p>
        </w:tc>
        <w:tc>
          <w:tcPr>
            <w:tcW w:w="1148" w:type="dxa"/>
            <w:shd w:val="clear" w:color="auto" w:fill="auto"/>
          </w:tcPr>
          <w:p>
            <w:r>
              <w:t>-0.788094</w:t>
            </w:r>
          </w:p>
        </w:tc>
        <w:tc>
          <w:tcPr>
            <w:tcW w:w="1400" w:type="dxa"/>
            <w:shd w:val="clear" w:color="auto" w:fill="auto"/>
          </w:tcPr>
          <w:p>
            <w:r>
              <w:t>0.003961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COVID-19</w:t>
            </w:r>
          </w:p>
        </w:tc>
        <w:tc>
          <w:tcPr>
            <w:tcW w:w="1712" w:type="dxa"/>
            <w:shd w:val="clear" w:color="auto" w:fill="auto"/>
          </w:tcPr>
          <w:p>
            <w:r>
              <w:t>2.205299</w:t>
            </w:r>
          </w:p>
        </w:tc>
        <w:tc>
          <w:tcPr>
            <w:tcW w:w="1148" w:type="dxa"/>
            <w:shd w:val="clear" w:color="auto" w:fill="auto"/>
          </w:tcPr>
          <w:p>
            <w:r>
              <w:t>0.763636</w:t>
            </w:r>
          </w:p>
        </w:tc>
        <w:tc>
          <w:tcPr>
            <w:tcW w:w="1400" w:type="dxa"/>
            <w:shd w:val="clear" w:color="auto" w:fill="auto"/>
          </w:tcPr>
          <w:p>
            <w:r>
              <w:t>0.006233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GDP</w:t>
            </w:r>
          </w:p>
        </w:tc>
        <w:tc>
          <w:tcPr>
            <w:tcW w:w="2240" w:type="dxa"/>
            <w:shd w:val="clear" w:color="auto" w:fill="auto"/>
          </w:tcPr>
          <w:p>
            <w:r>
              <w:t>Expenditure</w:t>
            </w:r>
          </w:p>
        </w:tc>
        <w:tc>
          <w:tcPr>
            <w:tcW w:w="1712" w:type="dxa"/>
            <w:shd w:val="clear" w:color="auto" w:fill="auto"/>
          </w:tcPr>
          <w:p>
            <w:r>
              <w:t>3.631791</w:t>
            </w:r>
          </w:p>
        </w:tc>
        <w:tc>
          <w:tcPr>
            <w:tcW w:w="1148" w:type="dxa"/>
            <w:shd w:val="clear" w:color="auto" w:fill="auto"/>
          </w:tcPr>
          <w:p>
            <w:r>
              <w:t>0.890909</w:t>
            </w:r>
          </w:p>
        </w:tc>
        <w:tc>
          <w:tcPr>
            <w:tcW w:w="1400" w:type="dxa"/>
            <w:shd w:val="clear" w:color="auto" w:fill="auto"/>
          </w:tcPr>
          <w:p>
            <w:r>
              <w:t>0.000233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GDP growth</w:t>
            </w:r>
          </w:p>
        </w:tc>
        <w:tc>
          <w:tcPr>
            <w:tcW w:w="1712" w:type="dxa"/>
            <w:shd w:val="clear" w:color="auto" w:fill="auto"/>
          </w:tcPr>
          <w:p>
            <w:r>
              <w:t>1.330723</w:t>
            </w:r>
          </w:p>
        </w:tc>
        <w:tc>
          <w:tcPr>
            <w:tcW w:w="1148" w:type="dxa"/>
            <w:shd w:val="clear" w:color="auto" w:fill="auto"/>
          </w:tcPr>
          <w:p>
            <w:r>
              <w:t>-0.609091</w:t>
            </w:r>
          </w:p>
        </w:tc>
        <w:tc>
          <w:tcPr>
            <w:tcW w:w="1400" w:type="dxa"/>
            <w:shd w:val="clear" w:color="auto" w:fill="auto"/>
          </w:tcPr>
          <w:p>
            <w:r>
              <w:t>0.046696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HAQ</w:t>
            </w:r>
          </w:p>
        </w:tc>
        <w:tc>
          <w:tcPr>
            <w:tcW w:w="1712" w:type="dxa"/>
            <w:shd w:val="clear" w:color="auto" w:fill="auto"/>
          </w:tcPr>
          <w:p>
            <w:r>
              <w:t>4.400797</w:t>
            </w:r>
          </w:p>
        </w:tc>
        <w:tc>
          <w:tcPr>
            <w:tcW w:w="1148" w:type="dxa"/>
            <w:shd w:val="clear" w:color="auto" w:fill="auto"/>
          </w:tcPr>
          <w:p>
            <w:r>
              <w:t>0.927273</w:t>
            </w:r>
          </w:p>
        </w:tc>
        <w:tc>
          <w:tcPr>
            <w:tcW w:w="1400" w:type="dxa"/>
            <w:shd w:val="clear" w:color="auto" w:fill="auto"/>
          </w:tcPr>
          <w:p>
            <w: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GDP</w:t>
            </w:r>
          </w:p>
        </w:tc>
        <w:tc>
          <w:tcPr>
            <w:tcW w:w="2240" w:type="dxa"/>
            <w:shd w:val="clear" w:color="auto" w:fill="auto"/>
          </w:tcPr>
          <w:p>
            <w:r>
              <w:t>IHR</w:t>
            </w:r>
          </w:p>
        </w:tc>
        <w:tc>
          <w:tcPr>
            <w:tcW w:w="1712" w:type="dxa"/>
            <w:shd w:val="clear" w:color="auto" w:fill="auto"/>
          </w:tcPr>
          <w:p>
            <w:r>
              <w:t>1.892804</w:t>
            </w:r>
          </w:p>
        </w:tc>
        <w:tc>
          <w:tcPr>
            <w:tcW w:w="1148" w:type="dxa"/>
            <w:shd w:val="clear" w:color="auto" w:fill="auto"/>
          </w:tcPr>
          <w:p>
            <w:r>
              <w:t>0.718182</w:t>
            </w:r>
          </w:p>
        </w:tc>
        <w:tc>
          <w:tcPr>
            <w:tcW w:w="1400" w:type="dxa"/>
            <w:shd w:val="clear" w:color="auto" w:fill="auto"/>
          </w:tcPr>
          <w:p>
            <w:r>
              <w:t>0.0128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w:t>
            </w:r>
          </w:p>
        </w:tc>
        <w:tc>
          <w:tcPr>
            <w:tcW w:w="2240" w:type="dxa"/>
            <w:shd w:val="clear" w:color="auto" w:fill="auto"/>
          </w:tcPr>
          <w:p>
            <w:r>
              <w:t>Overweight</w:t>
            </w:r>
          </w:p>
        </w:tc>
        <w:tc>
          <w:tcPr>
            <w:tcW w:w="1712" w:type="dxa"/>
            <w:shd w:val="clear" w:color="auto" w:fill="auto"/>
          </w:tcPr>
          <w:p>
            <w:r>
              <w:t>3.689365</w:t>
            </w:r>
          </w:p>
        </w:tc>
        <w:tc>
          <w:tcPr>
            <w:tcW w:w="1148" w:type="dxa"/>
            <w:shd w:val="clear" w:color="auto" w:fill="auto"/>
          </w:tcPr>
          <w:p>
            <w:r>
              <w:t>0.915152</w:t>
            </w:r>
          </w:p>
        </w:tc>
        <w:tc>
          <w:tcPr>
            <w:tcW w:w="1400" w:type="dxa"/>
            <w:shd w:val="clear" w:color="auto" w:fill="auto"/>
          </w:tcPr>
          <w:p>
            <w:r>
              <w:t>0.000204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GDP</w:t>
            </w:r>
          </w:p>
        </w:tc>
        <w:tc>
          <w:tcPr>
            <w:tcW w:w="2240" w:type="dxa"/>
            <w:shd w:val="clear" w:color="auto" w:fill="auto"/>
          </w:tcPr>
          <w:p>
            <w:r>
              <w:t>Education</w:t>
            </w:r>
          </w:p>
        </w:tc>
        <w:tc>
          <w:tcPr>
            <w:tcW w:w="1712" w:type="dxa"/>
            <w:shd w:val="clear" w:color="auto" w:fill="auto"/>
          </w:tcPr>
          <w:p>
            <w:r>
              <w:t>2.349385</w:t>
            </w:r>
          </w:p>
        </w:tc>
        <w:tc>
          <w:tcPr>
            <w:tcW w:w="1148" w:type="dxa"/>
            <w:shd w:val="clear" w:color="auto" w:fill="auto"/>
          </w:tcPr>
          <w:p>
            <w:r>
              <w:t>0.781818</w:t>
            </w:r>
          </w:p>
        </w:tc>
        <w:tc>
          <w:tcPr>
            <w:tcW w:w="1400" w:type="dxa"/>
            <w:shd w:val="clear" w:color="auto" w:fill="auto"/>
          </w:tcPr>
          <w:p>
            <w:r>
              <w:t>0.004473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GDP growth</w:t>
            </w:r>
          </w:p>
        </w:tc>
        <w:tc>
          <w:tcPr>
            <w:tcW w:w="2240" w:type="dxa"/>
            <w:shd w:val="clear" w:color="auto" w:fill="auto"/>
          </w:tcPr>
          <w:p>
            <w:r>
              <w:t>Aged under 40 </w:t>
            </w:r>
          </w:p>
        </w:tc>
        <w:tc>
          <w:tcPr>
            <w:tcW w:w="1712" w:type="dxa"/>
            <w:shd w:val="clear" w:color="auto" w:fill="auto"/>
          </w:tcPr>
          <w:p>
            <w:r>
              <w:t>1.632401</w:t>
            </w:r>
          </w:p>
        </w:tc>
        <w:tc>
          <w:tcPr>
            <w:tcW w:w="1148" w:type="dxa"/>
            <w:shd w:val="clear" w:color="auto" w:fill="auto"/>
          </w:tcPr>
          <w:p>
            <w:r>
              <w:t>0.672727</w:t>
            </w:r>
          </w:p>
        </w:tc>
        <w:tc>
          <w:tcPr>
            <w:tcW w:w="1400" w:type="dxa"/>
            <w:shd w:val="clear" w:color="auto" w:fill="auto"/>
          </w:tcPr>
          <w:p>
            <w:r>
              <w:t>0.023313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 growth</w:t>
            </w:r>
          </w:p>
        </w:tc>
        <w:tc>
          <w:tcPr>
            <w:tcW w:w="2240" w:type="dxa"/>
            <w:shd w:val="clear" w:color="auto" w:fill="auto"/>
          </w:tcPr>
          <w:p>
            <w:r>
              <w:t>HAQ</w:t>
            </w:r>
          </w:p>
        </w:tc>
        <w:tc>
          <w:tcPr>
            <w:tcW w:w="1712" w:type="dxa"/>
            <w:shd w:val="clear" w:color="auto" w:fill="auto"/>
          </w:tcPr>
          <w:p>
            <w:r>
              <w:t>1.370126</w:t>
            </w:r>
          </w:p>
        </w:tc>
        <w:tc>
          <w:tcPr>
            <w:tcW w:w="1148" w:type="dxa"/>
            <w:shd w:val="clear" w:color="auto" w:fill="auto"/>
          </w:tcPr>
          <w:p>
            <w:r>
              <w:t>-0.618182</w:t>
            </w:r>
          </w:p>
        </w:tc>
        <w:tc>
          <w:tcPr>
            <w:tcW w:w="1400" w:type="dxa"/>
            <w:shd w:val="clear" w:color="auto" w:fill="auto"/>
          </w:tcPr>
          <w:p>
            <w:r>
              <w:t>0.042646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GDP growth</w:t>
            </w:r>
          </w:p>
        </w:tc>
        <w:tc>
          <w:tcPr>
            <w:tcW w:w="2240" w:type="dxa"/>
            <w:shd w:val="clear" w:color="auto" w:fill="auto"/>
          </w:tcPr>
          <w:p>
            <w:r>
              <w:t>Overweight</w:t>
            </w:r>
          </w:p>
        </w:tc>
        <w:tc>
          <w:tcPr>
            <w:tcW w:w="1712" w:type="dxa"/>
            <w:shd w:val="clear" w:color="auto" w:fill="auto"/>
          </w:tcPr>
          <w:p>
            <w:r>
              <w:t>1.664223</w:t>
            </w:r>
          </w:p>
        </w:tc>
        <w:tc>
          <w:tcPr>
            <w:tcW w:w="1148" w:type="dxa"/>
            <w:shd w:val="clear" w:color="auto" w:fill="auto"/>
          </w:tcPr>
          <w:p>
            <w:r>
              <w:t>-0.709091</w:t>
            </w:r>
          </w:p>
        </w:tc>
        <w:tc>
          <w:tcPr>
            <w:tcW w:w="1400" w:type="dxa"/>
            <w:shd w:val="clear" w:color="auto" w:fill="auto"/>
          </w:tcPr>
          <w:p>
            <w:r>
              <w:t>0.021666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Air passenger</w:t>
            </w:r>
          </w:p>
        </w:tc>
        <w:tc>
          <w:tcPr>
            <w:tcW w:w="1712" w:type="dxa"/>
            <w:shd w:val="clear" w:color="auto" w:fill="auto"/>
          </w:tcPr>
          <w:p>
            <w:r>
              <w:t>3.064005</w:t>
            </w:r>
          </w:p>
        </w:tc>
        <w:tc>
          <w:tcPr>
            <w:tcW w:w="1148" w:type="dxa"/>
            <w:shd w:val="clear" w:color="auto" w:fill="auto"/>
          </w:tcPr>
          <w:p>
            <w:r>
              <w:t>0.928571</w:t>
            </w:r>
          </w:p>
        </w:tc>
        <w:tc>
          <w:tcPr>
            <w:tcW w:w="1400" w:type="dxa"/>
            <w:shd w:val="clear" w:color="auto" w:fill="auto"/>
          </w:tcPr>
          <w:p>
            <w:r>
              <w:t>0.000863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MPXV Biodiversity</w:t>
            </w:r>
          </w:p>
        </w:tc>
        <w:tc>
          <w:tcPr>
            <w:tcW w:w="1712" w:type="dxa"/>
            <w:shd w:val="clear" w:color="auto" w:fill="auto"/>
          </w:tcPr>
          <w:p>
            <w:r>
              <w:t>3.252262</w:t>
            </w:r>
          </w:p>
        </w:tc>
        <w:tc>
          <w:tcPr>
            <w:tcW w:w="1148" w:type="dxa"/>
            <w:shd w:val="clear" w:color="auto" w:fill="auto"/>
          </w:tcPr>
          <w:p>
            <w:r>
              <w:t>-0.866442</w:t>
            </w:r>
          </w:p>
        </w:tc>
        <w:tc>
          <w:tcPr>
            <w:tcW w:w="1400" w:type="dxa"/>
            <w:shd w:val="clear" w:color="auto" w:fill="auto"/>
          </w:tcPr>
          <w:p>
            <w:r>
              <w:t>0.000559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COVID-19</w:t>
            </w:r>
          </w:p>
        </w:tc>
        <w:tc>
          <w:tcPr>
            <w:tcW w:w="1712" w:type="dxa"/>
            <w:shd w:val="clear" w:color="auto" w:fill="auto"/>
          </w:tcPr>
          <w:p>
            <w:r>
              <w:t>2.50718</w:t>
            </w:r>
          </w:p>
        </w:tc>
        <w:tc>
          <w:tcPr>
            <w:tcW w:w="1148" w:type="dxa"/>
            <w:shd w:val="clear" w:color="auto" w:fill="auto"/>
          </w:tcPr>
          <w:p>
            <w:r>
              <w:t>0.8</w:t>
            </w:r>
          </w:p>
        </w:tc>
        <w:tc>
          <w:tcPr>
            <w:tcW w:w="1400" w:type="dxa"/>
            <w:shd w:val="clear" w:color="auto" w:fill="auto"/>
          </w:tcPr>
          <w:p>
            <w:r>
              <w:t>0.00311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Expenditure</w:t>
            </w:r>
          </w:p>
        </w:tc>
        <w:tc>
          <w:tcPr>
            <w:tcW w:w="1712" w:type="dxa"/>
            <w:shd w:val="clear" w:color="auto" w:fill="auto"/>
          </w:tcPr>
          <w:p>
            <w:r>
              <w:t>6.288853</w:t>
            </w:r>
          </w:p>
        </w:tc>
        <w:tc>
          <w:tcPr>
            <w:tcW w:w="1148" w:type="dxa"/>
            <w:shd w:val="clear" w:color="auto" w:fill="auto"/>
          </w:tcPr>
          <w:p>
            <w:r>
              <w:t>0.972727</w:t>
            </w:r>
          </w:p>
        </w:tc>
        <w:tc>
          <w:tcPr>
            <w:tcW w:w="1400" w:type="dxa"/>
            <w:shd w:val="clear" w:color="auto" w:fill="auto"/>
          </w:tcPr>
          <w:p>
            <w:r>
              <w:t>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Overweight</w:t>
            </w:r>
          </w:p>
        </w:tc>
        <w:tc>
          <w:tcPr>
            <w:tcW w:w="1712" w:type="dxa"/>
            <w:shd w:val="clear" w:color="auto" w:fill="auto"/>
          </w:tcPr>
          <w:p>
            <w:r>
              <w:t>2.786004</w:t>
            </w:r>
          </w:p>
        </w:tc>
        <w:tc>
          <w:tcPr>
            <w:tcW w:w="1148" w:type="dxa"/>
            <w:shd w:val="clear" w:color="auto" w:fill="auto"/>
          </w:tcPr>
          <w:p>
            <w:r>
              <w:t>0.854545</w:t>
            </w:r>
          </w:p>
        </w:tc>
        <w:tc>
          <w:tcPr>
            <w:tcW w:w="1400" w:type="dxa"/>
            <w:shd w:val="clear" w:color="auto" w:fill="auto"/>
          </w:tcPr>
          <w:p>
            <w:r>
              <w:t>0.001637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HAQ</w:t>
            </w:r>
          </w:p>
        </w:tc>
        <w:tc>
          <w:tcPr>
            <w:tcW w:w="2240" w:type="dxa"/>
            <w:shd w:val="clear" w:color="auto" w:fill="auto"/>
          </w:tcPr>
          <w:p>
            <w:r>
              <w:t>Education</w:t>
            </w:r>
          </w:p>
        </w:tc>
        <w:tc>
          <w:tcPr>
            <w:tcW w:w="1712" w:type="dxa"/>
            <w:shd w:val="clear" w:color="auto" w:fill="auto"/>
          </w:tcPr>
          <w:p>
            <w:r>
              <w:t>1.539634</w:t>
            </w:r>
          </w:p>
        </w:tc>
        <w:tc>
          <w:tcPr>
            <w:tcW w:w="1148" w:type="dxa"/>
            <w:shd w:val="clear" w:color="auto" w:fill="auto"/>
          </w:tcPr>
          <w:p>
            <w:r>
              <w:t>0.654545</w:t>
            </w:r>
          </w:p>
        </w:tc>
        <w:tc>
          <w:tcPr>
            <w:tcW w:w="1400" w:type="dxa"/>
            <w:shd w:val="clear" w:color="auto" w:fill="auto"/>
          </w:tcPr>
          <w:p>
            <w:r>
              <w:t>0.028865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Air passenger</w:t>
            </w:r>
          </w:p>
        </w:tc>
        <w:tc>
          <w:tcPr>
            <w:tcW w:w="1712" w:type="dxa"/>
            <w:shd w:val="clear" w:color="auto" w:fill="auto"/>
          </w:tcPr>
          <w:p>
            <w:r>
              <w:t>2.185086</w:t>
            </w:r>
          </w:p>
        </w:tc>
        <w:tc>
          <w:tcPr>
            <w:tcW w:w="1148" w:type="dxa"/>
            <w:shd w:val="clear" w:color="auto" w:fill="auto"/>
          </w:tcPr>
          <w:p>
            <w:r>
              <w:t>0.857143</w:t>
            </w:r>
          </w:p>
        </w:tc>
        <w:tc>
          <w:tcPr>
            <w:tcW w:w="1400" w:type="dxa"/>
            <w:shd w:val="clear" w:color="auto" w:fill="auto"/>
          </w:tcPr>
          <w:p>
            <w:r>
              <w:t>0.00653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MPXV Biodiversity</w:t>
            </w:r>
          </w:p>
        </w:tc>
        <w:tc>
          <w:tcPr>
            <w:tcW w:w="1712" w:type="dxa"/>
            <w:shd w:val="clear" w:color="auto" w:fill="auto"/>
          </w:tcPr>
          <w:p>
            <w:r>
              <w:t>1.897685</w:t>
            </w:r>
          </w:p>
        </w:tc>
        <w:tc>
          <w:tcPr>
            <w:tcW w:w="1148" w:type="dxa"/>
            <w:shd w:val="clear" w:color="auto" w:fill="auto"/>
          </w:tcPr>
          <w:p>
            <w:r>
              <w:t>-0.718963</w:t>
            </w:r>
          </w:p>
        </w:tc>
        <w:tc>
          <w:tcPr>
            <w:tcW w:w="1400" w:type="dxa"/>
            <w:shd w:val="clear" w:color="auto" w:fill="auto"/>
          </w:tcPr>
          <w:p>
            <w:r>
              <w:t>0.012657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COVID-19</w:t>
            </w:r>
          </w:p>
        </w:tc>
        <w:tc>
          <w:tcPr>
            <w:tcW w:w="1712" w:type="dxa"/>
            <w:shd w:val="clear" w:color="auto" w:fill="auto"/>
          </w:tcPr>
          <w:p>
            <w:r>
              <w:t>2.275766</w:t>
            </w:r>
          </w:p>
        </w:tc>
        <w:tc>
          <w:tcPr>
            <w:tcW w:w="1148" w:type="dxa"/>
            <w:shd w:val="clear" w:color="auto" w:fill="auto"/>
          </w:tcPr>
          <w:p>
            <w:r>
              <w:t>0.772727</w:t>
            </w:r>
          </w:p>
        </w:tc>
        <w:tc>
          <w:tcPr>
            <w:tcW w:w="1400" w:type="dxa"/>
            <w:shd w:val="clear" w:color="auto" w:fill="auto"/>
          </w:tcPr>
          <w:p>
            <w:r>
              <w:t>0.005299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Expenditure</w:t>
            </w:r>
          </w:p>
        </w:tc>
        <w:tc>
          <w:tcPr>
            <w:tcW w:w="1712" w:type="dxa"/>
            <w:shd w:val="clear" w:color="auto" w:fill="auto"/>
          </w:tcPr>
          <w:p>
            <w:r>
              <w:t>2.137747</w:t>
            </w:r>
          </w:p>
        </w:tc>
        <w:tc>
          <w:tcPr>
            <w:tcW w:w="1148" w:type="dxa"/>
            <w:shd w:val="clear" w:color="auto" w:fill="auto"/>
          </w:tcPr>
          <w:p>
            <w:r>
              <w:t>0.754545</w:t>
            </w:r>
          </w:p>
        </w:tc>
        <w:tc>
          <w:tcPr>
            <w:tcW w:w="1400" w:type="dxa"/>
            <w:shd w:val="clear" w:color="auto" w:fill="auto"/>
          </w:tcPr>
          <w:p>
            <w:r>
              <w:t>0.007282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HAQ</w:t>
            </w:r>
          </w:p>
        </w:tc>
        <w:tc>
          <w:tcPr>
            <w:tcW w:w="1712" w:type="dxa"/>
            <w:shd w:val="clear" w:color="auto" w:fill="auto"/>
          </w:tcPr>
          <w:p>
            <w:r>
              <w:t>2.205299</w:t>
            </w:r>
          </w:p>
        </w:tc>
        <w:tc>
          <w:tcPr>
            <w:tcW w:w="1148" w:type="dxa"/>
            <w:shd w:val="clear" w:color="auto" w:fill="auto"/>
          </w:tcPr>
          <w:p>
            <w:r>
              <w:t>0.763636</w:t>
            </w:r>
          </w:p>
        </w:tc>
        <w:tc>
          <w:tcPr>
            <w:tcW w:w="1400" w:type="dxa"/>
            <w:shd w:val="clear" w:color="auto" w:fill="auto"/>
          </w:tcPr>
          <w:p>
            <w:r>
              <w:t>0.006233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Overweight</w:t>
            </w:r>
          </w:p>
        </w:tc>
        <w:tc>
          <w:tcPr>
            <w:tcW w:w="1712" w:type="dxa"/>
            <w:shd w:val="clear" w:color="auto" w:fill="auto"/>
          </w:tcPr>
          <w:p>
            <w:r>
              <w:t>1.600384</w:t>
            </w:r>
          </w:p>
        </w:tc>
        <w:tc>
          <w:tcPr>
            <w:tcW w:w="1148" w:type="dxa"/>
            <w:shd w:val="clear" w:color="auto" w:fill="auto"/>
          </w:tcPr>
          <w:p>
            <w:r>
              <w:t>0.69697</w:t>
            </w:r>
          </w:p>
        </w:tc>
        <w:tc>
          <w:tcPr>
            <w:tcW w:w="1400" w:type="dxa"/>
            <w:shd w:val="clear" w:color="auto" w:fill="auto"/>
          </w:tcPr>
          <w:p>
            <w:r>
              <w:t>0.025097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IHR</w:t>
            </w:r>
          </w:p>
        </w:tc>
        <w:tc>
          <w:tcPr>
            <w:tcW w:w="2240" w:type="dxa"/>
            <w:shd w:val="clear" w:color="auto" w:fill="auto"/>
          </w:tcPr>
          <w:p>
            <w:r>
              <w:t>Education</w:t>
            </w:r>
          </w:p>
        </w:tc>
        <w:tc>
          <w:tcPr>
            <w:tcW w:w="1712" w:type="dxa"/>
            <w:shd w:val="clear" w:color="auto" w:fill="auto"/>
          </w:tcPr>
          <w:p>
            <w:r>
              <w:t>1.585292</w:t>
            </w:r>
          </w:p>
        </w:tc>
        <w:tc>
          <w:tcPr>
            <w:tcW w:w="1148" w:type="dxa"/>
            <w:shd w:val="clear" w:color="auto" w:fill="auto"/>
          </w:tcPr>
          <w:p>
            <w:r>
              <w:t>0.663636</w:t>
            </w:r>
          </w:p>
        </w:tc>
        <w:tc>
          <w:tcPr>
            <w:tcW w:w="1400" w:type="dxa"/>
            <w:shd w:val="clear" w:color="auto" w:fill="auto"/>
          </w:tcPr>
          <w:p>
            <w:r>
              <w:t>0.025984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MSM</w:t>
            </w:r>
          </w:p>
        </w:tc>
        <w:tc>
          <w:tcPr>
            <w:tcW w:w="2240" w:type="dxa"/>
            <w:shd w:val="clear" w:color="auto" w:fill="auto"/>
          </w:tcPr>
          <w:p>
            <w:r>
              <w:t>COVID-19</w:t>
            </w:r>
          </w:p>
        </w:tc>
        <w:tc>
          <w:tcPr>
            <w:tcW w:w="1712" w:type="dxa"/>
            <w:shd w:val="clear" w:color="auto" w:fill="auto"/>
          </w:tcPr>
          <w:p>
            <w:r>
              <w:t>1.609875</w:t>
            </w:r>
          </w:p>
        </w:tc>
        <w:tc>
          <w:tcPr>
            <w:tcW w:w="1148" w:type="dxa"/>
            <w:shd w:val="clear" w:color="auto" w:fill="auto"/>
          </w:tcPr>
          <w:p>
            <w:r>
              <w:t>0.733333</w:t>
            </w:r>
          </w:p>
        </w:tc>
        <w:tc>
          <w:tcPr>
            <w:tcW w:w="1400" w:type="dxa"/>
            <w:shd w:val="clear" w:color="auto" w:fill="auto"/>
          </w:tcPr>
          <w:p>
            <w:r>
              <w:t>0.024554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MSM</w:t>
            </w:r>
          </w:p>
        </w:tc>
        <w:tc>
          <w:tcPr>
            <w:tcW w:w="2240" w:type="dxa"/>
            <w:shd w:val="clear" w:color="auto" w:fill="auto"/>
          </w:tcPr>
          <w:p>
            <w:r>
              <w:t>HIV</w:t>
            </w:r>
          </w:p>
        </w:tc>
        <w:tc>
          <w:tcPr>
            <w:tcW w:w="1712" w:type="dxa"/>
            <w:shd w:val="clear" w:color="auto" w:fill="auto"/>
          </w:tcPr>
          <w:p>
            <w:r>
              <w:t>1.302185</w:t>
            </w:r>
          </w:p>
        </w:tc>
        <w:tc>
          <w:tcPr>
            <w:tcW w:w="1148" w:type="dxa"/>
            <w:shd w:val="clear" w:color="auto" w:fill="auto"/>
          </w:tcPr>
          <w:p>
            <w:r>
              <w:t>0.666667</w:t>
            </w:r>
          </w:p>
        </w:tc>
        <w:tc>
          <w:tcPr>
            <w:tcW w:w="1400" w:type="dxa"/>
            <w:shd w:val="clear" w:color="auto" w:fill="auto"/>
          </w:tcPr>
          <w:p>
            <w:r>
              <w:t>0.049867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MSM</w:t>
            </w:r>
          </w:p>
        </w:tc>
        <w:tc>
          <w:tcPr>
            <w:tcW w:w="2240" w:type="dxa"/>
            <w:shd w:val="clear" w:color="auto" w:fill="auto"/>
          </w:tcPr>
          <w:p>
            <w:r>
              <w:t>IHR</w:t>
            </w:r>
          </w:p>
        </w:tc>
        <w:tc>
          <w:tcPr>
            <w:tcW w:w="1712" w:type="dxa"/>
            <w:shd w:val="clear" w:color="auto" w:fill="auto"/>
          </w:tcPr>
          <w:p>
            <w:r>
              <w:t>1.372201</w:t>
            </w:r>
          </w:p>
        </w:tc>
        <w:tc>
          <w:tcPr>
            <w:tcW w:w="1148" w:type="dxa"/>
            <w:shd w:val="clear" w:color="auto" w:fill="auto"/>
          </w:tcPr>
          <w:p>
            <w:r>
              <w:t>0.683333</w:t>
            </w:r>
          </w:p>
        </w:tc>
        <w:tc>
          <w:tcPr>
            <w:tcW w:w="1400" w:type="dxa"/>
            <w:shd w:val="clear" w:color="auto" w:fill="auto"/>
          </w:tcPr>
          <w:p>
            <w:r>
              <w:t>0.042442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Overweight</w:t>
            </w:r>
          </w:p>
        </w:tc>
        <w:tc>
          <w:tcPr>
            <w:tcW w:w="2240" w:type="dxa"/>
            <w:shd w:val="clear" w:color="auto" w:fill="auto"/>
          </w:tcPr>
          <w:p>
            <w:r>
              <w:t>Expenditure</w:t>
            </w:r>
          </w:p>
        </w:tc>
        <w:tc>
          <w:tcPr>
            <w:tcW w:w="1712" w:type="dxa"/>
            <w:shd w:val="clear" w:color="auto" w:fill="auto"/>
          </w:tcPr>
          <w:p>
            <w:r>
              <w:t>3.089449</w:t>
            </w:r>
          </w:p>
        </w:tc>
        <w:tc>
          <w:tcPr>
            <w:tcW w:w="1148" w:type="dxa"/>
            <w:shd w:val="clear" w:color="auto" w:fill="auto"/>
          </w:tcPr>
          <w:p>
            <w:r>
              <w:t>0.878788</w:t>
            </w:r>
          </w:p>
        </w:tc>
        <w:tc>
          <w:tcPr>
            <w:tcW w:w="1400" w:type="dxa"/>
            <w:shd w:val="clear" w:color="auto" w:fill="auto"/>
          </w:tcPr>
          <w:p>
            <w:r>
              <w:t>0.000814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Population density</w:t>
            </w:r>
          </w:p>
        </w:tc>
        <w:tc>
          <w:tcPr>
            <w:tcW w:w="2240" w:type="dxa"/>
            <w:shd w:val="clear" w:color="auto" w:fill="auto"/>
          </w:tcPr>
          <w:p>
            <w:r>
              <w:t>IHR</w:t>
            </w:r>
          </w:p>
        </w:tc>
        <w:tc>
          <w:tcPr>
            <w:tcW w:w="1712" w:type="dxa"/>
            <w:shd w:val="clear" w:color="auto" w:fill="auto"/>
          </w:tcPr>
          <w:p>
            <w:r>
              <w:t>1.410662</w:t>
            </w:r>
          </w:p>
        </w:tc>
        <w:tc>
          <w:tcPr>
            <w:tcW w:w="1148" w:type="dxa"/>
            <w:shd w:val="clear" w:color="auto" w:fill="auto"/>
          </w:tcPr>
          <w:p>
            <w:r>
              <w:t>0.627273</w:t>
            </w:r>
          </w:p>
        </w:tc>
        <w:tc>
          <w:tcPr>
            <w:tcW w:w="1400" w:type="dxa"/>
            <w:shd w:val="clear" w:color="auto" w:fill="auto"/>
          </w:tcPr>
          <w:p>
            <w:r>
              <w:t>0.038845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Population density</w:t>
            </w:r>
          </w:p>
        </w:tc>
        <w:tc>
          <w:tcPr>
            <w:tcW w:w="2240" w:type="dxa"/>
            <w:shd w:val="clear" w:color="auto" w:fill="auto"/>
          </w:tcPr>
          <w:p>
            <w:r>
              <w:t>Low physical activity</w:t>
            </w:r>
          </w:p>
        </w:tc>
        <w:tc>
          <w:tcPr>
            <w:tcW w:w="1712" w:type="dxa"/>
            <w:shd w:val="clear" w:color="auto" w:fill="auto"/>
          </w:tcPr>
          <w:p>
            <w:r>
              <w:t>1.452385</w:t>
            </w:r>
          </w:p>
        </w:tc>
        <w:tc>
          <w:tcPr>
            <w:tcW w:w="1148" w:type="dxa"/>
            <w:shd w:val="clear" w:color="auto" w:fill="auto"/>
          </w:tcPr>
          <w:p>
            <w:r>
              <w:t>-0.636364</w:t>
            </w:r>
          </w:p>
        </w:tc>
        <w:tc>
          <w:tcPr>
            <w:tcW w:w="1400" w:type="dxa"/>
            <w:shd w:val="clear" w:color="auto" w:fill="auto"/>
          </w:tcPr>
          <w:p>
            <w:r>
              <w:t>0.035287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Same sex marriage</w:t>
            </w:r>
          </w:p>
        </w:tc>
        <w:tc>
          <w:tcPr>
            <w:tcW w:w="2240" w:type="dxa"/>
            <w:shd w:val="clear" w:color="auto" w:fill="auto"/>
          </w:tcPr>
          <w:p>
            <w:r>
              <w:t>Air passenger</w:t>
            </w:r>
          </w:p>
        </w:tc>
        <w:tc>
          <w:tcPr>
            <w:tcW w:w="1712" w:type="dxa"/>
            <w:shd w:val="clear" w:color="auto" w:fill="auto"/>
          </w:tcPr>
          <w:p>
            <w:r>
              <w:t>1.522593</w:t>
            </w:r>
          </w:p>
        </w:tc>
        <w:tc>
          <w:tcPr>
            <w:tcW w:w="1148" w:type="dxa"/>
            <w:shd w:val="clear" w:color="auto" w:fill="auto"/>
          </w:tcPr>
          <w:p>
            <w:r>
              <w:t>0.755929</w:t>
            </w:r>
          </w:p>
        </w:tc>
        <w:tc>
          <w:tcPr>
            <w:tcW w:w="1400" w:type="dxa"/>
            <w:shd w:val="clear" w:color="auto" w:fill="auto"/>
          </w:tcPr>
          <w:p>
            <w:r>
              <w:t>0.03002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Same sex marriage</w:t>
            </w:r>
          </w:p>
        </w:tc>
        <w:tc>
          <w:tcPr>
            <w:tcW w:w="2240" w:type="dxa"/>
            <w:shd w:val="clear" w:color="auto" w:fill="auto"/>
          </w:tcPr>
          <w:p>
            <w:r>
              <w:t>MPXV Biodiversity</w:t>
            </w:r>
          </w:p>
        </w:tc>
        <w:tc>
          <w:tcPr>
            <w:tcW w:w="1712" w:type="dxa"/>
            <w:shd w:val="clear" w:color="auto" w:fill="auto"/>
          </w:tcPr>
          <w:p>
            <w:r>
              <w:t>1.311602</w:t>
            </w:r>
          </w:p>
        </w:tc>
        <w:tc>
          <w:tcPr>
            <w:tcW w:w="1148" w:type="dxa"/>
            <w:shd w:val="clear" w:color="auto" w:fill="auto"/>
          </w:tcPr>
          <w:p>
            <w:r>
              <w:t>-0.604586</w:t>
            </w:r>
          </w:p>
        </w:tc>
        <w:tc>
          <w:tcPr>
            <w:tcW w:w="1400" w:type="dxa"/>
            <w:shd w:val="clear" w:color="auto" w:fill="auto"/>
          </w:tcPr>
          <w:p>
            <w:r>
              <w:t>0.048798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Same sex marriage</w:t>
            </w:r>
          </w:p>
        </w:tc>
        <w:tc>
          <w:tcPr>
            <w:tcW w:w="2240" w:type="dxa"/>
            <w:shd w:val="clear" w:color="auto" w:fill="auto"/>
          </w:tcPr>
          <w:p>
            <w:r>
              <w:t>COVID-19</w:t>
            </w:r>
          </w:p>
        </w:tc>
        <w:tc>
          <w:tcPr>
            <w:tcW w:w="1712" w:type="dxa"/>
            <w:shd w:val="clear" w:color="auto" w:fill="auto"/>
          </w:tcPr>
          <w:p>
            <w:r>
              <w:t>1.622395</w:t>
            </w:r>
          </w:p>
        </w:tc>
        <w:tc>
          <w:tcPr>
            <w:tcW w:w="1148" w:type="dxa"/>
            <w:shd w:val="clear" w:color="auto" w:fill="auto"/>
          </w:tcPr>
          <w:p>
            <w:r>
              <w:t>0.67082</w:t>
            </w:r>
          </w:p>
        </w:tc>
        <w:tc>
          <w:tcPr>
            <w:tcW w:w="1400" w:type="dxa"/>
            <w:shd w:val="clear" w:color="auto" w:fill="auto"/>
          </w:tcPr>
          <w:p>
            <w:r>
              <w:t>0.023856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Same sex marriage</w:t>
            </w:r>
          </w:p>
        </w:tc>
        <w:tc>
          <w:tcPr>
            <w:tcW w:w="2240" w:type="dxa"/>
            <w:shd w:val="clear" w:color="auto" w:fill="auto"/>
          </w:tcPr>
          <w:p>
            <w:r>
              <w:t>Expenditure</w:t>
            </w:r>
          </w:p>
        </w:tc>
        <w:tc>
          <w:tcPr>
            <w:tcW w:w="1712" w:type="dxa"/>
            <w:shd w:val="clear" w:color="auto" w:fill="auto"/>
          </w:tcPr>
          <w:p>
            <w:r>
              <w:t>1.622395</w:t>
            </w:r>
          </w:p>
        </w:tc>
        <w:tc>
          <w:tcPr>
            <w:tcW w:w="1148" w:type="dxa"/>
            <w:shd w:val="clear" w:color="auto" w:fill="auto"/>
          </w:tcPr>
          <w:p>
            <w:r>
              <w:t>0.67082</w:t>
            </w:r>
          </w:p>
        </w:tc>
        <w:tc>
          <w:tcPr>
            <w:tcW w:w="1400" w:type="dxa"/>
            <w:shd w:val="clear" w:color="auto" w:fill="auto"/>
          </w:tcPr>
          <w:p>
            <w:r>
              <w:t>0.023856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Same sex marriage</w:t>
            </w:r>
          </w:p>
        </w:tc>
        <w:tc>
          <w:tcPr>
            <w:tcW w:w="2240" w:type="dxa"/>
            <w:shd w:val="clear" w:color="auto" w:fill="auto"/>
          </w:tcPr>
          <w:p>
            <w:r>
              <w:t>HAQ</w:t>
            </w:r>
          </w:p>
        </w:tc>
        <w:tc>
          <w:tcPr>
            <w:tcW w:w="1712" w:type="dxa"/>
            <w:shd w:val="clear" w:color="auto" w:fill="auto"/>
          </w:tcPr>
          <w:p>
            <w:r>
              <w:t>1.622395</w:t>
            </w:r>
          </w:p>
        </w:tc>
        <w:tc>
          <w:tcPr>
            <w:tcW w:w="1148" w:type="dxa"/>
            <w:shd w:val="clear" w:color="auto" w:fill="auto"/>
          </w:tcPr>
          <w:p>
            <w:r>
              <w:t>0.67082</w:t>
            </w:r>
          </w:p>
        </w:tc>
        <w:tc>
          <w:tcPr>
            <w:tcW w:w="1400" w:type="dxa"/>
            <w:shd w:val="clear" w:color="auto" w:fill="auto"/>
          </w:tcPr>
          <w:p>
            <w:r>
              <w:t>0.023856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80" w:type="dxa"/>
            <w:shd w:val="clear" w:color="auto" w:fill="auto"/>
          </w:tcPr>
          <w:p>
            <w:r>
              <w:t>Education</w:t>
            </w:r>
          </w:p>
        </w:tc>
        <w:tc>
          <w:tcPr>
            <w:tcW w:w="2240" w:type="dxa"/>
            <w:shd w:val="clear" w:color="auto" w:fill="auto"/>
          </w:tcPr>
          <w:p>
            <w:r>
              <w:t>Expenditure</w:t>
            </w:r>
          </w:p>
        </w:tc>
        <w:tc>
          <w:tcPr>
            <w:tcW w:w="1712" w:type="dxa"/>
            <w:shd w:val="clear" w:color="auto" w:fill="auto"/>
          </w:tcPr>
          <w:p>
            <w:r>
              <w:t>1.452385</w:t>
            </w:r>
          </w:p>
        </w:tc>
        <w:tc>
          <w:tcPr>
            <w:tcW w:w="1148" w:type="dxa"/>
            <w:shd w:val="clear" w:color="auto" w:fill="auto"/>
          </w:tcPr>
          <w:p>
            <w:r>
              <w:t>0.636364</w:t>
            </w:r>
          </w:p>
        </w:tc>
        <w:tc>
          <w:tcPr>
            <w:tcW w:w="1400" w:type="dxa"/>
            <w:shd w:val="clear" w:color="auto" w:fill="auto"/>
          </w:tcPr>
          <w:p>
            <w:r>
              <w:t>0.035287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280" w:type="dxa"/>
            <w:shd w:val="clear" w:color="auto" w:fill="auto"/>
          </w:tcPr>
          <w:p>
            <w:r>
              <w:t>Education</w:t>
            </w:r>
          </w:p>
        </w:tc>
        <w:tc>
          <w:tcPr>
            <w:tcW w:w="2240" w:type="dxa"/>
            <w:shd w:val="clear" w:color="auto" w:fill="auto"/>
          </w:tcPr>
          <w:p>
            <w:r>
              <w:t>Overweight</w:t>
            </w:r>
          </w:p>
        </w:tc>
        <w:tc>
          <w:tcPr>
            <w:tcW w:w="1712" w:type="dxa"/>
            <w:shd w:val="clear" w:color="auto" w:fill="auto"/>
          </w:tcPr>
          <w:p>
            <w:r>
              <w:t>2.418515</w:t>
            </w:r>
          </w:p>
        </w:tc>
        <w:tc>
          <w:tcPr>
            <w:tcW w:w="1148" w:type="dxa"/>
            <w:shd w:val="clear" w:color="auto" w:fill="auto"/>
          </w:tcPr>
          <w:p>
            <w:r>
              <w:t>0.818182</w:t>
            </w:r>
          </w:p>
        </w:tc>
        <w:tc>
          <w:tcPr>
            <w:tcW w:w="1400" w:type="dxa"/>
            <w:shd w:val="clear" w:color="auto" w:fill="auto"/>
          </w:tcPr>
          <w:p>
            <w:r>
              <w:t>0.003815</w:t>
            </w:r>
          </w:p>
        </w:tc>
      </w:tr>
    </w:tbl>
    <w:p/>
    <w:p>
      <w:pPr>
        <w:rPr>
          <w:rFonts w:cs="Times New Roman"/>
          <w:b/>
        </w:rPr>
      </w:pPr>
      <w:r>
        <w:t>MPX, monkeypox; GDP, gross domestic product; MSM, men who have sex with men; MPXV, monkeypox virus; HIV, Human Immunodeficiency Virus; COVID-19, coronavirus disease 2019; HAQ, Healthcare Access and Quality; IHR, International Health Regulations</w:t>
      </w:r>
    </w:p>
    <w:p>
      <w:pPr>
        <w:pStyle w:val="2"/>
        <w:numPr>
          <w:ilvl w:val="0"/>
          <w:numId w:val="0"/>
        </w:numPr>
        <w:ind w:leftChars="0"/>
      </w:pPr>
      <w:bookmarkStart w:id="15" w:name="_Toc30293"/>
      <w:r>
        <w:t>Supplement</w:t>
      </w:r>
      <w:r>
        <w:rPr>
          <w:rFonts w:hint="eastAsia" w:eastAsia="宋体"/>
          <w:lang w:eastAsia="zh-CN"/>
        </w:rPr>
        <w:t>ary</w:t>
      </w:r>
      <w:r>
        <w:t xml:space="preserve"> Table </w:t>
      </w:r>
      <w:r>
        <w:rPr>
          <w:rFonts w:hint="eastAsia" w:eastAsia="宋体"/>
          <w:lang w:val="en-US" w:eastAsia="zh-CN"/>
        </w:rPr>
        <w:t>6</w:t>
      </w:r>
      <w:r>
        <w:rPr>
          <w:rFonts w:hint="eastAsia" w:eastAsia="宋体"/>
          <w:lang w:eastAsia="zh-CN"/>
        </w:rPr>
        <w:t>.</w:t>
      </w:r>
      <w:r>
        <w:t xml:space="preserve"> </w:t>
      </w:r>
      <w:r>
        <w:rPr>
          <w:rFonts w:hint="eastAsia"/>
        </w:rPr>
        <w:t xml:space="preserve">Parameters used in the </w:t>
      </w:r>
      <w:r>
        <w:rPr>
          <w:rFonts w:hint="eastAsia" w:eastAsia="宋体"/>
          <w:lang w:eastAsia="zh-CN"/>
        </w:rPr>
        <w:t xml:space="preserve">SEIR </w:t>
      </w:r>
      <w:r>
        <w:rPr>
          <w:rFonts w:hint="eastAsia"/>
        </w:rPr>
        <w:t>model</w:t>
      </w:r>
      <w:bookmarkEnd w:id="1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09"/>
        <w:gridCol w:w="2703"/>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555" w:type="dxa"/>
          </w:tcPr>
          <w:p>
            <w:r>
              <w:t>Variable/ parameter</w:t>
            </w:r>
          </w:p>
        </w:tc>
        <w:tc>
          <w:tcPr>
            <w:tcW w:w="2409" w:type="dxa"/>
          </w:tcPr>
          <w:p>
            <w:r>
              <w:t>description</w:t>
            </w:r>
          </w:p>
        </w:tc>
        <w:tc>
          <w:tcPr>
            <w:tcW w:w="2703" w:type="dxa"/>
          </w:tcPr>
          <w:p>
            <w:r>
              <w:t>value</w:t>
            </w:r>
          </w:p>
        </w:tc>
        <w:tc>
          <w:tcPr>
            <w:tcW w:w="1629" w:type="dxa"/>
          </w:tcPr>
          <w:p>
            <w:r>
              <w:t>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S</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Susceptible individuals at continent i</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Exposed individuals at continent i</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I</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Infected individuals at continent i</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Recovered individuals at continent i</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S</m:t>
                    </m:r>
                    <m:ctrlPr>
                      <w:rPr>
                        <w:rFonts w:ascii="Cambria Math" w:hAnsi="Cambria Math"/>
                      </w:rPr>
                    </m:ctrlPr>
                  </m:e>
                  <m:sub>
                    <m:r>
                      <m:rPr>
                        <m:sty m:val="p"/>
                      </m:rPr>
                      <w:rPr>
                        <w:rFonts w:ascii="Cambria Math" w:hAnsi="Cambria Math"/>
                      </w:rPr>
                      <m:t>ij</m:t>
                    </m:r>
                    <m:ctrlPr>
                      <w:rPr>
                        <w:rFonts w:ascii="Cambria Math" w:hAnsi="Cambria Math"/>
                      </w:rPr>
                    </m:ctrlPr>
                  </m:sub>
                </m:sSub>
              </m:oMath>
            </m:oMathPara>
          </w:p>
        </w:tc>
        <w:tc>
          <w:tcPr>
            <w:tcW w:w="2409" w:type="dxa"/>
          </w:tcPr>
          <w:p>
            <w:r>
              <w:t>Susceptible individuals flying from continent i to continent j</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m:sty m:val="p"/>
                      </m:rPr>
                      <w:rPr>
                        <w:rFonts w:ascii="Cambria Math" w:hAnsi="Cambria Math"/>
                      </w:rPr>
                      <m:t>ij</m:t>
                    </m:r>
                    <m:ctrlPr>
                      <w:rPr>
                        <w:rFonts w:ascii="Cambria Math" w:hAnsi="Cambria Math"/>
                      </w:rPr>
                    </m:ctrlPr>
                  </m:sub>
                </m:sSub>
              </m:oMath>
            </m:oMathPara>
          </w:p>
        </w:tc>
        <w:tc>
          <w:tcPr>
            <w:tcW w:w="2409" w:type="dxa"/>
          </w:tcPr>
          <w:p>
            <w:r>
              <w:t>Exposed individuals flying from continent i to continent j</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I</m:t>
                    </m:r>
                    <m:ctrlPr>
                      <w:rPr>
                        <w:rFonts w:ascii="Cambria Math" w:hAnsi="Cambria Math"/>
                      </w:rPr>
                    </m:ctrlPr>
                  </m:e>
                  <m:sub>
                    <m:r>
                      <m:rPr>
                        <m:sty m:val="p"/>
                      </m:rPr>
                      <w:rPr>
                        <w:rFonts w:ascii="Cambria Math" w:hAnsi="Cambria Math"/>
                      </w:rPr>
                      <m:t>ij</m:t>
                    </m:r>
                    <m:ctrlPr>
                      <w:rPr>
                        <w:rFonts w:ascii="Cambria Math" w:hAnsi="Cambria Math"/>
                      </w:rPr>
                    </m:ctrlPr>
                  </m:sub>
                </m:sSub>
              </m:oMath>
            </m:oMathPara>
          </w:p>
        </w:tc>
        <w:tc>
          <w:tcPr>
            <w:tcW w:w="2409" w:type="dxa"/>
          </w:tcPr>
          <w:p>
            <w:r>
              <w:t>Infected individuals flying from continent i to continent j</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ij</m:t>
                    </m:r>
                    <m:ctrlPr>
                      <w:rPr>
                        <w:rFonts w:ascii="Cambria Math" w:hAnsi="Cambria Math"/>
                      </w:rPr>
                    </m:ctrlPr>
                  </m:sub>
                </m:sSub>
              </m:oMath>
            </m:oMathPara>
          </w:p>
          <w:p/>
        </w:tc>
        <w:tc>
          <w:tcPr>
            <w:tcW w:w="2409" w:type="dxa"/>
          </w:tcPr>
          <w:p>
            <w:r>
              <w:t>Recovered individuals flying from continent i to continent j</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Passengers</m:t>
                    </m:r>
                    <m:ctrlPr>
                      <w:rPr>
                        <w:rFonts w:ascii="Cambria Math" w:hAnsi="Cambria Math"/>
                      </w:rPr>
                    </m:ctrlPr>
                  </m:e>
                  <m:sub>
                    <m:r>
                      <m:rPr>
                        <m:sty m:val="p"/>
                      </m:rPr>
                      <w:rPr>
                        <w:rFonts w:ascii="Cambria Math" w:hAnsi="Cambria Math"/>
                      </w:rPr>
                      <m:t>ij</m:t>
                    </m:r>
                    <m:ctrlPr>
                      <w:rPr>
                        <w:rFonts w:ascii="Cambria Math" w:hAnsi="Cambria Math"/>
                      </w:rPr>
                    </m:ctrlPr>
                  </m:sub>
                </m:sSub>
              </m:oMath>
            </m:oMathPara>
          </w:p>
        </w:tc>
        <w:tc>
          <w:tcPr>
            <w:tcW w:w="2409" w:type="dxa"/>
          </w:tcPr>
          <w:p>
            <w:r>
              <w:rPr>
                <w:rFonts w:hint="eastAsia"/>
              </w:rPr>
              <w:t>P</w:t>
            </w:r>
            <w:r>
              <w:t>assengers flying from continent i to continent j</w:t>
            </w:r>
          </w:p>
        </w:tc>
        <w:tc>
          <w:tcPr>
            <w:tcW w:w="2703" w:type="dxa"/>
          </w:tcPr>
          <w:p/>
        </w:tc>
        <w:tc>
          <w:tcPr>
            <w:tcW w:w="1629" w:type="dxa"/>
          </w:tcPr>
          <w:p>
            <w:r>
              <w:t>Time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N</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Total population at continent i</w:t>
            </w:r>
          </w:p>
        </w:tc>
        <w:tc>
          <w:tcPr>
            <w:tcW w:w="2703" w:type="dxa"/>
          </w:tcPr>
          <w:p/>
        </w:tc>
        <w:tc>
          <w:tcPr>
            <w:tcW w:w="1629" w:type="dxa"/>
          </w:tcPr>
          <w:p>
            <w:r>
              <w:rPr>
                <w:rFonts w:hint="eastAsia"/>
              </w:rPr>
              <w:t>c</w:t>
            </w:r>
            <w:r>
              <w:t>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n</m:t>
                    </m:r>
                    <m:ctrlPr>
                      <w:rPr>
                        <w:rFonts w:ascii="Cambria Math" w:hAnsi="Cambria Math"/>
                      </w:rPr>
                    </m:ctrlPr>
                  </m:e>
                  <m:sub>
                    <m:r>
                      <m:rPr>
                        <m:sty m:val="p"/>
                      </m:rPr>
                      <w:rPr>
                        <w:rFonts w:ascii="Cambria Math" w:hAnsi="Cambria Math"/>
                      </w:rPr>
                      <m:t>i</m:t>
                    </m:r>
                    <m:ctrlPr>
                      <w:rPr>
                        <w:rFonts w:ascii="Cambria Math" w:hAnsi="Cambria Math"/>
                      </w:rPr>
                    </m:ctrlPr>
                  </m:sub>
                </m:sSub>
              </m:oMath>
            </m:oMathPara>
          </w:p>
        </w:tc>
        <w:tc>
          <w:tcPr>
            <w:tcW w:w="2409" w:type="dxa"/>
          </w:tcPr>
          <w:p>
            <w:r>
              <w:t>Adjusted starting value of Susceptible population at continent i</w:t>
            </w:r>
          </w:p>
        </w:tc>
        <w:tc>
          <w:tcPr>
            <w:tcW w:w="2703" w:type="dxa"/>
          </w:tcPr>
          <w:p>
            <w:r>
              <w:t>Population under 40 at continent i + (1</w:t>
            </w:r>
            <w:r>
              <w:rPr>
                <w:rFonts w:hint="eastAsia"/>
              </w:rPr>
              <w:t>/</w:t>
            </w:r>
            <w:r>
              <w:t>5.2)*population above 40 at continent i</w:t>
            </w:r>
          </w:p>
        </w:tc>
        <w:tc>
          <w:tcPr>
            <w:tcW w:w="1629" w:type="dxa"/>
          </w:tcPr>
          <w:p>
            <w:r>
              <w:rPr>
                <w:rFonts w:hint="eastAsia"/>
              </w:rPr>
              <w:t>c</w:t>
            </w:r>
            <w:r>
              <w:t>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i1</m:t>
                    </m:r>
                    <m:ctrlPr>
                      <w:rPr>
                        <w:rFonts w:ascii="Cambria Math" w:hAnsi="Cambria Math"/>
                      </w:rPr>
                    </m:ctrlPr>
                  </m:sub>
                </m:sSub>
              </m:oMath>
            </m:oMathPara>
          </w:p>
        </w:tc>
        <w:tc>
          <w:tcPr>
            <w:tcW w:w="2409" w:type="dxa"/>
          </w:tcPr>
          <w:p>
            <w:r>
              <w:t>Transmission rate, i.e. number of transmissions per time:</w:t>
            </w:r>
            <w:r>
              <w:rPr>
                <w:rFonts w:hint="eastAsia"/>
              </w:rPr>
              <w:t xml:space="preserve"> </w:t>
            </w:r>
            <m:oMath>
              <m:sSub>
                <m:sSubPr>
                  <m:ctrlPr>
                    <w:rPr>
                      <w:rFonts w:ascii="Cambria Math" w:hAnsi="Cambria Math"/>
                    </w:rPr>
                  </m:ctrlPr>
                </m:sSubPr>
                <m:e>
                  <m:r>
                    <m:rPr>
                      <m:sty m:val="p"/>
                    </m:rPr>
                    <w:rPr>
                      <w:rFonts w:ascii="Cambria Math" w:hAnsi="Cambria Math"/>
                    </w:rPr>
                    <m:t>S</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 xml:space="preserve"> </m:t>
              </m:r>
            </m:oMath>
            <w:r>
              <w:t xml:space="preserve">to </w:t>
            </w:r>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w:r>
              <w:t>from January 31 to June 23</w:t>
            </w:r>
          </w:p>
        </w:tc>
        <w:tc>
          <w:tcPr>
            <w:tcW w:w="2703" w:type="dxa"/>
          </w:tcPr>
          <w:p/>
        </w:tc>
        <w:tc>
          <w:tcPr>
            <w:tcW w:w="1629" w:type="dxa"/>
          </w:tcPr>
          <w:p>
            <w:r>
              <w:t>fitted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i2</m:t>
                    </m:r>
                    <m:ctrlPr>
                      <w:rPr>
                        <w:rFonts w:ascii="Cambria Math" w:hAnsi="Cambria Math"/>
                      </w:rPr>
                    </m:ctrlPr>
                  </m:sub>
                </m:sSub>
              </m:oMath>
            </m:oMathPara>
          </w:p>
        </w:tc>
        <w:tc>
          <w:tcPr>
            <w:tcW w:w="2409" w:type="dxa"/>
          </w:tcPr>
          <w:p>
            <w:r>
              <w:t>Transmission rate, i.e. number of transmissions per time:</w:t>
            </w:r>
            <w:r>
              <w:rPr>
                <w:rFonts w:hint="eastAsia"/>
              </w:rPr>
              <w:t xml:space="preserve"> </w:t>
            </w:r>
            <m:oMath>
              <m:sSub>
                <m:sSubPr>
                  <m:ctrlPr>
                    <w:rPr>
                      <w:rFonts w:ascii="Cambria Math" w:hAnsi="Cambria Math"/>
                    </w:rPr>
                  </m:ctrlPr>
                </m:sSubPr>
                <m:e>
                  <m:r>
                    <m:rPr>
                      <m:sty m:val="p"/>
                    </m:rPr>
                    <w:rPr>
                      <w:rFonts w:ascii="Cambria Math" w:hAnsi="Cambria Math"/>
                    </w:rPr>
                    <m:t>S</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 xml:space="preserve"> </m:t>
              </m:r>
            </m:oMath>
            <w:r>
              <w:t xml:space="preserve">to </w:t>
            </w:r>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m:sty m:val="p"/>
                    </m:rPr>
                    <w:rPr>
                      <w:rFonts w:ascii="Cambria Math" w:hAnsi="Cambria Math"/>
                    </w:rPr>
                    <m:t>i</m:t>
                  </m:r>
                  <m:ctrlPr>
                    <w:rPr>
                      <w:rFonts w:ascii="Cambria Math" w:hAnsi="Cambria Math"/>
                    </w:rPr>
                  </m:ctrlPr>
                </m:sub>
              </m:sSub>
            </m:oMath>
            <w:r>
              <w:rPr>
                <w:rFonts w:hint="eastAsia"/>
              </w:rPr>
              <w:t xml:space="preserve"> </w:t>
            </w:r>
            <w:r>
              <w:t>from June 23</w:t>
            </w:r>
          </w:p>
        </w:tc>
        <w:tc>
          <w:tcPr>
            <w:tcW w:w="2703" w:type="dxa"/>
          </w:tcPr>
          <w:p/>
        </w:tc>
        <w:tc>
          <w:tcPr>
            <w:tcW w:w="1629" w:type="dxa"/>
          </w:tcPr>
          <w:p>
            <w:r>
              <w:rPr>
                <w:rFonts w:hint="eastAsia"/>
              </w:rPr>
              <w:t>f</w:t>
            </w:r>
            <w:r>
              <w:t>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r>
                  <m:rPr>
                    <m:sty m:val="p"/>
                  </m:rPr>
                  <w:rPr>
                    <w:rFonts w:ascii="Cambria Math" w:hAnsi="Cambria Math"/>
                  </w:rPr>
                  <m:t>σ</m:t>
                </m:r>
              </m:oMath>
            </m:oMathPara>
          </w:p>
        </w:tc>
        <w:tc>
          <w:tcPr>
            <w:tcW w:w="2409" w:type="dxa"/>
          </w:tcPr>
          <w:p>
            <w:r>
              <w:t xml:space="preserve">Incubation rate: </w:t>
            </w:r>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m:sty m:val="p"/>
                    </m:rPr>
                    <w:rPr>
                      <w:rFonts w:ascii="Cambria Math" w:hAnsi="Cambria Math"/>
                    </w:rPr>
                    <m:t>i</m:t>
                  </m:r>
                  <m:ctrlPr>
                    <w:rPr>
                      <w:rFonts w:ascii="Cambria Math" w:hAnsi="Cambria Math"/>
                    </w:rPr>
                  </m:ctrlPr>
                </m:sub>
              </m:sSub>
            </m:oMath>
            <w:r>
              <w:t xml:space="preserve"> to </w:t>
            </w:r>
            <m:oMath>
              <m:sSub>
                <m:sSubPr>
                  <m:ctrlPr>
                    <w:rPr>
                      <w:rFonts w:ascii="Cambria Math" w:hAnsi="Cambria Math"/>
                    </w:rPr>
                  </m:ctrlPr>
                </m:sSubPr>
                <m:e>
                  <m:r>
                    <m:rPr>
                      <m:sty m:val="p"/>
                    </m:rPr>
                    <w:rPr>
                      <w:rFonts w:ascii="Cambria Math" w:hAnsi="Cambria Math"/>
                    </w:rPr>
                    <m:t>I</m:t>
                  </m:r>
                  <m:ctrlPr>
                    <w:rPr>
                      <w:rFonts w:ascii="Cambria Math" w:hAnsi="Cambria Math"/>
                    </w:rPr>
                  </m:ctrlPr>
                </m:e>
                <m:sub>
                  <m:r>
                    <m:rPr>
                      <m:sty m:val="p"/>
                    </m:rPr>
                    <w:rPr>
                      <w:rFonts w:ascii="Cambria Math" w:hAnsi="Cambria Math"/>
                    </w:rPr>
                    <m:t>i</m:t>
                  </m:r>
                  <m:ctrlPr>
                    <w:rPr>
                      <w:rFonts w:ascii="Cambria Math" w:hAnsi="Cambria Math"/>
                    </w:rPr>
                  </m:ctrlPr>
                </m:sub>
              </m:sSub>
            </m:oMath>
          </w:p>
        </w:tc>
        <w:tc>
          <w:tcPr>
            <w:tcW w:w="2703" w:type="dxa"/>
          </w:tcPr>
          <w:p>
            <w:r>
              <w:t>1/13</w:t>
            </w:r>
          </w:p>
        </w:tc>
        <w:tc>
          <w:tcPr>
            <w:tcW w:w="1629" w:type="dxa"/>
          </w:tcPr>
          <w:p>
            <w:r>
              <w:t>constant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r>
                  <m:rPr>
                    <m:sty m:val="p"/>
                  </m:rPr>
                  <w:rPr>
                    <w:rFonts w:ascii="Cambria Math" w:hAnsi="Cambria Math"/>
                  </w:rPr>
                  <m:t>γ</m:t>
                </m:r>
              </m:oMath>
            </m:oMathPara>
          </w:p>
        </w:tc>
        <w:tc>
          <w:tcPr>
            <w:tcW w:w="2409" w:type="dxa"/>
          </w:tcPr>
          <w:p>
            <w:r>
              <w:t>Recovery rate:</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 xml:space="preserve"> </m:t>
              </m:r>
            </m:oMath>
            <w:r>
              <w:t xml:space="preserve">to </w:t>
            </w:r>
            <m:oMath>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i</m:t>
                  </m:r>
                  <m:ctrlPr>
                    <w:rPr>
                      <w:rFonts w:ascii="Cambria Math" w:hAnsi="Cambria Math"/>
                    </w:rPr>
                  </m:ctrlPr>
                </m:sub>
              </m:sSub>
            </m:oMath>
          </w:p>
        </w:tc>
        <w:tc>
          <w:tcPr>
            <w:tcW w:w="2703" w:type="dxa"/>
          </w:tcPr>
          <w:p>
            <w:r>
              <w:t>1/21</w:t>
            </w:r>
          </w:p>
        </w:tc>
        <w:tc>
          <w:tcPr>
            <w:tcW w:w="1629" w:type="dxa"/>
          </w:tcPr>
          <w:p>
            <w:r>
              <w:t>constant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m:oMathPara>
              <m:oMath>
                <m:sSub>
                  <m:sSubPr>
                    <m:ctrlPr>
                      <w:rPr>
                        <w:rFonts w:ascii="Cambria Math" w:hAnsi="Cambria Math"/>
                      </w:rPr>
                    </m:ctrlPr>
                  </m:sSubPr>
                  <m:e>
                    <m:r>
                      <m:rPr>
                        <m:sty m:val="p"/>
                      </m:rPr>
                      <w:rPr>
                        <w:rFonts w:ascii="Cambria Math" w:hAnsi="Cambria Math"/>
                      </w:rPr>
                      <m:t>R0</m:t>
                    </m:r>
                    <m:ctrlPr>
                      <w:rPr>
                        <w:rFonts w:ascii="Cambria Math" w:hAnsi="Cambria Math"/>
                      </w:rPr>
                    </m:ctrlPr>
                  </m:e>
                  <m:sub>
                    <m:r>
                      <m:rPr>
                        <m:sty m:val="p"/>
                      </m:rPr>
                      <w:rPr>
                        <w:rFonts w:ascii="Cambria Math" w:hAnsi="Cambria Math"/>
                      </w:rPr>
                      <m:t>i1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R0</m:t>
                    </m:r>
                    <m:ctrlPr>
                      <w:rPr>
                        <w:rFonts w:ascii="Cambria Math" w:hAnsi="Cambria Math"/>
                      </w:rPr>
                    </m:ctrlPr>
                  </m:e>
                  <m:sub>
                    <m:r>
                      <m:rPr>
                        <m:sty m:val="p"/>
                      </m:rPr>
                      <w:rPr>
                        <w:rFonts w:ascii="Cambria Math" w:hAnsi="Cambria Math"/>
                      </w:rPr>
                      <m:t>i2</m:t>
                    </m:r>
                    <m:ctrlPr>
                      <w:rPr>
                        <w:rFonts w:ascii="Cambria Math" w:hAnsi="Cambria Math"/>
                      </w:rPr>
                    </m:ctrlPr>
                  </m:sub>
                </m:sSub>
              </m:oMath>
            </m:oMathPara>
          </w:p>
        </w:tc>
        <w:tc>
          <w:tcPr>
            <w:tcW w:w="2409" w:type="dxa"/>
          </w:tcPr>
          <w:p>
            <w:r>
              <w:t>The population reproduction number at continent i</w:t>
            </w:r>
          </w:p>
        </w:tc>
        <w:tc>
          <w:tcPr>
            <w:tcW w:w="2703" w:type="dxa"/>
          </w:tcPr>
          <w:p>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i1</m:t>
                        </m:r>
                        <m:ctrlPr>
                          <w:rPr>
                            <w:rFonts w:ascii="Cambria Math" w:hAnsi="Cambria Math"/>
                          </w:rPr>
                        </m:ctrlPr>
                      </m:sub>
                    </m:sSub>
                    <m:ctrlPr>
                      <w:rPr>
                        <w:rFonts w:ascii="Cambria Math" w:hAnsi="Cambria Math"/>
                      </w:rPr>
                    </m:ctrlPr>
                  </m:num>
                  <m:den>
                    <m:r>
                      <m:rPr>
                        <m:sty m:val="p"/>
                      </m:rPr>
                      <w:rPr>
                        <w:rFonts w:ascii="Cambria Math" w:hAnsi="Cambria Math"/>
                      </w:rPr>
                      <m:t>γ</m:t>
                    </m:r>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i2</m:t>
                        </m:r>
                        <m:ctrlPr>
                          <w:rPr>
                            <w:rFonts w:ascii="Cambria Math" w:hAnsi="Cambria Math"/>
                          </w:rPr>
                        </m:ctrlPr>
                      </m:sub>
                    </m:sSub>
                    <m:ctrlPr>
                      <w:rPr>
                        <w:rFonts w:ascii="Cambria Math" w:hAnsi="Cambria Math"/>
                      </w:rPr>
                    </m:ctrlPr>
                  </m:num>
                  <m:den>
                    <m:r>
                      <m:rPr>
                        <m:sty m:val="p"/>
                      </m:rPr>
                      <w:rPr>
                        <w:rFonts w:ascii="Cambria Math" w:hAnsi="Cambria Math"/>
                      </w:rPr>
                      <m:t>γ</m:t>
                    </m:r>
                    <m:ctrlPr>
                      <w:rPr>
                        <w:rFonts w:ascii="Cambria Math" w:hAnsi="Cambria Math"/>
                      </w:rPr>
                    </m:ctrlPr>
                  </m:den>
                </m:f>
              </m:oMath>
            </m:oMathPara>
          </w:p>
        </w:tc>
        <w:tc>
          <w:tcPr>
            <w:tcW w:w="1629" w:type="dxa"/>
          </w:tcPr>
          <w:p>
            <w:r>
              <w:t>fitted</w:t>
            </w:r>
          </w:p>
        </w:tc>
      </w:tr>
    </w:tbl>
    <w:p/>
    <w:p>
      <w:pPr>
        <w:pStyle w:val="2"/>
        <w:numPr>
          <w:ilvl w:val="0"/>
          <w:numId w:val="0"/>
        </w:numPr>
      </w:pPr>
      <w:bookmarkStart w:id="16" w:name="_Toc28217"/>
      <w:r>
        <w:t>Supplement</w:t>
      </w:r>
      <w:r>
        <w:rPr>
          <w:rFonts w:hint="eastAsia" w:eastAsia="宋体"/>
          <w:lang w:eastAsia="zh-CN"/>
        </w:rPr>
        <w:t>ary</w:t>
      </w:r>
      <w:r>
        <w:t xml:space="preserve"> Table </w:t>
      </w:r>
      <w:r>
        <w:rPr>
          <w:rFonts w:hint="eastAsia" w:eastAsia="宋体"/>
          <w:lang w:val="en-US" w:eastAsia="zh-CN"/>
        </w:rPr>
        <w:t>7</w:t>
      </w:r>
      <w:r>
        <w:rPr>
          <w:rFonts w:hint="eastAsia" w:eastAsia="宋体"/>
          <w:lang w:eastAsia="zh-CN"/>
        </w:rPr>
        <w:t>.</w:t>
      </w:r>
      <w:r>
        <w:t xml:space="preserve">  Assessment of MPX risks </w:t>
      </w:r>
      <w:r>
        <w:rPr>
          <w:rFonts w:hint="eastAsia" w:eastAsia="宋体"/>
          <w:lang w:eastAsia="zh-CN"/>
        </w:rPr>
        <w:t>on the</w:t>
      </w:r>
      <w:r>
        <w:t xml:space="preserve"> country</w:t>
      </w:r>
      <w:r>
        <w:rPr>
          <w:rFonts w:hint="eastAsia" w:eastAsia="宋体"/>
          <w:lang w:eastAsia="zh-CN"/>
        </w:rPr>
        <w:t xml:space="preserve"> </w:t>
      </w:r>
      <w:r>
        <w:t>level</w:t>
      </w:r>
      <w:bookmarkEnd w:id="16"/>
      <w:r>
        <w:t xml:space="preserve"> </w:t>
      </w:r>
    </w:p>
    <w:tbl>
      <w:tblPr>
        <w:tblStyle w:val="2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6"/>
        <w:gridCol w:w="1297"/>
        <w:gridCol w:w="816"/>
        <w:gridCol w:w="2115"/>
        <w:gridCol w:w="9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 xml:space="preserve">Country </w:t>
            </w:r>
          </w:p>
        </w:tc>
        <w:tc>
          <w:tcPr>
            <w:tcW w:w="1300" w:type="dxa"/>
            <w:shd w:val="clear" w:color="auto" w:fill="auto"/>
            <w:vAlign w:val="center"/>
          </w:tcPr>
          <w:p>
            <w:r>
              <w:rPr>
                <w:rFonts w:hint="eastAsia"/>
              </w:rPr>
              <w:t>Country risk</w:t>
            </w:r>
          </w:p>
        </w:tc>
        <w:tc>
          <w:tcPr>
            <w:tcW w:w="778" w:type="dxa"/>
            <w:shd w:val="clear" w:color="auto" w:fill="auto"/>
            <w:vAlign w:val="center"/>
          </w:tcPr>
          <w:p>
            <w:r>
              <w:rPr>
                <w:rFonts w:hint="eastAsia"/>
              </w:rPr>
              <w:t>MPX case</w:t>
            </w:r>
          </w:p>
        </w:tc>
        <w:tc>
          <w:tcPr>
            <w:tcW w:w="2126" w:type="dxa"/>
            <w:shd w:val="clear" w:color="auto" w:fill="auto"/>
            <w:vAlign w:val="center"/>
          </w:tcPr>
          <w:p>
            <w:r>
              <w:rPr>
                <w:rFonts w:hint="eastAsia"/>
              </w:rPr>
              <w:t>Continents</w:t>
            </w:r>
          </w:p>
        </w:tc>
        <w:tc>
          <w:tcPr>
            <w:tcW w:w="996" w:type="dxa"/>
            <w:shd w:val="clear" w:color="auto" w:fill="auto"/>
            <w:vAlign w:val="center"/>
          </w:tcPr>
          <w:p>
            <w:r>
              <w:rPr>
                <w:rFonts w:hint="eastAsia"/>
              </w:rPr>
              <w:t>R0 (C)</w:t>
            </w:r>
          </w:p>
        </w:tc>
        <w:tc>
          <w:tcPr>
            <w:tcW w:w="1300" w:type="dxa"/>
            <w:shd w:val="clear" w:color="auto" w:fill="auto"/>
            <w:vAlign w:val="center"/>
          </w:tcPr>
          <w:p>
            <w:r>
              <w:rPr>
                <w:rFonts w:hint="eastAsia"/>
              </w:rPr>
              <w:t>R0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United States</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11843</w:t>
            </w:r>
          </w:p>
        </w:tc>
        <w:tc>
          <w:tcPr>
            <w:tcW w:w="2126" w:type="dxa"/>
            <w:shd w:val="clear" w:color="auto" w:fill="auto"/>
            <w:vAlign w:val="center"/>
          </w:tcPr>
          <w:p>
            <w:r>
              <w:rPr>
                <w:rFonts w:hint="eastAsia"/>
              </w:rPr>
              <w:t>Northern America</w:t>
            </w:r>
          </w:p>
        </w:tc>
        <w:tc>
          <w:tcPr>
            <w:tcW w:w="996" w:type="dxa"/>
            <w:shd w:val="clear" w:color="auto" w:fill="auto"/>
            <w:vAlign w:val="center"/>
          </w:tcPr>
          <w:p>
            <w:r>
              <w:rPr>
                <w:rFonts w:hint="eastAsia"/>
              </w:rPr>
              <w:t>3.51</w:t>
            </w:r>
          </w:p>
        </w:tc>
        <w:tc>
          <w:tcPr>
            <w:tcW w:w="1300" w:type="dxa"/>
            <w:shd w:val="clear" w:color="auto" w:fill="auto"/>
            <w:vAlign w:val="center"/>
          </w:tcPr>
          <w:p>
            <w:r>
              <w:rPr>
                <w:rFonts w:hint="eastAsia"/>
              </w:rPr>
              <w:t>7.841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Spain</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5719</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Germany</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3142</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United Kingdom</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3023</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France</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2663</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Canada</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1058</w:t>
            </w:r>
          </w:p>
        </w:tc>
        <w:tc>
          <w:tcPr>
            <w:tcW w:w="2126" w:type="dxa"/>
            <w:shd w:val="clear" w:color="auto" w:fill="auto"/>
            <w:vAlign w:val="center"/>
          </w:tcPr>
          <w:p>
            <w:r>
              <w:rPr>
                <w:rFonts w:hint="eastAsia"/>
              </w:rPr>
              <w:t>Northern America</w:t>
            </w:r>
          </w:p>
        </w:tc>
        <w:tc>
          <w:tcPr>
            <w:tcW w:w="996" w:type="dxa"/>
            <w:shd w:val="clear" w:color="auto" w:fill="auto"/>
            <w:vAlign w:val="center"/>
          </w:tcPr>
          <w:p>
            <w:r>
              <w:rPr>
                <w:rFonts w:hint="eastAsia"/>
              </w:rPr>
              <w:t>3.51</w:t>
            </w:r>
          </w:p>
        </w:tc>
        <w:tc>
          <w:tcPr>
            <w:tcW w:w="1300" w:type="dxa"/>
            <w:shd w:val="clear" w:color="auto" w:fill="auto"/>
            <w:vAlign w:val="center"/>
          </w:tcPr>
          <w:p>
            <w:r>
              <w:rPr>
                <w:rFonts w:hint="eastAsia"/>
              </w:rPr>
              <w:t>7.841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Netherlands</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1025</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Portugal</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770</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Italy</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644</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Belgium</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546</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Switzerland</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387</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Austria</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198</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Denmark</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151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Sweden</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126</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Ireland</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101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Norway</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74</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Australia</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71</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Luxembourg</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41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Finland</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22</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Singapore</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15</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Iceland</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New Zealand</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Japan</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Korea, Rep.</w:t>
            </w:r>
          </w:p>
        </w:tc>
        <w:tc>
          <w:tcPr>
            <w:tcW w:w="1300" w:type="dxa"/>
            <w:shd w:val="clear" w:color="auto" w:fill="auto"/>
            <w:vAlign w:val="center"/>
          </w:tcPr>
          <w:p>
            <w:r>
              <w:rPr>
                <w:rFonts w:hint="eastAsia"/>
              </w:rPr>
              <w:t>High</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Bolivia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15</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India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10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South Africa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Guatemala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Honduras</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Sudan</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Haiti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Kiribati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Papua New Guinea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Solomon Islands</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Vanuatu</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Afghanistan</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Bangladesh</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Bhutan</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Iraq</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Cambodia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Lao PDR</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Maldives</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Myanmar</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Nepal</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Pakistan</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Angola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Burundi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Burki Faso</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Comoros</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CaboVerde</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Djibouti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Ethiopia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Guinea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Gambia, The</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Equatorial Guinea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Kenya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Lesotho</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Madagascar</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Mali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Mozambique</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Mauritania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Malawi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Niger</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Rwanda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Senegal</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Eswatini</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Chad</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Togo</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Uganda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Zambia</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Zimbabwe</w:t>
            </w:r>
          </w:p>
        </w:tc>
        <w:tc>
          <w:tcPr>
            <w:tcW w:w="1300" w:type="dxa"/>
            <w:shd w:val="clear" w:color="auto" w:fill="auto"/>
            <w:vAlign w:val="center"/>
          </w:tcPr>
          <w:p>
            <w:r>
              <w:rPr>
                <w:rFonts w:hint="eastAsia"/>
              </w:rPr>
              <w:t>Low</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Brazil</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2893</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Peru</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775</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Israel</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189</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Mexico</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147</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Chile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141</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Colombia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129</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Poland</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85</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Hungary</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51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Argenti</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49</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Greece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48</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Czech Republic</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35</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Romania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Malta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30</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Serbia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23</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Ecuador</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16</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Croatia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12</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Estonia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9</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Lebanon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6</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Lithuania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5</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Saudi Arabia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5</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Turkey</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5</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Jamaica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Bulgaria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Thailand</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4</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Costa Rica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Latvia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China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Cyprus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Qatar</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3</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Pama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2</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Uruguay</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2</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Barbados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Venezuela, RB</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Bosnia and Herzegovi</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Montenegro</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Russian Federation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Georgia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Philippines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Morocco</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1</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Bahamas, The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Belize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Cuba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Dominica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Guya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Nicaragua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Paraguay</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El Salvador</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Surime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Trinidad and Tobago</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Latin America</w:t>
            </w:r>
          </w:p>
        </w:tc>
        <w:tc>
          <w:tcPr>
            <w:tcW w:w="996" w:type="dxa"/>
            <w:shd w:val="clear" w:color="auto" w:fill="auto"/>
            <w:vAlign w:val="center"/>
          </w:tcPr>
          <w:p>
            <w:r>
              <w:rPr>
                <w:rFonts w:hint="eastAsia"/>
              </w:rPr>
              <w:t>4.132</w:t>
            </w:r>
          </w:p>
        </w:tc>
        <w:tc>
          <w:tcPr>
            <w:tcW w:w="1300" w:type="dxa"/>
            <w:shd w:val="clear" w:color="auto" w:fill="auto"/>
            <w:vAlign w:val="center"/>
          </w:tcPr>
          <w:p>
            <w:r>
              <w:rPr>
                <w:rFonts w:hint="eastAsia"/>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Micronesia, Fed. Sts.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Tonga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Oceania</w:t>
            </w:r>
          </w:p>
        </w:tc>
        <w:tc>
          <w:tcPr>
            <w:tcW w:w="996" w:type="dxa"/>
            <w:shd w:val="clear" w:color="auto" w:fill="auto"/>
            <w:vAlign w:val="center"/>
          </w:tcPr>
          <w:p>
            <w:r>
              <w:rPr>
                <w:rFonts w:hint="eastAsia"/>
              </w:rPr>
              <w:t>1.666</w:t>
            </w:r>
          </w:p>
        </w:tc>
        <w:tc>
          <w:tcPr>
            <w:tcW w:w="1300" w:type="dxa"/>
            <w:shd w:val="clear" w:color="auto" w:fill="auto"/>
            <w:vAlign w:val="center"/>
          </w:tcPr>
          <w:p>
            <w:r>
              <w:rPr>
                <w:rFonts w:hint="eastAsia"/>
              </w:rPr>
              <w:t>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Ukraine</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Europe</w:t>
            </w:r>
          </w:p>
        </w:tc>
        <w:tc>
          <w:tcPr>
            <w:tcW w:w="996" w:type="dxa"/>
            <w:shd w:val="clear" w:color="auto" w:fill="auto"/>
            <w:vAlign w:val="center"/>
          </w:tcPr>
          <w:p>
            <w:r>
              <w:rPr>
                <w:rFonts w:hint="eastAsia"/>
              </w:rPr>
              <w:t>1.349</w:t>
            </w:r>
          </w:p>
        </w:tc>
        <w:tc>
          <w:tcPr>
            <w:tcW w:w="1300" w:type="dxa"/>
            <w:shd w:val="clear" w:color="auto" w:fill="auto"/>
            <w:vAlign w:val="center"/>
          </w:tcPr>
          <w:p>
            <w:r>
              <w:rPr>
                <w:rFonts w:hint="eastAsia"/>
              </w:rPr>
              <w:t>7.017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Armenia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Azerbaijan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Bahrain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Indonesia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Iran, Islamic Rep.</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Kazakhstan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Kuwait</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Sri Lanka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Mongolia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Malaysia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Oman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Tajikistan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Uzbekistan</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Viet</w:t>
            </w:r>
            <w:r>
              <w:t>na</w:t>
            </w:r>
            <w:r>
              <w:rPr>
                <w:rFonts w:hint="eastAsia"/>
              </w:rPr>
              <w:t>m</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Asia</w:t>
            </w:r>
          </w:p>
        </w:tc>
        <w:tc>
          <w:tcPr>
            <w:tcW w:w="996" w:type="dxa"/>
            <w:shd w:val="clear" w:color="auto" w:fill="auto"/>
            <w:vAlign w:val="center"/>
          </w:tcPr>
          <w:p>
            <w:r>
              <w:rPr>
                <w:rFonts w:hint="eastAsia"/>
              </w:rPr>
              <w:t>0.695</w:t>
            </w:r>
          </w:p>
        </w:tc>
        <w:tc>
          <w:tcPr>
            <w:tcW w:w="1300" w:type="dxa"/>
            <w:shd w:val="clear" w:color="auto" w:fill="auto"/>
            <w:vAlign w:val="center"/>
          </w:tcPr>
          <w:p>
            <w:r>
              <w:rPr>
                <w:rFonts w:hint="eastAsia"/>
              </w:rPr>
              <w:t>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Egypt, Arab Rep.</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Mauritius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Seychelles</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00" w:type="dxa"/>
            <w:shd w:val="clear" w:color="auto" w:fill="auto"/>
            <w:vAlign w:val="center"/>
          </w:tcPr>
          <w:p>
            <w:r>
              <w:rPr>
                <w:rFonts w:hint="eastAsia"/>
              </w:rPr>
              <w:t>Tunisia</w:t>
            </w:r>
          </w:p>
        </w:tc>
        <w:tc>
          <w:tcPr>
            <w:tcW w:w="1300" w:type="dxa"/>
            <w:shd w:val="clear" w:color="auto" w:fill="auto"/>
            <w:vAlign w:val="center"/>
          </w:tcPr>
          <w:p>
            <w:r>
              <w:rPr>
                <w:rFonts w:hint="eastAsia"/>
              </w:rPr>
              <w:t>Medium</w:t>
            </w:r>
          </w:p>
        </w:tc>
        <w:tc>
          <w:tcPr>
            <w:tcW w:w="778" w:type="dxa"/>
            <w:shd w:val="clear" w:color="auto" w:fill="auto"/>
            <w:vAlign w:val="center"/>
          </w:tcPr>
          <w:p>
            <w:r>
              <w:rPr>
                <w:rFonts w:hint="eastAsia"/>
              </w:rPr>
              <w:t>0</w:t>
            </w:r>
          </w:p>
        </w:tc>
        <w:tc>
          <w:tcPr>
            <w:tcW w:w="2126" w:type="dxa"/>
            <w:shd w:val="clear" w:color="auto" w:fill="auto"/>
            <w:vAlign w:val="center"/>
          </w:tcPr>
          <w:p>
            <w:r>
              <w:rPr>
                <w:rFonts w:hint="eastAsia"/>
              </w:rPr>
              <w:t>Africa</w:t>
            </w:r>
          </w:p>
        </w:tc>
        <w:tc>
          <w:tcPr>
            <w:tcW w:w="996" w:type="dxa"/>
            <w:shd w:val="clear" w:color="auto" w:fill="auto"/>
            <w:vAlign w:val="center"/>
          </w:tcPr>
          <w:p>
            <w:r>
              <w:rPr>
                <w:rFonts w:hint="eastAsia"/>
              </w:rPr>
              <w:t>1.378</w:t>
            </w:r>
          </w:p>
        </w:tc>
        <w:tc>
          <w:tcPr>
            <w:tcW w:w="1300" w:type="dxa"/>
            <w:shd w:val="clear" w:color="auto" w:fill="auto"/>
            <w:vAlign w:val="center"/>
          </w:tcPr>
          <w:p>
            <w:r>
              <w:rPr>
                <w:rFonts w:hint="eastAsia"/>
              </w:rPr>
              <w:t>1.605</w:t>
            </w:r>
          </w:p>
        </w:tc>
      </w:tr>
    </w:tbl>
    <w:p>
      <w:pPr>
        <w:rPr>
          <w:rFonts w:hint="eastAsia" w:eastAsiaTheme="minorEastAsia"/>
          <w:lang w:val="en-US" w:eastAsia="zh-CN"/>
        </w:rPr>
        <w:sectPr>
          <w:pgSz w:w="11900" w:h="16840"/>
          <w:pgMar w:top="1440" w:right="1440" w:bottom="1440" w:left="1440" w:header="708" w:footer="708" w:gutter="0"/>
          <w:cols w:space="708" w:num="1"/>
          <w:docGrid w:linePitch="360" w:charSpace="0"/>
        </w:sectPr>
      </w:pPr>
      <w:r>
        <w:t xml:space="preserve">E, Early stage is the period before 23 June, 2022; C: the current stage is the period after 23 June, 2022.  </w:t>
      </w:r>
      <w:r>
        <w:rPr>
          <w:rFonts w:hint="eastAsia"/>
        </w:rPr>
        <w:t>R0</w:t>
      </w:r>
      <w:r>
        <w:t>: basic reproduction numbe</w:t>
      </w:r>
      <w:r>
        <w:rPr>
          <w:rFonts w:hint="eastAsia"/>
          <w:lang w:val="en-US" w:eastAsia="zh-CN"/>
        </w:rPr>
        <w:t>r</w:t>
      </w:r>
    </w:p>
    <w:p>
      <w:pPr>
        <w:pStyle w:val="19"/>
        <w:spacing w:beforeAutospacing="0" w:after="120" w:afterLines="50" w:afterAutospacing="0" w:line="360" w:lineRule="auto"/>
        <w:rPr>
          <w:b/>
          <w:bCs/>
          <w:color w:val="000000"/>
        </w:rPr>
      </w:pPr>
      <w:bookmarkStart w:id="17" w:name="_Toc13994"/>
    </w:p>
    <w:p>
      <w:pPr>
        <w:pStyle w:val="19"/>
        <w:spacing w:beforeAutospacing="0" w:after="120" w:afterLines="50" w:afterAutospacing="0" w:line="360" w:lineRule="auto"/>
        <w:outlineLvl w:val="0"/>
        <w:rPr>
          <w:rFonts w:cs="Arial"/>
          <w:b/>
          <w:szCs w:val="40"/>
        </w:rPr>
      </w:pPr>
      <w:bookmarkStart w:id="18" w:name="_Toc23169"/>
      <w:r>
        <w:rPr>
          <w:rFonts w:cs="Arial"/>
          <w:b/>
          <w:szCs w:val="40"/>
          <w:lang w:eastAsia="zh-CN"/>
        </w:rPr>
        <w:t>Supplement</w:t>
      </w:r>
      <w:r>
        <w:rPr>
          <w:rFonts w:hint="eastAsia" w:cs="Arial"/>
          <w:b/>
          <w:szCs w:val="40"/>
          <w:lang w:eastAsia="zh-CN"/>
        </w:rPr>
        <w:t>ary</w:t>
      </w:r>
      <w:r>
        <w:rPr>
          <w:rFonts w:cs="Arial"/>
          <w:b/>
          <w:szCs w:val="40"/>
          <w:lang w:eastAsia="zh-CN"/>
        </w:rPr>
        <w:t xml:space="preserve"> </w:t>
      </w:r>
      <w:r>
        <w:rPr>
          <w:rFonts w:hint="eastAsia" w:cs="Arial"/>
          <w:b/>
          <w:szCs w:val="40"/>
          <w:lang w:eastAsia="zh-CN"/>
        </w:rPr>
        <w:t xml:space="preserve">File 1. </w:t>
      </w:r>
      <w:r>
        <w:rPr>
          <w:rFonts w:cs="Arial"/>
          <w:b/>
          <w:szCs w:val="40"/>
          <w:lang w:eastAsia="zh-CN"/>
        </w:rPr>
        <w:t>MPXV biodiversity</w:t>
      </w:r>
      <w:bookmarkEnd w:id="17"/>
      <w:bookmarkEnd w:id="18"/>
    </w:p>
    <w:p>
      <w:pPr>
        <w:pStyle w:val="19"/>
        <w:spacing w:beforeAutospacing="0" w:after="120" w:afterLines="50" w:afterAutospacing="0" w:line="360" w:lineRule="auto"/>
        <w:jc w:val="both"/>
        <w:rPr>
          <w:rFonts w:cs="Times New Roman"/>
          <w:color w:val="2E3033"/>
          <w:szCs w:val="24"/>
        </w:rPr>
      </w:pPr>
      <w:r>
        <w:rPr>
          <w:color w:val="2E3033"/>
          <w:sz w:val="20"/>
          <w:szCs w:val="20"/>
        </w:rPr>
        <w:t>MPXV biodiversity was evaluated by the list of 59 species was then compared against known species ranges, using the International Union for Conservation of Nature (IUCN) Red List of Threatened Species (reference, lancet covid-19). After that, we counted via ArcMap 10.8, at each of the grid cells of a 0.25 decimal degree grid mesh that cover the global land, the number of MPXV infected species whose distribution ranges covered that grid cell. Then, the number of infected species per grid cell was summarized over each country, leading to the mean and median species richness of mammal species that can be infected by the MPVX global (Sfigure 1 and Stable 3)</w:t>
      </w:r>
    </w:p>
    <w:p>
      <w:pPr>
        <w:spacing w:after="120" w:afterLines="50" w:line="360" w:lineRule="auto"/>
        <w:rPr>
          <w:rFonts w:cs="Times New Roman"/>
          <w:color w:val="2E3033"/>
          <w:szCs w:val="24"/>
        </w:rPr>
      </w:pPr>
    </w:p>
    <w:p>
      <w:pPr>
        <w:pStyle w:val="19"/>
        <w:spacing w:beforeAutospacing="0" w:after="120" w:afterLines="50" w:afterAutospacing="0" w:line="360" w:lineRule="auto"/>
        <w:jc w:val="both"/>
        <w:outlineLvl w:val="0"/>
        <w:rPr>
          <w:rFonts w:eastAsia="宋体"/>
          <w:b/>
          <w:bCs/>
          <w:color w:val="000000"/>
        </w:rPr>
      </w:pPr>
      <w:bookmarkStart w:id="19" w:name="_Toc11968"/>
      <w:bookmarkStart w:id="20" w:name="_Toc23742"/>
      <w:r>
        <w:rPr>
          <w:b/>
          <w:bCs/>
          <w:color w:val="000000"/>
        </w:rPr>
        <w:t>Supplement</w:t>
      </w:r>
      <w:r>
        <w:rPr>
          <w:rFonts w:hint="eastAsia" w:eastAsia="宋体"/>
          <w:b/>
          <w:bCs/>
          <w:color w:val="000000"/>
        </w:rPr>
        <w:t>ary</w:t>
      </w:r>
      <w:r>
        <w:rPr>
          <w:b/>
          <w:bCs/>
          <w:color w:val="000000"/>
        </w:rPr>
        <w:t xml:space="preserve"> </w:t>
      </w:r>
      <w:r>
        <w:rPr>
          <w:rFonts w:hint="eastAsia" w:eastAsia="宋体"/>
          <w:b/>
          <w:bCs/>
          <w:color w:val="000000"/>
          <w:lang w:eastAsia="zh-CN"/>
        </w:rPr>
        <w:t>F</w:t>
      </w:r>
      <w:r>
        <w:rPr>
          <w:rFonts w:hint="eastAsia" w:eastAsia="宋体"/>
          <w:b/>
          <w:bCs/>
          <w:color w:val="000000"/>
        </w:rPr>
        <w:t xml:space="preserve">ile </w:t>
      </w:r>
      <w:r>
        <w:rPr>
          <w:rFonts w:eastAsia="宋体"/>
          <w:b/>
          <w:bCs/>
          <w:color w:val="000000"/>
        </w:rPr>
        <w:t>2.</w:t>
      </w:r>
      <w:r>
        <w:rPr>
          <w:rFonts w:hint="eastAsia" w:eastAsia="宋体"/>
          <w:b/>
          <w:bCs/>
          <w:color w:val="000000"/>
        </w:rPr>
        <w:t xml:space="preserve"> Grey model</w:t>
      </w:r>
      <w:bookmarkEnd w:id="19"/>
      <w:bookmarkEnd w:id="20"/>
    </w:p>
    <w:p>
      <w:pPr>
        <w:pStyle w:val="19"/>
        <w:tabs>
          <w:tab w:val="left" w:pos="5578"/>
        </w:tabs>
        <w:ind w:left="600" w:hanging="600" w:hangingChars="250"/>
        <w:rPr>
          <w:color w:val="2E3033"/>
        </w:rPr>
      </w:pPr>
      <w:r>
        <w:rPr>
          <w:color w:val="2E3033"/>
        </w:rPr>
        <w:t>The original Grey model with a 1-variable and 1-order equation GM (1,1)</w:t>
      </w:r>
    </w:p>
    <w:p>
      <w:pPr>
        <w:pStyle w:val="19"/>
        <w:tabs>
          <w:tab w:val="left" w:pos="5578"/>
        </w:tabs>
        <w:ind w:left="600" w:hanging="600" w:hangingChars="250"/>
      </w:pPr>
      <w:r>
        <w:t>Assuming that the original sequence shown as:</w:t>
      </w:r>
    </w:p>
    <w:p>
      <w:pPr>
        <w:pStyle w:val="19"/>
        <w:tabs>
          <w:tab w:val="left" w:pos="5578"/>
        </w:tabs>
        <w:ind w:left="600" w:hanging="600" w:hangingChars="250"/>
      </w:pPr>
      <m:oMathPara>
        <m:oMath>
          <m:sSup>
            <m:sSupPr>
              <m:ctrlPr>
                <w:rPr>
                  <w:rFonts w:ascii="Cambria Math" w:hAnsi="Cambria Math"/>
                  <w:i/>
                </w:rPr>
              </m:ctrlPr>
            </m:sSupPr>
            <m:e>
              <m:r>
                <m:rPr/>
                <w:rPr>
                  <w:rFonts w:ascii="Cambria Math" w:hAnsi="Cambria Math"/>
                </w:rPr>
                <m:t>X</m:t>
              </m:r>
              <m:ctrlPr>
                <w:rPr>
                  <w:rFonts w:ascii="Cambria Math" w:hAnsi="Cambria Math"/>
                  <w:i/>
                </w:rPr>
              </m:ctrlPr>
            </m:e>
            <m:sup>
              <m:r>
                <m:rPr/>
                <w:rPr>
                  <w:rFonts w:ascii="Cambria Math" w:hAnsi="Cambria Math"/>
                </w:rPr>
                <m:t>(0)</m:t>
              </m:r>
              <m:ctrlPr>
                <w:rPr>
                  <w:rFonts w:ascii="Cambria Math" w:hAnsi="Cambria Math"/>
                  <w:i/>
                </w:rPr>
              </m:ctrlPr>
            </m:sup>
          </m:sSup>
          <m:r>
            <m:rP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m:rPr/>
                    <w:rPr>
                      <w:rFonts w:ascii="Cambria Math" w:hAnsi="Cambria Math"/>
                    </w:rPr>
                    <m:t>X</m:t>
                  </m:r>
                  <m:ctrlPr>
                    <w:rPr>
                      <w:rFonts w:ascii="Cambria Math" w:hAnsi="Cambria Math"/>
                      <w:i/>
                    </w:rPr>
                  </m:ctrlPr>
                </m:e>
                <m:sup>
                  <m:d>
                    <m:dPr>
                      <m:ctrlPr>
                        <w:rPr>
                          <w:rFonts w:ascii="Cambria Math" w:hAnsi="Cambria Math"/>
                          <w:i/>
                        </w:rPr>
                      </m:ctrlPr>
                    </m:dPr>
                    <m:e>
                      <m:r>
                        <m:rPr/>
                        <w:rPr>
                          <w:rFonts w:ascii="Cambria Math" w:hAnsi="Cambria Math"/>
                        </w:rPr>
                        <m:t>0</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 i=1,2,3,…,n</m:t>
              </m:r>
              <m:ctrlPr>
                <w:rPr>
                  <w:rFonts w:ascii="Cambria Math" w:hAnsi="Cambria Math"/>
                  <w:i/>
                </w:rPr>
              </m:ctrlPr>
            </m:e>
          </m:d>
        </m:oMath>
      </m:oMathPara>
    </w:p>
    <w:p>
      <w:pPr>
        <w:pStyle w:val="19"/>
        <w:rPr>
          <w:rStyle w:val="82"/>
        </w:rPr>
      </w:pPr>
      <w:r>
        <w:t>Performing an accumulation to generate a new sequence:</w:t>
      </w:r>
    </w:p>
    <w:p>
      <w:pPr>
        <w:rPr>
          <w:rFonts w:cs="Times New Roman"/>
          <w:szCs w:val="24"/>
        </w:rPr>
      </w:pPr>
      <m:oMathPara>
        <m:oMath>
          <m:sSup>
            <m:sSupPr>
              <m:ctrlPr>
                <w:rPr>
                  <w:rFonts w:ascii="Cambria Math" w:hAnsi="Cambria Math" w:cs="Times New Roman"/>
                  <w:i/>
                  <w:szCs w:val="24"/>
                </w:rPr>
              </m:ctrlPr>
            </m:sSupPr>
            <m:e>
              <m:r>
                <m:rPr/>
                <w:rPr>
                  <w:rFonts w:ascii="Cambria Math" w:hAnsi="Cambria Math" w:cs="Times New Roman"/>
                  <w:szCs w:val="24"/>
                </w:rPr>
                <m:t>X</m:t>
              </m:r>
              <m:ctrlPr>
                <w:rPr>
                  <w:rFonts w:ascii="Cambria Math" w:hAnsi="Cambria Math" w:cs="Times New Roman"/>
                  <w:i/>
                  <w:szCs w:val="24"/>
                </w:rPr>
              </m:ctrlPr>
            </m:e>
            <m:sup>
              <m:r>
                <m:rPr/>
                <w:rPr>
                  <w:rFonts w:ascii="Cambria Math" w:hAnsi="Cambria Math" w:cs="Times New Roman"/>
                  <w:szCs w:val="24"/>
                </w:rPr>
                <m:t>(1)</m:t>
              </m:r>
              <m:ctrlPr>
                <w:rPr>
                  <w:rFonts w:ascii="Cambria Math" w:hAnsi="Cambria Math" w:cs="Times New Roman"/>
                  <w:i/>
                  <w:szCs w:val="24"/>
                </w:rPr>
              </m:ctrlPr>
            </m:sup>
          </m:sSup>
          <m:r>
            <m:rPr/>
            <w:rPr>
              <w:rFonts w:ascii="Cambria Math" w:hAnsi="Cambria Math" w:cs="Times New Roman"/>
              <w:szCs w:val="24"/>
            </w:rPr>
            <m:t>=</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r>
                    <m:rPr/>
                    <w:rPr>
                      <w:rFonts w:ascii="Cambria Math" w:hAnsi="Cambria Math" w:cs="Times New Roman"/>
                      <w:szCs w:val="24"/>
                    </w:rPr>
                    <m:t>X</m:t>
                  </m:r>
                  <m:ctrlPr>
                    <w:rPr>
                      <w:rFonts w:ascii="Cambria Math" w:hAnsi="Cambria Math" w:cs="Times New Roman"/>
                      <w:i/>
                      <w:szCs w:val="24"/>
                    </w:rPr>
                  </m:ctrlPr>
                </m:e>
                <m:sup>
                  <m:d>
                    <m:dPr>
                      <m:ctrlPr>
                        <w:rPr>
                          <w:rFonts w:ascii="Cambria Math" w:hAnsi="Cambria Math" w:cs="Times New Roman"/>
                          <w:i/>
                          <w:szCs w:val="24"/>
                        </w:rPr>
                      </m:ctrlPr>
                    </m:dPr>
                    <m:e>
                      <m:r>
                        <m:rPr/>
                        <w:rPr>
                          <w:rFonts w:ascii="Cambria Math" w:hAnsi="Cambria Math" w:cs="Times New Roman"/>
                          <w:szCs w:val="24"/>
                        </w:rPr>
                        <m:t>1</m:t>
                      </m:r>
                      <m:ctrlPr>
                        <w:rPr>
                          <w:rFonts w:ascii="Cambria Math" w:hAnsi="Cambria Math" w:cs="Times New Roman"/>
                          <w:i/>
                          <w:szCs w:val="24"/>
                        </w:rPr>
                      </m:ctrlPr>
                    </m:e>
                  </m:d>
                  <m:ctrlPr>
                    <w:rPr>
                      <w:rFonts w:ascii="Cambria Math" w:hAnsi="Cambria Math" w:cs="Times New Roman"/>
                      <w:i/>
                      <w:szCs w:val="24"/>
                    </w:rPr>
                  </m:ctrlPr>
                </m:sup>
              </m:sSup>
              <m:d>
                <m:dPr>
                  <m:ctrlPr>
                    <w:rPr>
                      <w:rFonts w:ascii="Cambria Math" w:hAnsi="Cambria Math" w:cs="Times New Roman"/>
                      <w:i/>
                      <w:szCs w:val="24"/>
                    </w:rPr>
                  </m:ctrlPr>
                </m:dPr>
                <m:e>
                  <m:r>
                    <m:rPr/>
                    <w:rPr>
                      <w:rFonts w:ascii="Cambria Math" w:hAnsi="Cambria Math" w:cs="Times New Roman"/>
                      <w:szCs w:val="24"/>
                    </w:rPr>
                    <m:t>k</m:t>
                  </m:r>
                  <m:ctrlPr>
                    <w:rPr>
                      <w:rFonts w:ascii="Cambria Math" w:hAnsi="Cambria Math" w:cs="Times New Roman"/>
                      <w:i/>
                      <w:szCs w:val="24"/>
                    </w:rPr>
                  </m:ctrlPr>
                </m:e>
              </m:d>
              <m:r>
                <m:rPr/>
                <w:rPr>
                  <w:rFonts w:ascii="Cambria Math" w:hAnsi="Cambria Math" w:cs="Times New Roman"/>
                  <w:szCs w:val="24"/>
                </w:rPr>
                <m:t>,k=1,2,3,…, n</m:t>
              </m:r>
              <m:ctrlPr>
                <w:rPr>
                  <w:rFonts w:ascii="Cambria Math" w:hAnsi="Cambria Math" w:cs="Times New Roman"/>
                  <w:i/>
                  <w:szCs w:val="24"/>
                </w:rPr>
              </m:ctrlPr>
            </m:e>
          </m:d>
        </m:oMath>
      </m:oMathPara>
    </w:p>
    <w:p>
      <w:pPr>
        <w:pStyle w:val="19"/>
        <w:rPr>
          <w:rStyle w:val="82"/>
        </w:rPr>
      </w:pPr>
      <w:r>
        <w:t>Solving adjacent neighbor means by the following formula:</w:t>
      </w:r>
    </w:p>
    <w:p>
      <w:pPr>
        <w:pStyle w:val="19"/>
        <w:rPr>
          <w:rStyle w:val="82"/>
        </w:rPr>
      </w:pPr>
      <m:oMathPara>
        <m:oMath>
          <m:sSup>
            <m:sSupPr>
              <m:ctrlPr>
                <w:rPr>
                  <w:rStyle w:val="82"/>
                  <w:rFonts w:ascii="Cambria Math" w:hAnsi="Cambria Math"/>
                  <w:i/>
                </w:rPr>
              </m:ctrlPr>
            </m:sSupPr>
            <m:e>
              <m:r>
                <m:rPr/>
                <w:rPr>
                  <w:rStyle w:val="82"/>
                  <w:rFonts w:ascii="Cambria Math" w:hAnsi="Cambria Math"/>
                </w:rPr>
                <m:t>Z</m:t>
              </m:r>
              <m:ctrlPr>
                <w:rPr>
                  <w:rStyle w:val="82"/>
                  <w:rFonts w:ascii="Cambria Math" w:hAnsi="Cambria Math"/>
                  <w:i/>
                </w:rPr>
              </m:ctrlPr>
            </m:e>
            <m:sup>
              <m:d>
                <m:dPr>
                  <m:ctrlPr>
                    <w:rPr>
                      <w:rStyle w:val="82"/>
                      <w:rFonts w:ascii="Cambria Math" w:hAnsi="Cambria Math"/>
                      <w:i/>
                    </w:rPr>
                  </m:ctrlPr>
                </m:dPr>
                <m:e>
                  <m:r>
                    <m:rPr/>
                    <w:rPr>
                      <w:rStyle w:val="82"/>
                      <w:rFonts w:ascii="Cambria Math" w:hAnsi="Cambria Math"/>
                    </w:rPr>
                    <m:t>1</m:t>
                  </m:r>
                  <m:ctrlPr>
                    <w:rPr>
                      <w:rStyle w:val="82"/>
                      <w:rFonts w:ascii="Cambria Math" w:hAnsi="Cambria Math"/>
                      <w:i/>
                    </w:rPr>
                  </m:ctrlPr>
                </m:e>
              </m:d>
              <m:ctrlPr>
                <w:rPr>
                  <w:rStyle w:val="82"/>
                  <w:rFonts w:ascii="Cambria Math" w:hAnsi="Cambria Math"/>
                  <w:i/>
                </w:rPr>
              </m:ctrlPr>
            </m:sup>
          </m:sSup>
          <m:d>
            <m:dPr>
              <m:ctrlPr>
                <w:rPr>
                  <w:rStyle w:val="82"/>
                  <w:rFonts w:ascii="Cambria Math" w:hAnsi="Cambria Math"/>
                  <w:i/>
                </w:rPr>
              </m:ctrlPr>
            </m:dPr>
            <m:e>
              <m:r>
                <m:rPr/>
                <w:rPr>
                  <w:rStyle w:val="82"/>
                  <w:rFonts w:ascii="Cambria Math" w:hAnsi="Cambria Math"/>
                </w:rPr>
                <m:t>t</m:t>
              </m:r>
              <m:ctrlPr>
                <w:rPr>
                  <w:rStyle w:val="82"/>
                  <w:rFonts w:ascii="Cambria Math" w:hAnsi="Cambria Math"/>
                  <w:i/>
                </w:rPr>
              </m:ctrlPr>
            </m:e>
          </m:d>
          <m:r>
            <m:rPr/>
            <w:rPr>
              <w:rStyle w:val="82"/>
              <w:rFonts w:ascii="Cambria Math" w:hAnsi="Cambria Math"/>
            </w:rPr>
            <m:t>=</m:t>
          </m:r>
          <m:f>
            <m:fPr>
              <m:ctrlPr>
                <w:rPr>
                  <w:rStyle w:val="82"/>
                  <w:rFonts w:ascii="Cambria Math" w:hAnsi="Cambria Math"/>
                  <w:i/>
                </w:rPr>
              </m:ctrlPr>
            </m:fPr>
            <m:num>
              <m:r>
                <m:rPr/>
                <w:rPr>
                  <w:rStyle w:val="82"/>
                  <w:rFonts w:ascii="Cambria Math" w:hAnsi="Cambria Math"/>
                </w:rPr>
                <m:t>1</m:t>
              </m:r>
              <m:ctrlPr>
                <w:rPr>
                  <w:rStyle w:val="82"/>
                  <w:rFonts w:ascii="Cambria Math" w:hAnsi="Cambria Math"/>
                  <w:i/>
                </w:rPr>
              </m:ctrlPr>
            </m:num>
            <m:den>
              <m:r>
                <m:rPr/>
                <w:rPr>
                  <w:rStyle w:val="82"/>
                  <w:rFonts w:ascii="Cambria Math" w:hAnsi="Cambria Math"/>
                </w:rPr>
                <m:t>2</m:t>
              </m:r>
              <m:ctrlPr>
                <w:rPr>
                  <w:rStyle w:val="82"/>
                  <w:rFonts w:ascii="Cambria Math" w:hAnsi="Cambria Math"/>
                  <w:i/>
                </w:rPr>
              </m:ctrlPr>
            </m:den>
          </m:f>
          <m:d>
            <m:dPr>
              <m:begChr m:val="["/>
              <m:endChr m:val="]"/>
              <m:ctrlPr>
                <w:rPr>
                  <w:rStyle w:val="82"/>
                  <w:rFonts w:ascii="Cambria Math" w:hAnsi="Cambria Math"/>
                  <w:i/>
                </w:rPr>
              </m:ctrlPr>
            </m:dPr>
            <m:e>
              <m:sSup>
                <m:sSupPr>
                  <m:ctrlPr>
                    <w:rPr>
                      <w:rStyle w:val="82"/>
                      <w:rFonts w:ascii="Cambria Math" w:hAnsi="Cambria Math"/>
                      <w:i/>
                    </w:rPr>
                  </m:ctrlPr>
                </m:sSupPr>
                <m:e>
                  <m:r>
                    <m:rPr/>
                    <w:rPr>
                      <w:rStyle w:val="82"/>
                      <w:rFonts w:ascii="Cambria Math" w:hAnsi="Cambria Math"/>
                    </w:rPr>
                    <m:t>X</m:t>
                  </m:r>
                  <m:ctrlPr>
                    <w:rPr>
                      <w:rStyle w:val="82"/>
                      <w:rFonts w:ascii="Cambria Math" w:hAnsi="Cambria Math"/>
                      <w:i/>
                    </w:rPr>
                  </m:ctrlPr>
                </m:e>
                <m:sup>
                  <m:d>
                    <m:dPr>
                      <m:ctrlPr>
                        <w:rPr>
                          <w:rStyle w:val="82"/>
                          <w:rFonts w:ascii="Cambria Math" w:hAnsi="Cambria Math"/>
                          <w:i/>
                        </w:rPr>
                      </m:ctrlPr>
                    </m:dPr>
                    <m:e>
                      <m:r>
                        <m:rPr/>
                        <w:rPr>
                          <w:rStyle w:val="82"/>
                          <w:rFonts w:ascii="Cambria Math" w:hAnsi="Cambria Math"/>
                        </w:rPr>
                        <m:t>1</m:t>
                      </m:r>
                      <m:ctrlPr>
                        <w:rPr>
                          <w:rStyle w:val="82"/>
                          <w:rFonts w:ascii="Cambria Math" w:hAnsi="Cambria Math"/>
                          <w:i/>
                        </w:rPr>
                      </m:ctrlPr>
                    </m:e>
                  </m:d>
                  <m:ctrlPr>
                    <w:rPr>
                      <w:rStyle w:val="82"/>
                      <w:rFonts w:ascii="Cambria Math" w:hAnsi="Cambria Math"/>
                      <w:i/>
                    </w:rPr>
                  </m:ctrlPr>
                </m:sup>
              </m:sSup>
              <m:d>
                <m:dPr>
                  <m:ctrlPr>
                    <w:rPr>
                      <w:rStyle w:val="82"/>
                      <w:rFonts w:ascii="Cambria Math" w:hAnsi="Cambria Math"/>
                      <w:i/>
                    </w:rPr>
                  </m:ctrlPr>
                </m:dPr>
                <m:e>
                  <m:r>
                    <m:rPr/>
                    <w:rPr>
                      <w:rStyle w:val="82"/>
                      <w:rFonts w:ascii="Cambria Math" w:hAnsi="Cambria Math"/>
                    </w:rPr>
                    <m:t>t</m:t>
                  </m:r>
                  <m:ctrlPr>
                    <w:rPr>
                      <w:rStyle w:val="82"/>
                      <w:rFonts w:ascii="Cambria Math" w:hAnsi="Cambria Math"/>
                      <w:i/>
                    </w:rPr>
                  </m:ctrlPr>
                </m:e>
              </m:d>
              <m:r>
                <m:rPr/>
                <w:rPr>
                  <w:rStyle w:val="82"/>
                  <w:rFonts w:ascii="Cambria Math" w:hAnsi="Cambria Math"/>
                </w:rPr>
                <m:t>+</m:t>
              </m:r>
              <m:sSup>
                <m:sSupPr>
                  <m:ctrlPr>
                    <w:rPr>
                      <w:rStyle w:val="82"/>
                      <w:rFonts w:ascii="Cambria Math" w:hAnsi="Cambria Math"/>
                      <w:i/>
                    </w:rPr>
                  </m:ctrlPr>
                </m:sSupPr>
                <m:e>
                  <m:r>
                    <m:rPr/>
                    <w:rPr>
                      <w:rStyle w:val="82"/>
                      <w:rFonts w:ascii="Cambria Math" w:hAnsi="Cambria Math"/>
                    </w:rPr>
                    <m:t>X</m:t>
                  </m:r>
                  <m:ctrlPr>
                    <w:rPr>
                      <w:rStyle w:val="82"/>
                      <w:rFonts w:ascii="Cambria Math" w:hAnsi="Cambria Math"/>
                      <w:i/>
                    </w:rPr>
                  </m:ctrlPr>
                </m:e>
                <m:sup>
                  <m:d>
                    <m:dPr>
                      <m:ctrlPr>
                        <w:rPr>
                          <w:rStyle w:val="82"/>
                          <w:rFonts w:ascii="Cambria Math" w:hAnsi="Cambria Math"/>
                          <w:i/>
                        </w:rPr>
                      </m:ctrlPr>
                    </m:dPr>
                    <m:e>
                      <m:r>
                        <m:rPr/>
                        <w:rPr>
                          <w:rStyle w:val="82"/>
                          <w:rFonts w:ascii="Cambria Math" w:hAnsi="Cambria Math"/>
                        </w:rPr>
                        <m:t>1</m:t>
                      </m:r>
                      <m:ctrlPr>
                        <w:rPr>
                          <w:rStyle w:val="82"/>
                          <w:rFonts w:ascii="Cambria Math" w:hAnsi="Cambria Math"/>
                          <w:i/>
                        </w:rPr>
                      </m:ctrlPr>
                    </m:e>
                  </m:d>
                  <m:ctrlPr>
                    <w:rPr>
                      <w:rStyle w:val="82"/>
                      <w:rFonts w:ascii="Cambria Math" w:hAnsi="Cambria Math"/>
                      <w:i/>
                    </w:rPr>
                  </m:ctrlPr>
                </m:sup>
              </m:sSup>
              <m:d>
                <m:dPr>
                  <m:ctrlPr>
                    <w:rPr>
                      <w:rStyle w:val="82"/>
                      <w:rFonts w:ascii="Cambria Math" w:hAnsi="Cambria Math"/>
                      <w:i/>
                    </w:rPr>
                  </m:ctrlPr>
                </m:dPr>
                <m:e>
                  <m:r>
                    <m:rPr/>
                    <w:rPr>
                      <w:rStyle w:val="82"/>
                      <w:rFonts w:ascii="Cambria Math" w:hAnsi="Cambria Math"/>
                    </w:rPr>
                    <m:t>t+1</m:t>
                  </m:r>
                  <m:ctrlPr>
                    <w:rPr>
                      <w:rStyle w:val="82"/>
                      <w:rFonts w:ascii="Cambria Math" w:hAnsi="Cambria Math"/>
                      <w:i/>
                    </w:rPr>
                  </m:ctrlPr>
                </m:e>
              </m:d>
              <m:ctrlPr>
                <w:rPr>
                  <w:rStyle w:val="82"/>
                  <w:rFonts w:ascii="Cambria Math" w:hAnsi="Cambria Math"/>
                  <w:i/>
                </w:rPr>
              </m:ctrlPr>
            </m:e>
          </m:d>
          <m:r>
            <m:rPr/>
            <w:rPr>
              <w:rStyle w:val="82"/>
              <w:rFonts w:ascii="Cambria Math" w:hAnsi="Cambria Math"/>
            </w:rPr>
            <m:t>, t=1, 2, 3…, n</m:t>
          </m:r>
        </m:oMath>
      </m:oMathPara>
    </w:p>
    <w:p>
      <w:pPr>
        <w:rPr>
          <w:rFonts w:cs="Times New Roman"/>
          <w:szCs w:val="24"/>
        </w:rPr>
      </w:pPr>
      <w:r>
        <w:rPr>
          <w:rFonts w:cs="Times New Roman"/>
          <w:szCs w:val="24"/>
        </w:rPr>
        <w:t xml:space="preserve">Establishing first-order linear differential equations by the following formula: </w:t>
      </w:r>
    </w:p>
    <w:p>
      <w:pPr>
        <w:pStyle w:val="19"/>
        <w:rPr>
          <w:i/>
        </w:rPr>
      </w:pPr>
      <m:oMathPara>
        <m:oMath>
          <m:f>
            <m:fPr>
              <m:ctrlPr>
                <w:rPr>
                  <w:rFonts w:ascii="Cambria Math" w:hAnsi="Cambria Math"/>
                  <w:i/>
                </w:rPr>
              </m:ctrlPr>
            </m:fPr>
            <m:num>
              <m:sSup>
                <m:sSupPr>
                  <m:ctrlPr>
                    <w:rPr>
                      <w:rFonts w:ascii="Cambria Math" w:hAnsi="Cambria Math"/>
                      <w:i/>
                    </w:rPr>
                  </m:ctrlPr>
                </m:sSupPr>
                <m:e>
                  <m:r>
                    <m:rPr/>
                    <w:rPr>
                      <w:rFonts w:ascii="Cambria Math" w:hAnsi="Cambria Math"/>
                    </w:rPr>
                    <m:t>dX</m:t>
                  </m:r>
                  <m:ctrlPr>
                    <w:rPr>
                      <w:rFonts w:ascii="Cambria Math" w:hAnsi="Cambria Math"/>
                      <w:i/>
                    </w:rPr>
                  </m:ctrlPr>
                </m:e>
                <m:sup>
                  <m:d>
                    <m:dPr>
                      <m:ctrlPr>
                        <w:rPr>
                          <w:rFonts w:ascii="Cambria Math" w:hAnsi="Cambria Math"/>
                          <w:i/>
                        </w:rPr>
                      </m:ctrlPr>
                    </m:dPr>
                    <m:e>
                      <m:r>
                        <m:rPr/>
                        <w:rPr>
                          <w:rFonts w:ascii="Cambria Math" w:hAnsi="Cambria Math"/>
                        </w:rPr>
                        <m:t>1</m:t>
                      </m:r>
                      <m:ctrlPr>
                        <w:rPr>
                          <w:rFonts w:ascii="Cambria Math" w:hAnsi="Cambria Math"/>
                          <w:i/>
                        </w:rPr>
                      </m:ctrlPr>
                    </m:e>
                  </m:d>
                  <m:ctrlPr>
                    <w:rPr>
                      <w:rFonts w:ascii="Cambria Math" w:hAnsi="Cambria Math"/>
                      <w:i/>
                    </w:rPr>
                  </m:ctrlPr>
                </m:sup>
              </m:sSup>
              <m:r>
                <m:rPr/>
                <w:rPr>
                  <w:rFonts w:ascii="Cambria Math" w:hAnsi="Cambria Math"/>
                </w:rPr>
                <m:t>(t)</m:t>
              </m:r>
              <m:ctrlPr>
                <w:rPr>
                  <w:rFonts w:ascii="Cambria Math" w:hAnsi="Cambria Math"/>
                  <w:i/>
                </w:rPr>
              </m:ctrlPr>
            </m:num>
            <m:den>
              <m:r>
                <m:rPr/>
                <w:rPr>
                  <w:rFonts w:ascii="Cambria Math" w:hAnsi="Cambria Math"/>
                </w:rPr>
                <m:t>dt</m:t>
              </m:r>
              <m:ctrlPr>
                <w:rPr>
                  <w:rFonts w:ascii="Cambria Math" w:hAnsi="Cambria Math"/>
                  <w:i/>
                </w:rPr>
              </m:ctrlPr>
            </m:den>
          </m:f>
          <m:r>
            <m:rPr/>
            <w:rPr>
              <w:rFonts w:ascii="Cambria Math" w:hAnsi="Cambria Math"/>
            </w:rPr>
            <m:t>+</m:t>
          </m:r>
          <m:sSup>
            <m:sSupPr>
              <m:ctrlPr>
                <w:rPr>
                  <w:rFonts w:ascii="Cambria Math" w:hAnsi="Cambria Math"/>
                  <w:i/>
                </w:rPr>
              </m:ctrlPr>
            </m:sSupPr>
            <m:e>
              <m:r>
                <m:rPr/>
                <w:rPr>
                  <w:rFonts w:ascii="Cambria Math" w:hAnsi="Cambria Math"/>
                </w:rPr>
                <m:t>ax</m:t>
              </m:r>
              <m:ctrlPr>
                <w:rPr>
                  <w:rFonts w:ascii="Cambria Math" w:hAnsi="Cambria Math"/>
                  <w:i/>
                </w:rPr>
              </m:ctrlPr>
            </m:e>
            <m:sup>
              <m:d>
                <m:dPr>
                  <m:ctrlPr>
                    <w:rPr>
                      <w:rFonts w:ascii="Cambria Math" w:hAnsi="Cambria Math"/>
                      <w:i/>
                    </w:rPr>
                  </m:ctrlPr>
                </m:dPr>
                <m:e>
                  <m:r>
                    <m:rPr/>
                    <w:rPr>
                      <w:rFonts w:ascii="Cambria Math" w:hAnsi="Cambria Math"/>
                    </w:rPr>
                    <m:t>1</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=u</m:t>
          </m:r>
        </m:oMath>
      </m:oMathPara>
    </w:p>
    <w:p>
      <w:pPr>
        <w:pStyle w:val="19"/>
      </w:pPr>
      <w:r>
        <w:t xml:space="preserve">Assuming that </w:t>
      </w:r>
      <m:oMath>
        <m:acc>
          <m:accPr>
            <m:ctrlPr>
              <w:rPr>
                <w:rFonts w:ascii="Cambria Math" w:hAnsi="Cambria Math"/>
                <w:i/>
              </w:rPr>
            </m:ctrlPr>
          </m:accPr>
          <m:e>
            <m:r>
              <m:rPr/>
              <w:rPr>
                <w:rFonts w:ascii="Cambria Math" w:hAnsi="Cambria Math"/>
              </w:rPr>
              <m:t>a</m:t>
            </m:r>
            <m:ctrlPr>
              <w:rPr>
                <w:rFonts w:ascii="Cambria Math" w:hAnsi="Cambria Math"/>
                <w:i/>
              </w:rPr>
            </m:ctrlPr>
          </m:e>
        </m:acc>
        <m:r>
          <m:rPr/>
          <w:rPr>
            <w:rFonts w:ascii="Cambria Math" w:hAnsi="Cambria Math"/>
          </w:rPr>
          <m:t>=</m:t>
        </m:r>
        <m:sSup>
          <m:sSupPr>
            <m:ctrlPr>
              <w:rPr>
                <w:rFonts w:ascii="Cambria Math" w:hAnsi="Cambria Math"/>
                <w:i/>
              </w:rPr>
            </m:ctrlPr>
          </m:sSupPr>
          <m:e>
            <m:r>
              <m:rPr/>
              <w:rPr>
                <w:rFonts w:ascii="Cambria Math" w:hAnsi="Cambria Math"/>
              </w:rPr>
              <m:t xml:space="preserve">(a, </m:t>
            </m:r>
            <m:r>
              <m:rPr/>
              <w:rPr>
                <w:rFonts w:hint="eastAsia" w:ascii="Cambria Math" w:hAnsi="Cambria Math"/>
                <w:lang w:eastAsia="zh-CN"/>
              </w:rPr>
              <m:t>b</m:t>
            </m:r>
            <m:r>
              <m:rPr/>
              <w:rPr>
                <w:rFonts w:ascii="Cambria Math" w:hAnsi="Cambria Math"/>
              </w:rPr>
              <m:t>)</m:t>
            </m:r>
            <m:ctrlPr>
              <w:rPr>
                <w:rFonts w:ascii="Cambria Math" w:hAnsi="Cambria Math"/>
                <w:i/>
              </w:rPr>
            </m:ctrlPr>
          </m:e>
          <m:sup>
            <m:r>
              <m:rPr/>
              <w:rPr>
                <w:rFonts w:ascii="Cambria Math" w:hAnsi="Cambria Math"/>
              </w:rPr>
              <m:t>T</m:t>
            </m:r>
            <m:ctrlPr>
              <w:rPr>
                <w:rFonts w:ascii="Cambria Math" w:hAnsi="Cambria Math"/>
                <w:i/>
              </w:rPr>
            </m:ctrlPr>
          </m:sup>
        </m:sSup>
      </m:oMath>
      <w:r>
        <w:rPr>
          <w:position w:val="10"/>
        </w:rPr>
        <w:t xml:space="preserve"> </w:t>
      </w:r>
      <w:r>
        <w:t xml:space="preserve">then identification a can be calculated by the following formula: </w:t>
      </w:r>
    </w:p>
    <w:p>
      <w:pPr>
        <w:pStyle w:val="19"/>
      </w:pPr>
      <m:oMathPara>
        <m:oMath>
          <m:acc>
            <m:accPr>
              <m:ctrlPr>
                <w:rPr>
                  <w:rFonts w:ascii="Cambria Math" w:hAnsi="Cambria Math"/>
                  <w:i/>
                </w:rPr>
              </m:ctrlPr>
            </m:accPr>
            <m:e>
              <m:r>
                <m:rPr/>
                <w:rPr>
                  <w:rFonts w:ascii="Cambria Math" w:hAnsi="Cambria Math"/>
                </w:rPr>
                <m:t>a</m:t>
              </m:r>
              <m:ctrlPr>
                <w:rPr>
                  <w:rFonts w:ascii="Cambria Math" w:hAnsi="Cambria Math"/>
                  <w:i/>
                </w:rPr>
              </m:ctrlPr>
            </m:e>
          </m:acc>
          <m:r>
            <m:rPr/>
            <w:rPr>
              <w:rFonts w:ascii="Cambria Math" w:hAnsi="Cambria Math"/>
            </w:rPr>
            <m:t>=</m:t>
          </m:r>
          <m:sSup>
            <m:sSupPr>
              <m:ctrlPr>
                <w:rPr>
                  <w:rFonts w:ascii="Cambria Math" w:hAnsi="Cambria Math"/>
                  <w:i/>
                </w:rPr>
              </m:ctrlPr>
            </m:sSupPr>
            <m:e>
              <m:r>
                <m:rPr/>
                <w:rPr>
                  <w:rFonts w:ascii="Cambria Math" w:hAnsi="Cambria Math"/>
                </w:rPr>
                <m:t>(</m:t>
              </m:r>
              <m:sSup>
                <m:sSupPr>
                  <m:ctrlPr>
                    <w:rPr>
                      <w:rFonts w:ascii="Cambria Math" w:hAnsi="Cambria Math"/>
                      <w:i/>
                    </w:rPr>
                  </m:ctrlPr>
                </m:sSupPr>
                <m:e>
                  <m:r>
                    <m:rPr/>
                    <w:rPr>
                      <w:rFonts w:ascii="Cambria Math" w:hAnsi="Cambria Math"/>
                    </w:rPr>
                    <m:t>B</m:t>
                  </m:r>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rPr>
                <m:t>B)</m:t>
              </m:r>
              <m:ctrlPr>
                <w:rPr>
                  <w:rFonts w:ascii="Cambria Math" w:hAnsi="Cambria Math"/>
                  <w:i/>
                </w:rPr>
              </m:ctrlPr>
            </m:e>
            <m:sup>
              <m:r>
                <m:rPr/>
                <w:rPr>
                  <w:rFonts w:ascii="Cambria Math" w:hAnsi="Cambria Math"/>
                </w:rPr>
                <m:t>−1</m:t>
              </m:r>
              <m:ctrlPr>
                <w:rPr>
                  <w:rFonts w:ascii="Cambria Math" w:hAnsi="Cambria Math"/>
                  <w:i/>
                </w:rPr>
              </m:ctrlPr>
            </m:sup>
          </m:sSup>
          <m:sSup>
            <m:sSupPr>
              <m:ctrlPr>
                <w:rPr>
                  <w:rFonts w:ascii="Cambria Math" w:hAnsi="Cambria Math"/>
                  <w:i/>
                </w:rPr>
              </m:ctrlPr>
            </m:sSupPr>
            <m:e>
              <m:r>
                <m:rPr/>
                <w:rPr>
                  <w:rFonts w:ascii="Cambria Math" w:hAnsi="Cambria Math"/>
                </w:rPr>
                <m:t>B</m:t>
              </m:r>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rPr>
            <m:t>Y</m:t>
          </m:r>
        </m:oMath>
      </m:oMathPara>
    </w:p>
    <w:p>
      <w:pPr>
        <w:pStyle w:val="19"/>
      </w:pPr>
      <m:oMathPara>
        <m:oMath>
          <m:r>
            <m:rPr/>
            <w:rPr>
              <w:rFonts w:ascii="Cambria Math" w:hAnsi="Cambria Math"/>
            </w:rPr>
            <m:t>Y=</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w:rPr>
                          <w:rFonts w:ascii="Cambria Math" w:hAnsi="Cambria Math"/>
                        </w:rPr>
                        <m:t>X</m:t>
                      </m:r>
                      <m:ctrlPr>
                        <w:rPr>
                          <w:rFonts w:ascii="Cambria Math" w:hAnsi="Cambria Math"/>
                          <w:i/>
                        </w:rPr>
                      </m:ctrlPr>
                    </m:e>
                    <m:sup>
                      <m:d>
                        <m:dPr>
                          <m:ctrlPr>
                            <w:rPr>
                              <w:rFonts w:ascii="Cambria Math" w:hAnsi="Cambria Math"/>
                              <w:i/>
                            </w:rPr>
                          </m:ctrlPr>
                        </m:dPr>
                        <m:e>
                          <m:r>
                            <m:rPr/>
                            <w:rPr>
                              <w:rFonts w:ascii="Cambria Math" w:hAnsi="Cambria Math"/>
                            </w:rPr>
                            <m:t>0</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2</m:t>
                      </m:r>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hAnsi="Cambria Math"/>
                        </w:rPr>
                        <m:t>X</m:t>
                      </m:r>
                      <m:ctrlPr>
                        <w:rPr>
                          <w:rFonts w:ascii="Cambria Math" w:hAnsi="Cambria Math"/>
                          <w:i/>
                        </w:rPr>
                      </m:ctrlPr>
                    </m:e>
                    <m:sup>
                      <m:d>
                        <m:dPr>
                          <m:ctrlPr>
                            <w:rPr>
                              <w:rFonts w:ascii="Cambria Math" w:hAnsi="Cambria Math"/>
                              <w:i/>
                            </w:rPr>
                          </m:ctrlPr>
                        </m:dPr>
                        <m:e>
                          <m:r>
                            <m:rPr/>
                            <w:rPr>
                              <w:rFonts w:ascii="Cambria Math" w:hAnsi="Cambria Math"/>
                            </w:rPr>
                            <m:t>0</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3</m:t>
                      </m:r>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hAnsi="Cambria Math"/>
                        </w:rPr>
                        <m:t>X</m:t>
                      </m:r>
                      <m:ctrlPr>
                        <w:rPr>
                          <w:rFonts w:ascii="Cambria Math" w:hAnsi="Cambria Math"/>
                          <w:i/>
                        </w:rPr>
                      </m:ctrlPr>
                    </m:e>
                    <m:sup>
                      <m:d>
                        <m:dPr>
                          <m:ctrlPr>
                            <w:rPr>
                              <w:rFonts w:ascii="Cambria Math" w:hAnsi="Cambria Math"/>
                              <w:i/>
                            </w:rPr>
                          </m:ctrlPr>
                        </m:dPr>
                        <m:e>
                          <m:r>
                            <m:rPr/>
                            <w:rPr>
                              <w:rFonts w:ascii="Cambria Math" w:hAnsi="Cambria Math"/>
                            </w:rPr>
                            <m:t>0</m:t>
                          </m:r>
                          <m:ctrlPr>
                            <w:rPr>
                              <w:rFonts w:ascii="Cambria Math" w:hAnsi="Cambria Math"/>
                              <w:i/>
                            </w:rPr>
                          </m:ctrlPr>
                        </m:e>
                      </m:d>
                      <m:ctrlPr>
                        <w:rPr>
                          <w:rFonts w:ascii="Cambria Math" w:hAnsi="Cambria Math"/>
                          <w:i/>
                        </w:rPr>
                      </m:ctrlPr>
                    </m:sup>
                  </m:sSup>
                  <m:r>
                    <m:rPr/>
                    <w:rPr>
                      <w:rFonts w:ascii="Cambria Math" w:hAnsi="Cambria Math"/>
                    </w:rPr>
                    <m:t>(n)</m:t>
                  </m:r>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oMath>
      </m:oMathPara>
    </w:p>
    <w:p>
      <w:pPr>
        <w:pStyle w:val="19"/>
      </w:pPr>
      <m:oMathPara>
        <m:oMath>
          <m:r>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m:rPr/>
                          <w:rPr>
                            <w:rFonts w:ascii="Cambria Math" w:hAnsi="Cambria Math"/>
                          </w:rPr>
                          <m:t>−Z</m:t>
                        </m:r>
                        <m:ctrlPr>
                          <w:rPr>
                            <w:rFonts w:ascii="Cambria Math" w:hAnsi="Cambria Math"/>
                            <w:i/>
                          </w:rPr>
                        </m:ctrlPr>
                      </m:e>
                      <m:sup>
                        <m:d>
                          <m:dPr>
                            <m:ctrlPr>
                              <w:rPr>
                                <w:rFonts w:ascii="Cambria Math" w:hAnsi="Cambria Math"/>
                                <w:i/>
                              </w:rPr>
                            </m:ctrlPr>
                          </m:dPr>
                          <m:e>
                            <m:r>
                              <m:rPr/>
                              <w:rPr>
                                <w:rFonts w:ascii="Cambria Math" w:hAnsi="Cambria Math"/>
                              </w:rPr>
                              <m:t>1</m:t>
                            </m:r>
                            <m:ctrlPr>
                              <w:rPr>
                                <w:rFonts w:ascii="Cambria Math" w:hAnsi="Cambria Math"/>
                                <w:i/>
                              </w:rPr>
                            </m:ctrlPr>
                          </m:e>
                        </m:d>
                        <m:ctrlPr>
                          <w:rPr>
                            <w:rFonts w:ascii="Cambria Math" w:hAnsi="Cambria Math"/>
                            <w:i/>
                          </w:rPr>
                        </m:ctrlPr>
                      </m:sup>
                    </m:sSup>
                    <m:r>
                      <m:rPr/>
                      <w:rPr>
                        <w:rFonts w:ascii="Cambria Math" w:hAnsi="Cambria Math"/>
                      </w:rPr>
                      <m:t>(2)</m:t>
                    </m:r>
                    <m:ctrlPr>
                      <w:rPr>
                        <w:rFonts w:ascii="Cambria Math" w:hAnsi="Cambria Math"/>
                        <w:i/>
                      </w:rPr>
                    </m:ctrlPr>
                  </m:e>
                  <m:e>
                    <m:r>
                      <m:rPr/>
                      <w:rPr>
                        <w:rFonts w:ascii="Cambria Math" w:hAnsi="Cambria Math"/>
                      </w:rPr>
                      <m:t>1</m:t>
                    </m:r>
                    <m:ctrlPr>
                      <w:rPr>
                        <w:rFonts w:ascii="Cambria Math" w:hAnsi="Cambria Math"/>
                        <w:i/>
                      </w:rPr>
                    </m:ctrlPr>
                  </m:e>
                </m:mr>
                <m:mr>
                  <m:e>
                    <m:sSup>
                      <m:sSupPr>
                        <m:ctrlPr>
                          <w:rPr>
                            <w:rFonts w:ascii="Cambria Math" w:hAnsi="Cambria Math"/>
                            <w:i/>
                          </w:rPr>
                        </m:ctrlPr>
                      </m:sSupPr>
                      <m:e>
                        <m:r>
                          <m:rPr/>
                          <w:rPr>
                            <w:rFonts w:ascii="Cambria Math" w:hAnsi="Cambria Math"/>
                          </w:rPr>
                          <m:t>−Z</m:t>
                        </m:r>
                        <m:ctrlPr>
                          <w:rPr>
                            <w:rFonts w:ascii="Cambria Math" w:hAnsi="Cambria Math"/>
                            <w:i/>
                          </w:rPr>
                        </m:ctrlPr>
                      </m:e>
                      <m:sup>
                        <m:d>
                          <m:dPr>
                            <m:ctrlPr>
                              <w:rPr>
                                <w:rFonts w:ascii="Cambria Math" w:hAnsi="Cambria Math"/>
                                <w:i/>
                              </w:rPr>
                            </m:ctrlPr>
                          </m:dPr>
                          <m:e>
                            <m:r>
                              <m:rPr/>
                              <w:rPr>
                                <w:rFonts w:ascii="Cambria Math" w:hAnsi="Cambria Math"/>
                              </w:rPr>
                              <m:t>1</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3</m:t>
                        </m:r>
                        <m:ctrlPr>
                          <w:rPr>
                            <w:rFonts w:ascii="Cambria Math" w:hAnsi="Cambria Math"/>
                            <w:i/>
                          </w:rPr>
                        </m:ctrlPr>
                      </m:e>
                    </m:d>
                    <m:ctrlPr>
                      <w:rPr>
                        <w:rFonts w:ascii="Cambria Math" w:hAnsi="Cambria Math"/>
                        <w:i/>
                      </w:rPr>
                    </m:ctrlPr>
                  </m:e>
                  <m:e>
                    <m:r>
                      <m:rPr/>
                      <w:rPr>
                        <w:rFonts w:ascii="Cambria Math" w:hAnsi="Cambria Math"/>
                      </w:rPr>
                      <m:t>1</m:t>
                    </m:r>
                    <m:ctrlPr>
                      <w:rPr>
                        <w:rFonts w:ascii="Cambria Math" w:hAnsi="Cambria Math"/>
                        <w:i/>
                      </w:rPr>
                    </m:ctrlPr>
                  </m:e>
                </m:mr>
                <m:mr>
                  <m:e>
                    <m:m>
                      <m:mPr>
                        <m:mcs>
                          <m:mc>
                            <m:mcPr>
                              <m:count m:val="1"/>
                              <m:mcJc m:val="center"/>
                            </m:mcPr>
                          </m:mc>
                        </m:mcs>
                        <m:ctrlPr>
                          <w:rPr>
                            <w:rFonts w:ascii="Cambria Math" w:hAnsi="Cambria Math"/>
                            <w:i/>
                          </w:rPr>
                        </m:ctrlPr>
                      </m:mPr>
                      <m:mr>
                        <m:e>
                          <m:r>
                            <m:rPr/>
                            <w:rPr>
                              <w:rFonts w:ascii="Cambria Math" w:hAnsi="Cambria Math"/>
                            </w:rPr>
                            <m:t>⋮</m:t>
                          </m:r>
                          <m:ctrlPr>
                            <w:rPr>
                              <w:rFonts w:ascii="Cambria Math" w:hAnsi="Cambria Math"/>
                              <w:i/>
                            </w:rPr>
                          </m:ctrlPr>
                        </m:e>
                      </m:mr>
                      <m:mr>
                        <m:e>
                          <m:r>
                            <m:rPr/>
                            <w:rPr>
                              <w:rFonts w:ascii="Cambria Math" w:hAnsi="Cambria Math"/>
                            </w:rPr>
                            <m:t>−</m:t>
                          </m:r>
                          <m:sSup>
                            <m:sSupPr>
                              <m:ctrlPr>
                                <w:rPr>
                                  <w:rFonts w:ascii="Cambria Math" w:hAnsi="Cambria Math"/>
                                  <w:i/>
                                </w:rPr>
                              </m:ctrlPr>
                            </m:sSupPr>
                            <m:e>
                              <m:r>
                                <m:rPr/>
                                <w:rPr>
                                  <w:rFonts w:ascii="Cambria Math" w:hAnsi="Cambria Math"/>
                                </w:rPr>
                                <m:t>Z</m:t>
                              </m:r>
                              <m:ctrlPr>
                                <w:rPr>
                                  <w:rFonts w:ascii="Cambria Math" w:hAnsi="Cambria Math"/>
                                  <w:i/>
                                </w:rPr>
                              </m:ctrlPr>
                            </m:e>
                            <m:sup>
                              <m:d>
                                <m:dPr>
                                  <m:ctrlPr>
                                    <w:rPr>
                                      <w:rFonts w:ascii="Cambria Math" w:hAnsi="Cambria Math"/>
                                      <w:i/>
                                    </w:rPr>
                                  </m:ctrlPr>
                                </m:dPr>
                                <m:e>
                                  <m:r>
                                    <m:rPr/>
                                    <w:rPr>
                                      <w:rFonts w:ascii="Cambria Math" w:hAnsi="Cambria Math"/>
                                    </w:rPr>
                                    <m:t>1</m:t>
                                  </m:r>
                                  <m:ctrlPr>
                                    <w:rPr>
                                      <w:rFonts w:ascii="Cambria Math" w:hAnsi="Cambria Math"/>
                                      <w:i/>
                                    </w:rPr>
                                  </m:ctrlPr>
                                </m:e>
                              </m:d>
                              <m:ctrlPr>
                                <w:rPr>
                                  <w:rFonts w:ascii="Cambria Math" w:hAnsi="Cambria Math"/>
                                  <w:i/>
                                </w:rPr>
                              </m:ctrlPr>
                            </m:sup>
                          </m:sSup>
                          <m:r>
                            <m:rPr/>
                            <w:rPr>
                              <w:rFonts w:ascii="Cambria Math" w:hAnsi="Cambria Math"/>
                            </w:rPr>
                            <m:t>(n)</m:t>
                          </m:r>
                          <m:ctrlPr>
                            <w:rPr>
                              <w:rFonts w:ascii="Cambria Math" w:hAnsi="Cambria Math"/>
                              <w:i/>
                            </w:rPr>
                          </m:ctrlPr>
                        </m:e>
                      </m:mr>
                    </m:m>
                    <m:ctrlPr>
                      <w:rPr>
                        <w:rFonts w:ascii="Cambria Math" w:hAnsi="Cambria Math"/>
                        <w:i/>
                      </w:rPr>
                    </m:ctrlPr>
                  </m:e>
                  <m:e>
                    <m:m>
                      <m:mPr>
                        <m:mcs>
                          <m:mc>
                            <m:mcPr>
                              <m:count m:val="1"/>
                              <m:mcJc m:val="center"/>
                            </m:mcPr>
                          </m:mc>
                        </m:mcs>
                        <m:ctrlPr>
                          <w:rPr>
                            <w:rFonts w:ascii="Cambria Math" w:hAnsi="Cambria Math"/>
                            <w:i/>
                          </w:rPr>
                        </m:ctrlPr>
                      </m:mPr>
                      <m:mr>
                        <m:e>
                          <m:r>
                            <m:rPr/>
                            <w:rPr>
                              <w:rFonts w:ascii="Cambria Math" w:hAnsi="Cambria Math"/>
                            </w:rPr>
                            <m:t>⋮</m:t>
                          </m:r>
                          <m:ctrlPr>
                            <w:rPr>
                              <w:rFonts w:ascii="Cambria Math" w:hAnsi="Cambria Math"/>
                              <w:i/>
                            </w:rPr>
                          </m:ctrlPr>
                        </m:e>
                      </m:mr>
                      <m:mr>
                        <m:e>
                          <m:r>
                            <m:rPr/>
                            <w:rPr>
                              <w:rFonts w:ascii="Cambria Math" w:hAnsi="Cambria Math"/>
                            </w:rPr>
                            <m:t>1</m:t>
                          </m:r>
                          <m:ctrlPr>
                            <w:rPr>
                              <w:rFonts w:ascii="Cambria Math" w:hAnsi="Cambria Math"/>
                              <w:i/>
                            </w:rPr>
                          </m:ctrlPr>
                        </m:e>
                      </m:mr>
                    </m:m>
                    <m:ctrlPr>
                      <w:rPr>
                        <w:rFonts w:ascii="Cambria Math" w:hAnsi="Cambria Math"/>
                        <w:i/>
                      </w:rPr>
                    </m:ctrlPr>
                  </m:e>
                </m:mr>
              </m:m>
              <m:ctrlPr>
                <w:rPr>
                  <w:rFonts w:ascii="Cambria Math" w:hAnsi="Cambria Math"/>
                  <w:i/>
                </w:rPr>
              </m:ctrlPr>
            </m:e>
          </m:d>
        </m:oMath>
      </m:oMathPara>
    </w:p>
    <w:p>
      <w:pPr>
        <w:pStyle w:val="19"/>
        <w:spacing w:beforeAutospacing="0" w:after="120" w:afterLines="50" w:afterAutospacing="0" w:line="360" w:lineRule="auto"/>
        <w:jc w:val="both"/>
        <w:rPr>
          <w:color w:val="2E3033"/>
        </w:rPr>
      </w:pPr>
      <w:r>
        <w:rPr>
          <w:color w:val="2E3033"/>
        </w:rPr>
        <w:t> </w:t>
      </w:r>
    </w:p>
    <w:p>
      <w:pPr>
        <w:pStyle w:val="19"/>
      </w:pPr>
      <w:r>
        <w:t xml:space="preserve">The GM(1,1) model can be expressed as: </w:t>
      </w:r>
    </w:p>
    <w:p>
      <w:pPr>
        <w:pStyle w:val="19"/>
        <w:rPr>
          <w:iCs/>
          <w:color w:val="000000" w:themeColor="text1"/>
          <w14:textFill>
            <w14:solidFill>
              <w14:schemeClr w14:val="tx1"/>
            </w14:solidFill>
          </w14:textFill>
        </w:rPr>
      </w:pPr>
      <m:oMathPara>
        <m:oMath>
          <m:sSup>
            <m:sSupPr>
              <m:ctrlPr>
                <w:rPr>
                  <w:rFonts w:ascii="Cambria Math" w:hAnsi="Cambria Math"/>
                  <w:i/>
                  <w:color w:val="000000" w:themeColor="text1"/>
                  <w14:textFill>
                    <w14:solidFill>
                      <w14:schemeClr w14:val="tx1"/>
                    </w14:solidFill>
                  </w14:textFill>
                </w:rPr>
              </m:ctrlPr>
            </m:sSupPr>
            <m:e>
              <m:acc>
                <m:accPr>
                  <m:ctrlPr>
                    <w:rPr>
                      <w:rFonts w:ascii="Cambria Math" w:hAnsi="Cambria Math"/>
                      <w:i/>
                      <w:color w:val="000000" w:themeColor="text1"/>
                      <w14:textFill>
                        <w14:solidFill>
                          <w14:schemeClr w14:val="tx1"/>
                        </w14:solidFill>
                      </w14:textFill>
                    </w:rPr>
                  </m:ctrlPr>
                </m:accPr>
                <m:e>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e>
              </m:acc>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sup>
          </m:sSup>
          <m:d>
            <m:dPr>
              <m:ctrlPr>
                <w:rPr>
                  <w:rFonts w:ascii="Cambria Math" w:hAnsi="Cambria Math"/>
                  <w:iCs/>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g+1</m:t>
              </m:r>
              <m:ctrlPr>
                <w:rPr>
                  <w:rFonts w:ascii="Cambria Math" w:hAnsi="Cambria Math"/>
                  <w:iCs/>
                  <w:color w:val="000000" w:themeColor="text1"/>
                  <w14:textFill>
                    <w14:solidFill>
                      <w14:schemeClr w14:val="tx1"/>
                    </w14:solidFill>
                  </w14:textFill>
                </w:rPr>
              </m:ctrlPr>
            </m:e>
          </m:d>
          <m:r>
            <m:rPr>
              <m:sty m:val="p"/>
            </m:rPr>
            <w:rPr>
              <w:rFonts w:ascii="Cambria Math" w:hAnsi="Cambria Math"/>
              <w:color w:val="000000" w:themeColor="text1"/>
              <w14:textFill>
                <w14:solidFill>
                  <w14:schemeClr w14:val="tx1"/>
                </w14:solidFill>
              </w14:textFill>
            </w:rPr>
            <m:t>=</m:t>
          </m:r>
          <m:f>
            <m:fPr>
              <m:ctrlPr>
                <w:rPr>
                  <w:rFonts w:ascii="Cambria Math" w:hAnsi="Cambria Math"/>
                  <w:iCs/>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b</m:t>
              </m:r>
              <m:ctrlPr>
                <w:rPr>
                  <w:rFonts w:ascii="Cambria Math" w:hAnsi="Cambria Math"/>
                  <w:iCs/>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a</m:t>
              </m:r>
              <m:ctrlPr>
                <w:rPr>
                  <w:rFonts w:ascii="Cambria Math" w:hAnsi="Cambria Math"/>
                  <w:iCs/>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d>
            <m:dPr>
              <m:begChr m:val="["/>
              <m:endChr m:val="]"/>
              <m:ctrlPr>
                <w:rPr>
                  <w:rFonts w:ascii="Cambria Math" w:hAnsi="Cambria Math"/>
                  <w:i/>
                  <w:iCs/>
                  <w:color w:val="000000" w:themeColor="text1"/>
                  <w14:textFill>
                    <w14:solidFill>
                      <w14:schemeClr w14:val="tx1"/>
                    </w14:solidFill>
                  </w14:textFill>
                </w:rPr>
              </m:ctrlPr>
            </m:dPr>
            <m:e>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X</m:t>
                  </m:r>
                  <m:ctrlPr>
                    <w:rPr>
                      <w:rFonts w:ascii="Cambria Math" w:hAnsi="Cambria Math"/>
                      <w:i/>
                      <w:iCs/>
                      <w:color w:val="000000" w:themeColor="text1"/>
                      <w14:textFill>
                        <w14:solidFill>
                          <w14:schemeClr w14:val="tx1"/>
                        </w14:solidFill>
                      </w14:textFill>
                    </w:rPr>
                  </m:ctrlPr>
                </m:e>
                <m:sup>
                  <m:d>
                    <m:dPr>
                      <m:ctrlPr>
                        <w:rPr>
                          <w:rFonts w:ascii="Cambria Math" w:hAnsi="Cambria Math"/>
                          <w:i/>
                          <w:iCs/>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0</m:t>
                      </m:r>
                      <m:ctrlPr>
                        <w:rPr>
                          <w:rFonts w:ascii="Cambria Math" w:hAnsi="Cambria Math"/>
                          <w:i/>
                          <w:iCs/>
                          <w:color w:val="000000" w:themeColor="text1"/>
                          <w14:textFill>
                            <w14:solidFill>
                              <w14:schemeClr w14:val="tx1"/>
                            </w14:solidFill>
                          </w14:textFill>
                        </w:rPr>
                      </m:ctrlPr>
                    </m:e>
                  </m:d>
                  <m:ctrlPr>
                    <w:rPr>
                      <w:rFonts w:ascii="Cambria Math" w:hAnsi="Cambria Math"/>
                      <w:i/>
                      <w:iCs/>
                      <w:color w:val="000000" w:themeColor="text1"/>
                      <w14:textFill>
                        <w14:solidFill>
                          <w14:schemeClr w14:val="tx1"/>
                        </w14:solidFill>
                      </w14:textFill>
                    </w:rPr>
                  </m:ctrlPr>
                </m:sup>
              </m:sSup>
              <m:d>
                <m:dPr>
                  <m:ctrlPr>
                    <w:rPr>
                      <w:rFonts w:ascii="Cambria Math" w:hAnsi="Cambria Math"/>
                      <w:i/>
                      <w:iCs/>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1</m:t>
                  </m:r>
                  <m:ctrlPr>
                    <w:rPr>
                      <w:rFonts w:ascii="Cambria Math" w:hAnsi="Cambria Math"/>
                      <w:i/>
                      <w:iCs/>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m:t>
              </m:r>
              <m:f>
                <m:fPr>
                  <m:ctrlPr>
                    <w:rPr>
                      <w:rFonts w:ascii="Cambria Math" w:hAnsi="Cambria Math"/>
                      <w:i/>
                      <w:iCs/>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b</m:t>
                  </m:r>
                  <m:ctrlPr>
                    <w:rPr>
                      <w:rFonts w:ascii="Cambria Math" w:hAnsi="Cambria Math"/>
                      <w:i/>
                      <w:iCs/>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a</m:t>
                  </m:r>
                  <m:ctrlPr>
                    <w:rPr>
                      <w:rFonts w:ascii="Cambria Math" w:hAnsi="Cambria Math"/>
                      <w:i/>
                      <w:iCs/>
                      <w:color w:val="000000" w:themeColor="text1"/>
                      <w14:textFill>
                        <w14:solidFill>
                          <w14:schemeClr w14:val="tx1"/>
                        </w14:solidFill>
                      </w14:textFill>
                    </w:rPr>
                  </m:ctrlPr>
                </m:den>
              </m:f>
              <m:ctrlPr>
                <w:rPr>
                  <w:rFonts w:ascii="Cambria Math" w:hAnsi="Cambria Math"/>
                  <w:i/>
                  <w:iCs/>
                  <w:color w:val="000000" w:themeColor="text1"/>
                  <w14:textFill>
                    <w14:solidFill>
                      <w14:schemeClr w14:val="tx1"/>
                    </w14:solidFill>
                  </w14:textFill>
                </w:rPr>
              </m:ctrlPr>
            </m:e>
          </m:d>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e</m:t>
              </m:r>
              <m:ctrlPr>
                <w:rPr>
                  <w:rFonts w:ascii="Cambria Math" w:hAnsi="Cambria Math"/>
                  <w:i/>
                  <w:iCs/>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−ag</m:t>
              </m:r>
              <m:ctrlPr>
                <w:rPr>
                  <w:rFonts w:ascii="Cambria Math" w:hAnsi="Cambria Math"/>
                  <w:i/>
                  <w:iCs/>
                  <w:color w:val="000000" w:themeColor="text1"/>
                  <w14:textFill>
                    <w14:solidFill>
                      <w14:schemeClr w14:val="tx1"/>
                    </w14:solidFill>
                  </w14:textFill>
                </w:rPr>
              </m:ctrlPr>
            </m:sup>
          </m:sSup>
          <m:r>
            <m:rPr/>
            <w:rPr>
              <w:rFonts w:ascii="Cambria Math" w:hAnsi="Cambria Math"/>
              <w:color w:val="000000" w:themeColor="text1"/>
              <w14:textFill>
                <w14:solidFill>
                  <w14:schemeClr w14:val="tx1"/>
                </w14:solidFill>
              </w14:textFill>
            </w:rPr>
            <m:t xml:space="preserve">    g=1,2,3…n</m:t>
          </m:r>
        </m:oMath>
      </m:oMathPara>
    </w:p>
    <w:p>
      <w:pPr>
        <w:pStyle w:val="19"/>
        <w:spacing w:beforeAutospacing="0" w:after="120" w:afterLines="50" w:afterAutospacing="0" w:line="360" w:lineRule="auto"/>
        <w:rPr>
          <w:color w:val="2E3033"/>
        </w:rPr>
      </w:pPr>
      <w:r>
        <w:rPr>
          <w:color w:val="2E3033"/>
        </w:rPr>
        <w:t>where a is the development coefficient, b is the grey effect. Model test evaluated by the posterior error test.</w:t>
      </w:r>
    </w:p>
    <w:p>
      <w:pPr>
        <w:pStyle w:val="19"/>
        <w:spacing w:beforeAutospacing="0" w:after="120" w:afterLines="50" w:afterAutospacing="0" w:line="360" w:lineRule="auto"/>
        <w:jc w:val="center"/>
        <w:rPr>
          <w:color w:val="2E3033"/>
          <w:sz w:val="20"/>
          <w:szCs w:val="20"/>
          <w:lang w:val="zh-CN"/>
        </w:rPr>
      </w:pPr>
      <w:r>
        <w:rPr>
          <w:color w:val="2E3033"/>
          <w:sz w:val="20"/>
          <w:szCs w:val="20"/>
          <w:lang w:val="zh-CN"/>
        </w:rPr>
        <w:drawing>
          <wp:inline distT="0" distB="0" distL="114300" distR="114300">
            <wp:extent cx="2701290" cy="384810"/>
            <wp:effectExtent l="0" t="0" r="11430" b="1143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21"/>
                    <a:stretch>
                      <a:fillRect/>
                    </a:stretch>
                  </pic:blipFill>
                  <pic:spPr>
                    <a:xfrm>
                      <a:off x="0" y="0"/>
                      <a:ext cx="2701290" cy="384810"/>
                    </a:xfrm>
                    <a:prstGeom prst="rect">
                      <a:avLst/>
                    </a:prstGeom>
                    <a:noFill/>
                    <a:ln w="9525">
                      <a:noFill/>
                    </a:ln>
                  </pic:spPr>
                </pic:pic>
              </a:graphicData>
            </a:graphic>
          </wp:inline>
        </w:drawing>
      </w:r>
    </w:p>
    <w:p>
      <w:pPr>
        <w:pStyle w:val="19"/>
        <w:spacing w:beforeAutospacing="0" w:after="120" w:afterLines="50" w:afterAutospacing="0" w:line="360" w:lineRule="auto"/>
        <w:rPr>
          <w:color w:val="2E3033"/>
          <w:sz w:val="20"/>
          <w:szCs w:val="20"/>
          <w:lang w:val="zh-CN"/>
        </w:rPr>
      </w:pPr>
      <w:r>
        <w:rPr>
          <w:color w:val="2E3033"/>
          <w:sz w:val="20"/>
          <w:szCs w:val="20"/>
          <w:lang w:val="zh-CN"/>
        </w:rPr>
        <w:t>The coefficients of GM (1, 1)</w:t>
      </w:r>
    </w:p>
    <w:tbl>
      <w:tblPr>
        <w:tblStyle w:val="22"/>
        <w:tblW w:w="0" w:type="auto"/>
        <w:tblInd w:w="193" w:type="dxa"/>
        <w:tblLayout w:type="autofit"/>
        <w:tblCellMar>
          <w:top w:w="15" w:type="dxa"/>
          <w:left w:w="15" w:type="dxa"/>
          <w:bottom w:w="15" w:type="dxa"/>
          <w:right w:w="15" w:type="dxa"/>
        </w:tblCellMar>
      </w:tblPr>
      <w:tblGrid>
        <w:gridCol w:w="1071"/>
        <w:gridCol w:w="833"/>
        <w:gridCol w:w="1166"/>
        <w:gridCol w:w="766"/>
        <w:gridCol w:w="666"/>
      </w:tblGrid>
      <w:tr>
        <w:tblPrEx>
          <w:tblCellMar>
            <w:top w:w="15" w:type="dxa"/>
            <w:left w:w="15" w:type="dxa"/>
            <w:bottom w:w="15" w:type="dxa"/>
            <w:right w:w="15" w:type="dxa"/>
          </w:tblCellMar>
        </w:tblPrEx>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coefficient</w:t>
            </w:r>
          </w:p>
        </w:tc>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a</w:t>
            </w:r>
          </w:p>
        </w:tc>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b</w:t>
            </w:r>
          </w:p>
        </w:tc>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C</w:t>
            </w:r>
          </w:p>
        </w:tc>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p</w:t>
            </w:r>
          </w:p>
        </w:tc>
      </w:tr>
      <w:tr>
        <w:tblPrEx>
          <w:tblCellMar>
            <w:top w:w="15" w:type="dxa"/>
            <w:left w:w="15" w:type="dxa"/>
            <w:bottom w:w="15" w:type="dxa"/>
            <w:right w:w="15" w:type="dxa"/>
          </w:tblCellMar>
        </w:tblPrEx>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Value</w:t>
            </w:r>
          </w:p>
        </w:tc>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-0.0066</w:t>
            </w:r>
          </w:p>
        </w:tc>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31673.0012</w:t>
            </w:r>
          </w:p>
        </w:tc>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0.2634</w:t>
            </w:r>
          </w:p>
        </w:tc>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0.800</w:t>
            </w:r>
          </w:p>
        </w:tc>
      </w:tr>
    </w:tbl>
    <w:p>
      <w:pPr>
        <w:spacing w:after="120" w:afterLines="50" w:line="360" w:lineRule="auto"/>
        <w:rPr>
          <w:rFonts w:cs="Times New Roman"/>
          <w:color w:val="2E3033"/>
          <w:szCs w:val="20"/>
        </w:rPr>
      </w:pPr>
    </w:p>
    <w:p>
      <w:pPr>
        <w:pStyle w:val="19"/>
        <w:spacing w:beforeAutospacing="0" w:after="120" w:afterLines="50" w:afterAutospacing="0" w:line="360" w:lineRule="auto"/>
        <w:rPr>
          <w:color w:val="2E3033"/>
          <w:sz w:val="20"/>
          <w:szCs w:val="20"/>
        </w:rPr>
      </w:pPr>
      <w:r>
        <w:rPr>
          <w:color w:val="2E3033"/>
          <w:sz w:val="20"/>
          <w:szCs w:val="20"/>
        </w:rPr>
        <w:t>The criteria of GM (1,1) prediction length</w:t>
      </w:r>
    </w:p>
    <w:tbl>
      <w:tblPr>
        <w:tblStyle w:val="22"/>
        <w:tblW w:w="0" w:type="auto"/>
        <w:tblInd w:w="137" w:type="dxa"/>
        <w:tblLayout w:type="autofit"/>
        <w:tblCellMar>
          <w:top w:w="15" w:type="dxa"/>
          <w:left w:w="15" w:type="dxa"/>
          <w:bottom w:w="15" w:type="dxa"/>
          <w:right w:w="15" w:type="dxa"/>
        </w:tblCellMar>
      </w:tblPr>
      <w:tblGrid>
        <w:gridCol w:w="2338"/>
        <w:gridCol w:w="3288"/>
      </w:tblGrid>
      <w:tr>
        <w:tblPrEx>
          <w:tblCellMar>
            <w:top w:w="15" w:type="dxa"/>
            <w:left w:w="15" w:type="dxa"/>
            <w:bottom w:w="15" w:type="dxa"/>
            <w:right w:w="15" w:type="dxa"/>
          </w:tblCellMar>
        </w:tblPrEx>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Development coefficient a</w:t>
            </w:r>
          </w:p>
        </w:tc>
        <w:tc>
          <w:tcPr>
            <w:tcW w:w="0" w:type="auto"/>
            <w:tcBorders>
              <w:top w:val="single" w:color="000000" w:sz="12"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Prediction length</w:t>
            </w:r>
          </w:p>
        </w:tc>
      </w:tr>
      <w:tr>
        <w:tblPrEx>
          <w:tblCellMar>
            <w:top w:w="15" w:type="dxa"/>
            <w:left w:w="15" w:type="dxa"/>
            <w:bottom w:w="15" w:type="dxa"/>
            <w:right w:w="15" w:type="dxa"/>
          </w:tblCellMar>
        </w:tblPrEx>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-a ≤ 0.3 </w:t>
            </w:r>
          </w:p>
        </w:tc>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rPr>
            </w:pPr>
            <w:r>
              <w:rPr>
                <w:color w:val="2E3033"/>
                <w:sz w:val="20"/>
                <w:szCs w:val="20"/>
              </w:rPr>
              <w:t>Medium-and long-term prediction</w:t>
            </w:r>
          </w:p>
        </w:tc>
      </w:tr>
      <w:tr>
        <w:tblPrEx>
          <w:tblCellMar>
            <w:top w:w="15" w:type="dxa"/>
            <w:left w:w="15" w:type="dxa"/>
            <w:bottom w:w="15" w:type="dxa"/>
            <w:right w:w="15" w:type="dxa"/>
          </w:tblCellMar>
        </w:tblPrEx>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0.3 &lt; -a &lt; 0.5</w:t>
            </w:r>
          </w:p>
        </w:tc>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Short-term prediction</w:t>
            </w:r>
          </w:p>
        </w:tc>
      </w:tr>
      <w:tr>
        <w:tblPrEx>
          <w:tblCellMar>
            <w:top w:w="15" w:type="dxa"/>
            <w:left w:w="15" w:type="dxa"/>
            <w:bottom w:w="15" w:type="dxa"/>
            <w:right w:w="15" w:type="dxa"/>
          </w:tblCellMar>
        </w:tblPrEx>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0.5 &lt; -a &lt; 1.0</w:t>
            </w:r>
          </w:p>
        </w:tc>
        <w:tc>
          <w:tcPr>
            <w:tcW w:w="0" w:type="auto"/>
            <w:tcBorders>
              <w:top w:val="single" w:color="000000" w:sz="4" w:space="0"/>
              <w:bottom w:val="single" w:color="000000" w:sz="4"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Modified model to predict</w:t>
            </w:r>
          </w:p>
        </w:tc>
      </w:tr>
      <w:tr>
        <w:tblPrEx>
          <w:tblCellMar>
            <w:top w:w="15" w:type="dxa"/>
            <w:left w:w="15" w:type="dxa"/>
            <w:bottom w:w="15" w:type="dxa"/>
            <w:right w:w="15" w:type="dxa"/>
          </w:tblCellMar>
        </w:tblPrEx>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lang w:val="zh-CN"/>
              </w:rPr>
            </w:pPr>
            <w:r>
              <w:rPr>
                <w:color w:val="2E3033"/>
                <w:sz w:val="20"/>
                <w:szCs w:val="20"/>
                <w:lang w:val="zh-CN"/>
              </w:rPr>
              <w:t>1.0&lt; -a</w:t>
            </w:r>
          </w:p>
        </w:tc>
        <w:tc>
          <w:tcPr>
            <w:tcW w:w="0" w:type="auto"/>
            <w:tcBorders>
              <w:top w:val="single" w:color="000000" w:sz="4" w:space="0"/>
              <w:bottom w:val="single" w:color="000000" w:sz="12" w:space="0"/>
            </w:tcBorders>
            <w:shd w:val="clear" w:color="auto" w:fill="auto"/>
            <w:tcMar>
              <w:top w:w="0" w:type="dxa"/>
              <w:left w:w="108" w:type="dxa"/>
              <w:bottom w:w="0" w:type="dxa"/>
              <w:right w:w="108" w:type="dxa"/>
            </w:tcMar>
          </w:tcPr>
          <w:p>
            <w:pPr>
              <w:pStyle w:val="19"/>
              <w:spacing w:beforeAutospacing="0" w:after="120" w:afterLines="50" w:afterAutospacing="0" w:line="360" w:lineRule="auto"/>
              <w:rPr>
                <w:color w:val="2E3033"/>
                <w:sz w:val="20"/>
                <w:szCs w:val="20"/>
              </w:rPr>
            </w:pPr>
            <w:r>
              <w:rPr>
                <w:color w:val="2E3033"/>
                <w:sz w:val="20"/>
                <w:szCs w:val="20"/>
              </w:rPr>
              <w:t>Not suitable for grey prediction model</w:t>
            </w:r>
          </w:p>
        </w:tc>
      </w:tr>
    </w:tbl>
    <w:p>
      <w:pPr>
        <w:spacing w:after="120" w:afterLines="50" w:line="360" w:lineRule="auto"/>
        <w:rPr>
          <w:rFonts w:cs="Times New Roman"/>
          <w:color w:val="2E3033"/>
          <w:szCs w:val="20"/>
        </w:rPr>
      </w:pPr>
    </w:p>
    <w:p>
      <w:pPr>
        <w:pStyle w:val="19"/>
        <w:spacing w:beforeAutospacing="0" w:after="120" w:afterLines="50" w:afterAutospacing="0" w:line="360" w:lineRule="auto"/>
        <w:rPr>
          <w:color w:val="2E3033"/>
          <w:sz w:val="20"/>
          <w:szCs w:val="20"/>
          <w:lang w:val="zh-CN"/>
        </w:rPr>
      </w:pPr>
      <w:r>
        <w:rPr>
          <w:color w:val="2E3033"/>
          <w:sz w:val="20"/>
          <w:szCs w:val="20"/>
          <w:lang w:val="zh-CN"/>
        </w:rPr>
        <w:t>Criteria for GM ( 1,1 ) prediction accuracy</w:t>
      </w:r>
    </w:p>
    <w:tbl>
      <w:tblPr>
        <w:tblStyle w:val="22"/>
        <w:tblW w:w="0" w:type="auto"/>
        <w:tblInd w:w="-15" w:type="dxa"/>
        <w:tblLayout w:type="autofit"/>
        <w:tblCellMar>
          <w:top w:w="15" w:type="dxa"/>
          <w:left w:w="15" w:type="dxa"/>
          <w:bottom w:w="15" w:type="dxa"/>
          <w:right w:w="15" w:type="dxa"/>
        </w:tblCellMar>
      </w:tblPr>
      <w:tblGrid>
        <w:gridCol w:w="2142"/>
        <w:gridCol w:w="2835"/>
        <w:gridCol w:w="2835"/>
      </w:tblGrid>
      <w:tr>
        <w:tblPrEx>
          <w:tblCellMar>
            <w:top w:w="15" w:type="dxa"/>
            <w:left w:w="15" w:type="dxa"/>
            <w:bottom w:w="15" w:type="dxa"/>
            <w:right w:w="15" w:type="dxa"/>
          </w:tblCellMar>
        </w:tblPrEx>
        <w:trPr>
          <w:trHeight w:val="500" w:hRule="atLeast"/>
        </w:trPr>
        <w:tc>
          <w:tcPr>
            <w:tcW w:w="2142" w:type="dxa"/>
            <w:tcBorders>
              <w:top w:val="single" w:color="auto" w:sz="12" w:space="0"/>
              <w:bottom w:val="single" w:color="000000" w:sz="8" w:space="0"/>
            </w:tcBorders>
            <w:shd w:val="clear" w:color="auto" w:fill="auto"/>
            <w:vAlign w:val="center"/>
          </w:tcPr>
          <w:p>
            <w:pPr>
              <w:pStyle w:val="19"/>
              <w:spacing w:beforeAutospacing="0" w:after="120" w:afterLines="50" w:afterAutospacing="0" w:line="360" w:lineRule="auto"/>
              <w:rPr>
                <w:color w:val="2E3033"/>
                <w:sz w:val="20"/>
                <w:szCs w:val="20"/>
                <w:lang w:val="zh-CN"/>
              </w:rPr>
            </w:pPr>
            <w:r>
              <w:rPr>
                <w:color w:val="2E3033"/>
                <w:sz w:val="20"/>
                <w:szCs w:val="20"/>
                <w:lang w:val="zh-CN"/>
              </w:rPr>
              <w:t>Prediction accuracy grade</w:t>
            </w:r>
          </w:p>
        </w:tc>
        <w:tc>
          <w:tcPr>
            <w:tcW w:w="2835" w:type="dxa"/>
            <w:tcBorders>
              <w:top w:val="single" w:color="auto" w:sz="12" w:space="0"/>
              <w:bottom w:val="single" w:color="000000" w:sz="8" w:space="0"/>
            </w:tcBorders>
            <w:shd w:val="clear" w:color="auto" w:fill="auto"/>
            <w:vAlign w:val="center"/>
          </w:tcPr>
          <w:p>
            <w:pPr>
              <w:pStyle w:val="19"/>
              <w:spacing w:beforeAutospacing="0" w:after="120" w:afterLines="50" w:afterAutospacing="0" w:line="360" w:lineRule="auto"/>
              <w:rPr>
                <w:color w:val="2E3033"/>
                <w:sz w:val="20"/>
                <w:szCs w:val="20"/>
              </w:rPr>
            </w:pPr>
            <w:r>
              <w:rPr>
                <w:color w:val="2E3033"/>
                <w:sz w:val="20"/>
                <w:szCs w:val="20"/>
              </w:rPr>
              <w:t>Mean square deviation ratio C</w:t>
            </w:r>
          </w:p>
        </w:tc>
        <w:tc>
          <w:tcPr>
            <w:tcW w:w="2835" w:type="dxa"/>
            <w:tcBorders>
              <w:top w:val="single" w:color="auto" w:sz="12" w:space="0"/>
              <w:bottom w:val="single" w:color="000000" w:sz="8" w:space="0"/>
            </w:tcBorders>
            <w:shd w:val="clear" w:color="auto" w:fill="auto"/>
            <w:vAlign w:val="center"/>
          </w:tcPr>
          <w:p>
            <w:pPr>
              <w:pStyle w:val="19"/>
              <w:spacing w:beforeAutospacing="0" w:after="120" w:afterLines="50" w:afterAutospacing="0" w:line="360" w:lineRule="auto"/>
              <w:rPr>
                <w:color w:val="2E3033"/>
                <w:sz w:val="20"/>
                <w:szCs w:val="20"/>
              </w:rPr>
            </w:pPr>
            <w:r>
              <w:rPr>
                <w:color w:val="2E3033"/>
                <w:sz w:val="20"/>
                <w:szCs w:val="20"/>
              </w:rPr>
              <w:t>Small probability of error P</w:t>
            </w:r>
          </w:p>
        </w:tc>
      </w:tr>
      <w:tr>
        <w:tblPrEx>
          <w:tblCellMar>
            <w:top w:w="15" w:type="dxa"/>
            <w:left w:w="15" w:type="dxa"/>
            <w:bottom w:w="15" w:type="dxa"/>
            <w:right w:w="15" w:type="dxa"/>
          </w:tblCellMar>
        </w:tblPrEx>
        <w:trPr>
          <w:trHeight w:val="262" w:hRule="atLeast"/>
        </w:trPr>
        <w:tc>
          <w:tcPr>
            <w:tcW w:w="2142" w:type="dxa"/>
            <w:tcBorders>
              <w:top w:val="single" w:color="000000" w:sz="8" w:space="0"/>
            </w:tcBorders>
            <w:shd w:val="clear" w:color="auto" w:fill="auto"/>
            <w:vAlign w:val="center"/>
          </w:tcPr>
          <w:p>
            <w:pPr>
              <w:pStyle w:val="19"/>
              <w:spacing w:beforeAutospacing="0" w:after="120" w:afterLines="50" w:afterAutospacing="0" w:line="360" w:lineRule="auto"/>
              <w:rPr>
                <w:color w:val="2E3033"/>
                <w:sz w:val="20"/>
                <w:szCs w:val="20"/>
                <w:lang w:val="zh-CN"/>
              </w:rPr>
            </w:pPr>
            <w:r>
              <w:rPr>
                <w:color w:val="2E3033"/>
                <w:sz w:val="20"/>
                <w:szCs w:val="20"/>
                <w:lang w:val="zh-CN"/>
              </w:rPr>
              <w:t>Excellent</w:t>
            </w:r>
          </w:p>
        </w:tc>
        <w:tc>
          <w:tcPr>
            <w:tcW w:w="2835" w:type="dxa"/>
            <w:tcBorders>
              <w:top w:val="single" w:color="000000" w:sz="8" w:space="0"/>
            </w:tcBorders>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≤0.35</w:t>
            </w:r>
          </w:p>
        </w:tc>
        <w:tc>
          <w:tcPr>
            <w:tcW w:w="2835" w:type="dxa"/>
            <w:tcBorders>
              <w:top w:val="single" w:color="000000" w:sz="8" w:space="0"/>
            </w:tcBorders>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≥0.95</w:t>
            </w:r>
          </w:p>
        </w:tc>
      </w:tr>
      <w:tr>
        <w:tblPrEx>
          <w:tblCellMar>
            <w:top w:w="15" w:type="dxa"/>
            <w:left w:w="15" w:type="dxa"/>
            <w:bottom w:w="15" w:type="dxa"/>
            <w:right w:w="15" w:type="dxa"/>
          </w:tblCellMar>
        </w:tblPrEx>
        <w:trPr>
          <w:trHeight w:val="262" w:hRule="atLeast"/>
        </w:trPr>
        <w:tc>
          <w:tcPr>
            <w:tcW w:w="2142" w:type="dxa"/>
            <w:shd w:val="clear" w:color="auto" w:fill="auto"/>
            <w:vAlign w:val="center"/>
          </w:tcPr>
          <w:p>
            <w:pPr>
              <w:pStyle w:val="19"/>
              <w:spacing w:beforeAutospacing="0" w:after="120" w:afterLines="50" w:afterAutospacing="0" w:line="360" w:lineRule="auto"/>
              <w:rPr>
                <w:color w:val="2E3033"/>
                <w:sz w:val="20"/>
                <w:szCs w:val="20"/>
                <w:lang w:val="zh-CN"/>
              </w:rPr>
            </w:pPr>
            <w:r>
              <w:rPr>
                <w:color w:val="2E3033"/>
                <w:sz w:val="20"/>
                <w:szCs w:val="20"/>
                <w:lang w:val="zh-CN"/>
              </w:rPr>
              <w:t>Qualified</w:t>
            </w:r>
          </w:p>
        </w:tc>
        <w:tc>
          <w:tcPr>
            <w:tcW w:w="2835" w:type="dxa"/>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≤0.50</w:t>
            </w:r>
          </w:p>
        </w:tc>
        <w:tc>
          <w:tcPr>
            <w:tcW w:w="2835" w:type="dxa"/>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≥0.80</w:t>
            </w:r>
          </w:p>
        </w:tc>
      </w:tr>
      <w:tr>
        <w:tblPrEx>
          <w:tblCellMar>
            <w:top w:w="15" w:type="dxa"/>
            <w:left w:w="15" w:type="dxa"/>
            <w:bottom w:w="15" w:type="dxa"/>
            <w:right w:w="15" w:type="dxa"/>
          </w:tblCellMar>
        </w:tblPrEx>
        <w:trPr>
          <w:trHeight w:val="262" w:hRule="atLeast"/>
        </w:trPr>
        <w:tc>
          <w:tcPr>
            <w:tcW w:w="2142" w:type="dxa"/>
            <w:shd w:val="clear" w:color="auto" w:fill="auto"/>
            <w:vAlign w:val="center"/>
          </w:tcPr>
          <w:p>
            <w:pPr>
              <w:pStyle w:val="19"/>
              <w:spacing w:beforeAutospacing="0" w:after="120" w:afterLines="50" w:afterAutospacing="0" w:line="360" w:lineRule="auto"/>
              <w:rPr>
                <w:color w:val="2E3033"/>
                <w:sz w:val="20"/>
                <w:szCs w:val="20"/>
                <w:lang w:val="zh-CN"/>
              </w:rPr>
            </w:pPr>
            <w:r>
              <w:rPr>
                <w:color w:val="2E3033"/>
                <w:sz w:val="20"/>
                <w:szCs w:val="20"/>
                <w:lang w:val="zh-CN"/>
              </w:rPr>
              <w:t>Barely qualified</w:t>
            </w:r>
          </w:p>
        </w:tc>
        <w:tc>
          <w:tcPr>
            <w:tcW w:w="2835" w:type="dxa"/>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≤0.65</w:t>
            </w:r>
          </w:p>
        </w:tc>
        <w:tc>
          <w:tcPr>
            <w:tcW w:w="2835" w:type="dxa"/>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≥0.70</w:t>
            </w:r>
          </w:p>
        </w:tc>
      </w:tr>
      <w:tr>
        <w:tblPrEx>
          <w:tblCellMar>
            <w:top w:w="15" w:type="dxa"/>
            <w:left w:w="15" w:type="dxa"/>
            <w:bottom w:w="15" w:type="dxa"/>
            <w:right w:w="15" w:type="dxa"/>
          </w:tblCellMar>
        </w:tblPrEx>
        <w:trPr>
          <w:trHeight w:val="262" w:hRule="atLeast"/>
        </w:trPr>
        <w:tc>
          <w:tcPr>
            <w:tcW w:w="2142" w:type="dxa"/>
            <w:tcBorders>
              <w:bottom w:val="single" w:color="000000" w:sz="12" w:space="0"/>
            </w:tcBorders>
            <w:shd w:val="clear" w:color="auto" w:fill="auto"/>
            <w:vAlign w:val="center"/>
          </w:tcPr>
          <w:p>
            <w:pPr>
              <w:pStyle w:val="19"/>
              <w:spacing w:beforeAutospacing="0" w:after="120" w:afterLines="50" w:afterAutospacing="0" w:line="360" w:lineRule="auto"/>
              <w:rPr>
                <w:color w:val="2E3033"/>
                <w:sz w:val="20"/>
                <w:szCs w:val="20"/>
                <w:lang w:val="zh-CN"/>
              </w:rPr>
            </w:pPr>
            <w:r>
              <w:rPr>
                <w:color w:val="2E3033"/>
                <w:sz w:val="20"/>
                <w:szCs w:val="20"/>
                <w:lang w:val="zh-CN"/>
              </w:rPr>
              <w:t>Unqualified</w:t>
            </w:r>
          </w:p>
        </w:tc>
        <w:tc>
          <w:tcPr>
            <w:tcW w:w="2835" w:type="dxa"/>
            <w:tcBorders>
              <w:bottom w:val="single" w:color="000000" w:sz="12" w:space="0"/>
            </w:tcBorders>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&gt;0.65</w:t>
            </w:r>
          </w:p>
        </w:tc>
        <w:tc>
          <w:tcPr>
            <w:tcW w:w="2835" w:type="dxa"/>
            <w:tcBorders>
              <w:bottom w:val="single" w:color="000000" w:sz="12" w:space="0"/>
            </w:tcBorders>
            <w:shd w:val="clear" w:color="auto" w:fill="auto"/>
            <w:vAlign w:val="center"/>
          </w:tcPr>
          <w:p>
            <w:pPr>
              <w:pStyle w:val="19"/>
              <w:spacing w:beforeAutospacing="0" w:after="120" w:afterLines="50" w:afterAutospacing="0" w:line="360" w:lineRule="auto"/>
              <w:jc w:val="center"/>
              <w:rPr>
                <w:color w:val="2E3033"/>
                <w:sz w:val="20"/>
                <w:szCs w:val="20"/>
                <w:lang w:val="zh-CN"/>
              </w:rPr>
            </w:pPr>
            <w:r>
              <w:rPr>
                <w:color w:val="2E3033"/>
                <w:sz w:val="20"/>
                <w:szCs w:val="20"/>
                <w:lang w:val="zh-CN"/>
              </w:rPr>
              <w:t>&lt;0.70</w:t>
            </w:r>
          </w:p>
        </w:tc>
      </w:tr>
    </w:tbl>
    <w:p>
      <w:pPr>
        <w:pStyle w:val="19"/>
        <w:spacing w:beforeAutospacing="0" w:after="120" w:afterLines="50" w:afterAutospacing="0" w:line="360" w:lineRule="auto"/>
        <w:rPr>
          <w:color w:val="2E3033"/>
          <w:sz w:val="20"/>
          <w:szCs w:val="20"/>
          <w:lang w:val="zh-CN"/>
        </w:rPr>
        <w:sectPr>
          <w:footerReference r:id="rId8" w:type="default"/>
          <w:pgSz w:w="11900" w:h="16840"/>
          <w:pgMar w:top="1440" w:right="1440" w:bottom="1440" w:left="1440" w:header="720" w:footer="720" w:gutter="0"/>
          <w:pgNumType w:start="25"/>
          <w:cols w:space="720" w:num="1"/>
        </w:sectPr>
      </w:pPr>
    </w:p>
    <w:p>
      <w:pPr>
        <w:spacing w:after="120" w:afterLines="50" w:line="360" w:lineRule="auto"/>
        <w:rPr>
          <w:rFonts w:eastAsia="宋体"/>
        </w:rPr>
      </w:pPr>
    </w:p>
    <w:p>
      <w:pPr>
        <w:pStyle w:val="19"/>
        <w:spacing w:beforeAutospacing="0" w:after="120" w:afterLines="50" w:afterAutospacing="0" w:line="360" w:lineRule="auto"/>
        <w:jc w:val="both"/>
        <w:outlineLvl w:val="0"/>
        <w:rPr>
          <w:color w:val="2E3033"/>
        </w:rPr>
      </w:pPr>
      <w:bookmarkStart w:id="21" w:name="_Toc6871"/>
      <w:bookmarkStart w:id="22" w:name="_Toc22703"/>
      <w:r>
        <w:rPr>
          <w:b/>
          <w:bCs/>
          <w:color w:val="000000"/>
          <w:lang w:val="zh-CN"/>
        </w:rPr>
        <w:t>Supplement</w:t>
      </w:r>
      <w:r>
        <w:rPr>
          <w:rFonts w:hint="eastAsia" w:eastAsia="宋体"/>
          <w:b/>
          <w:bCs/>
          <w:color w:val="000000"/>
        </w:rPr>
        <w:t>ary</w:t>
      </w:r>
      <w:r>
        <w:rPr>
          <w:b/>
          <w:bCs/>
          <w:color w:val="000000"/>
          <w:lang w:val="zh-CN"/>
        </w:rPr>
        <w:t xml:space="preserve"> </w:t>
      </w:r>
      <w:r>
        <w:rPr>
          <w:rFonts w:hint="eastAsia" w:eastAsia="宋体"/>
          <w:b/>
          <w:bCs/>
          <w:color w:val="000000"/>
          <w:lang w:eastAsia="zh-CN"/>
        </w:rPr>
        <w:t>F</w:t>
      </w:r>
      <w:r>
        <w:rPr>
          <w:rFonts w:hint="eastAsia" w:eastAsia="宋体"/>
          <w:b/>
          <w:bCs/>
          <w:color w:val="000000"/>
        </w:rPr>
        <w:t xml:space="preserve">ile </w:t>
      </w:r>
      <w:r>
        <w:rPr>
          <w:rFonts w:eastAsia="宋体"/>
          <w:b/>
          <w:bCs/>
          <w:color w:val="000000"/>
        </w:rPr>
        <w:t>3</w:t>
      </w:r>
      <w:r>
        <w:rPr>
          <w:rFonts w:hint="eastAsia" w:eastAsia="宋体"/>
          <w:b/>
          <w:bCs/>
          <w:color w:val="000000"/>
        </w:rPr>
        <w:t>.  SEIR model</w:t>
      </w:r>
      <w:bookmarkEnd w:id="21"/>
      <w:bookmarkEnd w:id="22"/>
    </w:p>
    <w:p>
      <w:pPr>
        <w:pStyle w:val="19"/>
        <w:outlineLvl w:val="0"/>
        <w:rPr>
          <w:b/>
          <w:i/>
        </w:rPr>
      </w:pPr>
      <w:bookmarkStart w:id="23" w:name="_Toc8282"/>
      <w:bookmarkStart w:id="24" w:name="_Toc29606"/>
      <w:bookmarkStart w:id="25" w:name="_Toc5630"/>
      <w:bookmarkStart w:id="26" w:name="_Toc1333"/>
      <w:r>
        <w:rPr>
          <w:b/>
        </w:rPr>
        <w:t>1) Standard SEIR</w:t>
      </w:r>
      <w:bookmarkEnd w:id="23"/>
      <w:bookmarkEnd w:id="24"/>
      <w:bookmarkEnd w:id="25"/>
      <w:bookmarkEnd w:id="26"/>
    </w:p>
    <w:p>
      <w:pPr>
        <w:pStyle w:val="19"/>
      </w:pPr>
      <w:r>
        <w:t xml:space="preserve">SEIR is a standard compartmental model commonly used for simulation and prediction of epidemics. Population is divided into different groups based on infection status: S—Susceptible </w:t>
      </w:r>
      <w:bookmarkStart w:id="27" w:name="OLE_LINK1"/>
      <w:r>
        <w:t>population</w:t>
      </w:r>
      <w:bookmarkEnd w:id="27"/>
      <w:r>
        <w:t xml:space="preserve">, E—Exposed (infected but not yet infectious) population, I—Infectious population, R—Recovered population, with </w:t>
      </w:r>
      <m:oMath>
        <m:r>
          <m:rPr/>
          <w:rPr>
            <w:rFonts w:ascii="Cambria Math" w:hAnsi="Cambria Math"/>
          </w:rPr>
          <m:t>β</m:t>
        </m:r>
      </m:oMath>
      <w:r>
        <w:t xml:space="preserve">, </w:t>
      </w:r>
      <m:oMath>
        <m:r>
          <m:rPr>
            <m:sty m:val="p"/>
          </m:rPr>
          <w:rPr>
            <w:rFonts w:ascii="Cambria Math" w:hAnsi="Cambria Math"/>
          </w:rPr>
          <m:t>σ</m:t>
        </m:r>
      </m:oMath>
      <w:r>
        <w:t xml:space="preserve">, </w:t>
      </w:r>
      <m:oMath>
        <m:r>
          <m:rPr>
            <m:sty m:val="p"/>
          </m:rPr>
          <w:rPr>
            <w:rFonts w:ascii="Cambria Math" w:hAnsi="Cambria Math"/>
          </w:rPr>
          <m:t xml:space="preserve"> γ</m:t>
        </m:r>
      </m:oMath>
      <w:r>
        <w:t xml:space="preserve"> representing transmission, incubation, recovery rate. Our standard SEIR is as follows.</w:t>
      </w:r>
    </w:p>
    <w:p>
      <w:pPr>
        <w:jc w:val="center"/>
        <w:rPr>
          <w:rFonts w:cs="Times New Roman"/>
          <w:szCs w:val="24"/>
        </w:rPr>
      </w:pPr>
      <m:oMathPara>
        <m:oMath>
          <m:f>
            <m:fPr>
              <m:ctrlPr>
                <w:rPr>
                  <w:rFonts w:ascii="Cambria Math" w:hAnsi="Cambria Math" w:cs="Times New Roman"/>
                  <w:szCs w:val="24"/>
                </w:rPr>
              </m:ctrlPr>
            </m:fPr>
            <m:num>
              <m:r>
                <m:rPr/>
                <w:rPr>
                  <w:rFonts w:ascii="Cambria Math" w:hAnsi="Cambria Math" w:cs="Times New Roman"/>
                  <w:szCs w:val="24"/>
                </w:rPr>
                <m:t>dS</m:t>
              </m:r>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i/>
                  <w:szCs w:val="24"/>
                </w:rPr>
              </m:ctrlPr>
            </m:fPr>
            <m:num>
              <m:r>
                <m:rPr/>
                <w:rPr>
                  <w:rFonts w:ascii="Cambria Math" w:hAnsi="Cambria Math" w:cs="Times New Roman"/>
                  <w:szCs w:val="24"/>
                </w:rPr>
                <m:t>βSI</m:t>
              </m:r>
              <m:ctrlPr>
                <w:rPr>
                  <w:rFonts w:ascii="Cambria Math" w:hAnsi="Cambria Math" w:cs="Times New Roman"/>
                  <w:i/>
                  <w:szCs w:val="24"/>
                </w:rPr>
              </m:ctrlPr>
            </m:num>
            <m:den>
              <m:r>
                <m:rPr/>
                <w:rPr>
                  <w:rFonts w:ascii="Cambria Math" w:hAnsi="Cambria Math" w:cs="Times New Roman"/>
                  <w:szCs w:val="24"/>
                </w:rPr>
                <m:t>N</m:t>
              </m:r>
              <m:ctrlPr>
                <w:rPr>
                  <w:rFonts w:ascii="Cambria Math" w:hAnsi="Cambria Math" w:cs="Times New Roman"/>
                  <w:i/>
                  <w:szCs w:val="24"/>
                </w:rPr>
              </m:ctrlPr>
            </m:den>
          </m:f>
        </m:oMath>
      </m:oMathPara>
    </w:p>
    <w:p>
      <w:pPr>
        <w:jc w:val="center"/>
        <w:rPr>
          <w:rFonts w:cs="Times New Roman"/>
          <w:szCs w:val="24"/>
        </w:rPr>
      </w:pPr>
      <m:oMathPara>
        <m:oMath>
          <m:f>
            <m:fPr>
              <m:ctrlPr>
                <w:rPr>
                  <w:rFonts w:ascii="Cambria Math" w:hAnsi="Cambria Math" w:cs="Times New Roman"/>
                  <w:szCs w:val="24"/>
                </w:rPr>
              </m:ctrlPr>
            </m:fPr>
            <m:num>
              <m:r>
                <m:rPr/>
                <w:rPr>
                  <w:rFonts w:ascii="Cambria Math" w:hAnsi="Cambria Math" w:cs="Times New Roman"/>
                  <w:szCs w:val="24"/>
                </w:rPr>
                <m:t>dE</m:t>
              </m:r>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i/>
                  <w:szCs w:val="24"/>
                </w:rPr>
              </m:ctrlPr>
            </m:fPr>
            <m:num>
              <m:r>
                <m:rPr/>
                <w:rPr>
                  <w:rFonts w:ascii="Cambria Math" w:hAnsi="Cambria Math" w:cs="Times New Roman"/>
                  <w:szCs w:val="24"/>
                </w:rPr>
                <m:t>βSI</m:t>
              </m:r>
              <m:ctrlPr>
                <w:rPr>
                  <w:rFonts w:ascii="Cambria Math" w:hAnsi="Cambria Math" w:cs="Times New Roman"/>
                  <w:i/>
                  <w:szCs w:val="24"/>
                </w:rPr>
              </m:ctrlPr>
            </m:num>
            <m:den>
              <m:r>
                <m:rPr/>
                <w:rPr>
                  <w:rFonts w:ascii="Cambria Math" w:hAnsi="Cambria Math" w:cs="Times New Roman"/>
                  <w:szCs w:val="24"/>
                </w:rPr>
                <m:t>N</m:t>
              </m:r>
              <m:ctrlPr>
                <w:rPr>
                  <w:rFonts w:ascii="Cambria Math" w:hAnsi="Cambria Math" w:cs="Times New Roman"/>
                  <w:i/>
                  <w:szCs w:val="24"/>
                </w:rPr>
              </m:ctrlPr>
            </m:den>
          </m:f>
          <m:r>
            <m:rPr>
              <m:sty m:val="p"/>
            </m:rPr>
            <w:rPr>
              <w:rFonts w:ascii="Cambria Math" w:hAnsi="Cambria Math" w:cs="Times New Roman"/>
              <w:szCs w:val="24"/>
            </w:rPr>
            <m:t>−σE</m:t>
          </m:r>
        </m:oMath>
      </m:oMathPara>
    </w:p>
    <w:p>
      <w:pPr>
        <w:jc w:val="center"/>
        <w:rPr>
          <w:rFonts w:cs="Times New Roman"/>
          <w:szCs w:val="24"/>
        </w:rPr>
      </w:pPr>
      <m:oMathPara>
        <m:oMath>
          <m:f>
            <m:fPr>
              <m:ctrlPr>
                <w:rPr>
                  <w:rFonts w:ascii="Cambria Math" w:hAnsi="Cambria Math" w:cs="Times New Roman"/>
                  <w:szCs w:val="24"/>
                </w:rPr>
              </m:ctrlPr>
            </m:fPr>
            <m:num>
              <m:r>
                <m:rPr/>
                <w:rPr>
                  <w:rFonts w:ascii="Cambria Math" w:hAnsi="Cambria Math" w:cs="Times New Roman"/>
                  <w:szCs w:val="24"/>
                </w:rPr>
                <m:t>dI</m:t>
              </m:r>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r>
            <m:rPr>
              <m:sty m:val="p"/>
            </m:rPr>
            <w:rPr>
              <w:rFonts w:ascii="Cambria Math" w:hAnsi="Cambria Math" w:cs="Times New Roman"/>
              <w:szCs w:val="24"/>
            </w:rPr>
            <m:t>σE−γI</m:t>
          </m:r>
        </m:oMath>
      </m:oMathPara>
    </w:p>
    <w:p>
      <w:pPr>
        <w:jc w:val="center"/>
        <w:rPr>
          <w:rFonts w:cs="Times New Roman"/>
          <w:szCs w:val="24"/>
        </w:rPr>
      </w:pPr>
      <m:oMathPara>
        <m:oMath>
          <m:f>
            <m:fPr>
              <m:ctrlPr>
                <w:rPr>
                  <w:rFonts w:ascii="Cambria Math" w:hAnsi="Cambria Math" w:cs="Times New Roman"/>
                  <w:szCs w:val="24"/>
                </w:rPr>
              </m:ctrlPr>
            </m:fPr>
            <m:num>
              <m:r>
                <m:rPr/>
                <w:rPr>
                  <w:rFonts w:ascii="Cambria Math" w:hAnsi="Cambria Math" w:cs="Times New Roman"/>
                  <w:szCs w:val="24"/>
                </w:rPr>
                <m:t>dR</m:t>
              </m:r>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r>
            <m:rPr>
              <m:sty m:val="p"/>
            </m:rPr>
            <w:rPr>
              <w:rFonts w:ascii="Cambria Math" w:hAnsi="Cambria Math" w:cs="Times New Roman"/>
              <w:szCs w:val="24"/>
            </w:rPr>
            <m:t>γI</m:t>
          </m:r>
        </m:oMath>
      </m:oMathPara>
    </w:p>
    <w:p>
      <w:pPr>
        <w:outlineLvl w:val="0"/>
        <w:rPr>
          <w:rFonts w:cs="Times New Roman"/>
          <w:b/>
          <w:szCs w:val="24"/>
        </w:rPr>
      </w:pPr>
      <w:bookmarkStart w:id="28" w:name="_Toc19135"/>
      <w:bookmarkStart w:id="29" w:name="_Toc11828"/>
      <w:bookmarkStart w:id="30" w:name="_Toc6057"/>
      <w:bookmarkStart w:id="31" w:name="_Toc31539"/>
      <w:r>
        <w:rPr>
          <w:rFonts w:eastAsia="宋体" w:cs="Times New Roman"/>
          <w:b/>
          <w:szCs w:val="24"/>
        </w:rPr>
        <w:t xml:space="preserve">2) </w:t>
      </w:r>
      <w:bookmarkStart w:id="32" w:name="OLE_LINK2"/>
      <w:r>
        <w:rPr>
          <w:rFonts w:eastAsia="宋体" w:cs="Times New Roman"/>
          <w:b/>
          <w:szCs w:val="24"/>
        </w:rPr>
        <w:t>Improved</w:t>
      </w:r>
      <w:bookmarkEnd w:id="32"/>
      <w:r>
        <w:rPr>
          <w:rFonts w:eastAsia="宋体" w:cs="Times New Roman"/>
          <w:b/>
          <w:szCs w:val="24"/>
        </w:rPr>
        <w:t xml:space="preserve"> </w:t>
      </w:r>
      <w:r>
        <w:rPr>
          <w:rFonts w:cs="Times New Roman"/>
          <w:b/>
          <w:szCs w:val="24"/>
        </w:rPr>
        <w:t>SEIR</w:t>
      </w:r>
      <w:bookmarkEnd w:id="28"/>
      <w:bookmarkEnd w:id="29"/>
      <w:bookmarkEnd w:id="30"/>
      <w:bookmarkEnd w:id="31"/>
    </w:p>
    <w:p>
      <w:pPr>
        <w:pStyle w:val="19"/>
        <w:outlineLvl w:val="0"/>
        <w:rPr>
          <w:b/>
        </w:rPr>
      </w:pPr>
      <w:bookmarkStart w:id="33" w:name="_Toc4776"/>
      <w:bookmarkStart w:id="34" w:name="_Toc12322"/>
      <w:bookmarkStart w:id="35" w:name="_Toc10823"/>
      <w:bookmarkStart w:id="36" w:name="_Toc25878"/>
      <w:r>
        <w:rPr>
          <w:b/>
        </w:rPr>
        <w:t>a. Including international mobility</w:t>
      </w:r>
      <w:bookmarkEnd w:id="33"/>
      <w:bookmarkEnd w:id="34"/>
      <w:bookmarkEnd w:id="35"/>
      <w:bookmarkEnd w:id="36"/>
    </w:p>
    <w:p>
      <w:pPr>
        <w:pStyle w:val="19"/>
        <w:rPr>
          <w:color w:val="4F81BD" w:themeColor="accent1"/>
          <w14:textFill>
            <w14:solidFill>
              <w14:schemeClr w14:val="accent1"/>
            </w14:solidFill>
          </w14:textFill>
        </w:rPr>
      </w:pPr>
      <w:r>
        <w:t xml:space="preserve">Human mobility is likely to be an important cause of disease transmission in the early stages of MPX outbreak in 2022. We took the mobility of pre-symptomatic cases into consideration, and incorporated international flight arrivals data in the standard SEIR. We considered six continents (Europe, Asia, Africa, Latin America, North America and Oceania), and for each continental population, we assume that people are free to travel in and out. The number of international flight arrivals by continent from 31 January 2022 to 31 December 2022 was simulated by the number of international flight arrivals from 1 April to 31 May: data for other dates were simulated according to the weekly cycle; the departure and arrival continents were identified and the average number of passengers of every Monday within April 1 to May 31 were calculated, which would give the data for every other Monday, and similar for the other weekdays. Our improved SEIR is as follows. </w:t>
      </w:r>
    </w:p>
    <w:p>
      <w:pPr>
        <w:rPr>
          <w:rFonts w:cs="Times New Roman"/>
          <w:szCs w:val="24"/>
        </w:rPr>
      </w:pPr>
      <m:oMathPara>
        <m:oMath>
          <m:eqArr>
            <m:eqArrPr>
              <m:ctrlPr>
                <w:rPr>
                  <w:rFonts w:ascii="Cambria Math" w:hAnsi="Cambria Math" w:cs="Times New Roman"/>
                  <w:szCs w:val="24"/>
                </w:rPr>
              </m:ctrlPr>
            </m:eqArrPr>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qArr>
        </m:oMath>
      </m:oMathPara>
    </w:p>
    <w:p>
      <w:pPr>
        <w:jc w:val="both"/>
        <w:rPr>
          <w:rFonts w:cs="Times New Roman"/>
          <w:szCs w:val="24"/>
        </w:rPr>
      </w:pPr>
    </w:p>
    <w:p>
      <w:pPr>
        <w:tabs>
          <w:tab w:val="right" w:pos="9777"/>
        </w:tabs>
        <w:jc w:val="both"/>
        <w:rPr>
          <w:rFonts w:cs="Times New Roman"/>
          <w:szCs w:val="24"/>
        </w:rPr>
      </w:pPr>
      <w:r>
        <w:rPr>
          <w:rFonts w:cs="Times New Roman"/>
          <w:szCs w:val="24"/>
        </w:rPr>
        <w:t>Further assumptions are:</w:t>
      </w:r>
      <w:r>
        <w:rPr>
          <w:rFonts w:cs="Times New Roman"/>
          <w:szCs w:val="24"/>
        </w:rPr>
        <w:tab/>
      </w:r>
    </w:p>
    <w:p>
      <w:pPr>
        <w:pStyle w:val="3"/>
        <w:widowControl w:val="0"/>
        <w:numPr>
          <w:ilvl w:val="0"/>
          <w:numId w:val="3"/>
        </w:numPr>
        <w:spacing w:before="0" w:after="0" w:line="276" w:lineRule="auto"/>
        <w:ind w:left="720"/>
        <w:contextualSpacing w:val="0"/>
      </w:pPr>
      <w:bookmarkStart w:id="37" w:name="OLE_LINK3"/>
      <w:r>
        <w:t>Individuals in the infected compartment do not travel across populations. Infected individuals develop severe symptoms such as rash, which seriously affect patients’ daily life, and are easily identifiable. Moreover, passengers with fever, which is one of the symptoms of Monkeypox, would very likely be denied boarding during the post-COVID.</w:t>
      </w:r>
      <w:r>
        <w:fldChar w:fldCharType="begin"/>
      </w:r>
      <w:r>
        <w:instrText xml:space="preserve"> ADDIN EN.CITE &lt;EndNote&gt;&lt;Cite&gt;&lt;Author&gt;Ding&lt;/Author&gt;&lt;Year&gt;2021&lt;/Year&gt;&lt;RecNum&gt;73&lt;/RecNum&gt;&lt;DisplayText&gt;&lt;style face="superscript"&gt;1&lt;/style&gt;&lt;/DisplayText&gt;&lt;record&gt;&lt;rec-number&gt;73&lt;/rec-number&gt;&lt;foreign-keys&gt;&lt;key app="EN" db-id="0wsxxz2rzzepxpe90auperrs5dt2p92wxfxp" timestamp="1661406446"&gt;73&lt;/key&gt;&lt;key app="ENWeb" db-id=""&gt;0&lt;/key&gt;&lt;/foreign-keys&gt;&lt;ref-type name="Journal Article"&gt;17&lt;/ref-type&gt;&lt;contributors&gt;&lt;authors&gt;&lt;author&gt;Ding, X.&lt;/author&gt;&lt;author&gt;Huang, S.&lt;/author&gt;&lt;author&gt;Leung, A.&lt;/author&gt;&lt;author&gt;Rabbany, R.&lt;/author&gt;&lt;/authors&gt;&lt;/contributors&gt;&lt;auth-address&gt;School of Computer Science, McGill University, Montreal, Canada.grid.14709.3b0000 0004 1936 8649&amp;#xD;Mila, Quebec Artificial Intelligence Institute, Montreal, Canada.grid.510486.e&lt;/auth-address&gt;&lt;titles&gt;&lt;title&gt;Incorporating dynamic flight network in SEIR to model mobility between populations&lt;/title&gt;&lt;secondary-title&gt;Appl Netw Sci&lt;/secondary-title&gt;&lt;/titles&gt;&lt;periodical&gt;&lt;full-title&gt;Appl Netw Sci&lt;/full-title&gt;&lt;/periodical&gt;&lt;pages&gt;42&lt;/pages&gt;&lt;volume&gt;6&lt;/volume&gt;&lt;number&gt;1&lt;/number&gt;&lt;edition&gt;2021/06/22&lt;/edition&gt;&lt;keywords&gt;&lt;keyword&gt;Dynamic network&lt;/keyword&gt;&lt;keyword&gt;Epidemiological modelling&lt;/keyword&gt;&lt;keyword&gt;Network science&lt;/keyword&gt;&lt;/keywords&gt;&lt;dates&gt;&lt;year&gt;2021&lt;/year&gt;&lt;/dates&gt;&lt;isbn&gt;2364-8228 (Electronic)&amp;#xD;2364-8228 (Linking)&lt;/isbn&gt;&lt;accession-num&gt;34150986&lt;/accession-num&gt;&lt;urls&gt;&lt;related-urls&gt;&lt;url&gt;https://www.ncbi.nlm.nih.gov/pubmed/34150986&lt;/url&gt;&lt;/related-urls&gt;&lt;/urls&gt;&lt;custom2&gt;PMC8205202&lt;/custom2&gt;&lt;electronic-resource-num&gt;10.1007/s41109-021-00378-3&lt;/electronic-resource-num&gt;&lt;/record&gt;&lt;/Cite&gt;&lt;/EndNote&gt;</w:instrText>
      </w:r>
      <w:r>
        <w:fldChar w:fldCharType="separate"/>
      </w:r>
      <w:r>
        <w:rPr>
          <w:vertAlign w:val="superscript"/>
        </w:rPr>
        <w:t>1</w:t>
      </w:r>
      <w:r>
        <w:fldChar w:fldCharType="end"/>
      </w:r>
      <w:r>
        <w:rPr>
          <w:rStyle w:val="34"/>
        </w:rPr>
        <w:t xml:space="preserve"> </w:t>
      </w:r>
      <w:r>
        <w:t xml:space="preserve">Therefore for each continent i, we set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ij</m:t>
            </m:r>
            <m:ctrlPr>
              <w:rPr>
                <w:rFonts w:ascii="Cambria Math" w:hAnsi="Cambria Math"/>
              </w:rPr>
            </m:ctrlPr>
          </m:sub>
        </m:sSub>
      </m:oMath>
      <w:r>
        <w:t xml:space="preserve"> and </w:t>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ji</m:t>
            </m:r>
            <m:ctrlPr>
              <w:rPr>
                <w:rFonts w:ascii="Cambria Math" w:hAnsi="Cambria Math"/>
              </w:rPr>
            </m:ctrlPr>
          </m:sub>
        </m:sSub>
      </m:oMath>
      <w:r>
        <w:t xml:space="preserve"> to 0 (any j).</w:t>
      </w:r>
    </w:p>
    <w:p>
      <w:pPr>
        <w:pStyle w:val="3"/>
        <w:widowControl w:val="0"/>
        <w:numPr>
          <w:ilvl w:val="0"/>
          <w:numId w:val="3"/>
        </w:numPr>
        <w:spacing w:before="0" w:after="0" w:line="276" w:lineRule="auto"/>
        <w:ind w:left="720"/>
        <w:contextualSpacing w:val="0"/>
      </w:pPr>
      <w:r>
        <w:t xml:space="preserve">Since what we consider is the early stage of the current pandemic, the number of recovered individuals that travel across populations is negligible, which hardly affect the transmission of disease. Therefore, for each continent, we set </w:t>
      </w:r>
      <m:oMath>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ij</m:t>
            </m:r>
            <m:ctrlPr>
              <w:rPr>
                <w:rFonts w:ascii="Cambria Math" w:hAnsi="Cambria Math"/>
              </w:rPr>
            </m:ctrlPr>
          </m:sub>
        </m:sSub>
      </m:oMath>
      <w:r>
        <w:t xml:space="preserve"> and </w:t>
      </w:r>
      <m:oMath>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ji</m:t>
            </m:r>
            <m:ctrlPr>
              <w:rPr>
                <w:rFonts w:ascii="Cambria Math" w:hAnsi="Cambria Math"/>
              </w:rPr>
            </m:ctrlPr>
          </m:sub>
        </m:sSub>
      </m:oMath>
      <w:r>
        <w:t xml:space="preserve"> to 0 (any j). </w:t>
      </w:r>
    </w:p>
    <w:bookmarkEnd w:id="37"/>
    <w:p>
      <w:pPr>
        <w:jc w:val="both"/>
        <w:rPr>
          <w:rFonts w:cs="Times New Roman"/>
          <w:szCs w:val="24"/>
        </w:rPr>
      </w:pPr>
    </w:p>
    <w:p>
      <w:pPr>
        <w:rPr>
          <w:rFonts w:cs="Times New Roman"/>
          <w:szCs w:val="24"/>
        </w:rPr>
      </w:pPr>
      <w:r>
        <w:rPr>
          <w:rFonts w:cs="Times New Roman"/>
          <w:szCs w:val="24"/>
        </w:rPr>
        <w:t>With the assumptions above, and that people are supposed to freely travel across the populations, our SEIR equations can be rewritten as:</w:t>
      </w:r>
    </w:p>
    <w:p>
      <w:pPr>
        <w:ind w:left="420"/>
        <w:rPr>
          <w:rFonts w:cs="Times New Roman"/>
          <w:szCs w:val="24"/>
        </w:rPr>
      </w:pPr>
      <m:oMathPara>
        <m:oMath>
          <m:eqArr>
            <m:eqArrPr>
              <m:ctrlPr>
                <w:rPr>
                  <w:rFonts w:ascii="Cambria Math" w:hAnsi="Cambria Math" w:cs="Times New Roman"/>
                  <w:szCs w:val="24"/>
                </w:rPr>
              </m:ctrlPr>
            </m:eqArrPr>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qArr>
        </m:oMath>
      </m:oMathPara>
    </w:p>
    <w:p>
      <w:pPr>
        <w:rPr>
          <w:rFonts w:cs="Times New Roman"/>
          <w:szCs w:val="24"/>
        </w:rPr>
      </w:pPr>
      <m:oMathPara>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eastAsia="等线" w:cs="Times New Roman"/>
                  <w:szCs w:val="24"/>
                </w:rPr>
              </m:ctrlPr>
            </m:sSubPr>
            <m:e>
              <m:r>
                <m:rPr/>
                <w:rPr>
                  <w:rFonts w:ascii="Cambria Math" w:hAnsi="Cambria Math" w:eastAsia="等线" w:cs="Times New Roman"/>
                  <w:szCs w:val="24"/>
                </w:rPr>
                <m:t>Passengers</m:t>
              </m:r>
              <m:ctrlPr>
                <w:rPr>
                  <w:rFonts w:ascii="Cambria Math" w:hAnsi="Cambria Math" w:eastAsia="等线" w:cs="Times New Roman"/>
                  <w:szCs w:val="24"/>
                </w:rPr>
              </m:ctrlPr>
            </m:e>
            <m:sub>
              <m:r>
                <m:rPr/>
                <w:rPr>
                  <w:rFonts w:ascii="Cambria Math" w:hAnsi="Cambria Math" w:eastAsia="等线" w:cs="Times New Roman"/>
                  <w:szCs w:val="24"/>
                </w:rPr>
                <m:t>ij</m:t>
              </m:r>
              <m:ctrlPr>
                <w:rPr>
                  <w:rFonts w:ascii="Cambria Math" w:hAnsi="Cambria Math" w:eastAsia="等线" w:cs="Times New Roman"/>
                  <w:szCs w:val="24"/>
                </w:rPr>
              </m:ctrlPr>
            </m:sub>
          </m:sSub>
          <m:r>
            <m:rPr/>
            <w:rPr>
              <w:rFonts w:ascii="Cambria Math" w:hAnsi="Cambria Math" w:eastAsia="等线" w:cs="Times New Roman"/>
              <w:szCs w:val="24"/>
            </w:rPr>
            <m:t>×</m:t>
          </m:r>
          <m:f>
            <m:fPr>
              <m:ctrlPr>
                <w:rPr>
                  <w:rFonts w:ascii="Cambria Math" w:hAnsi="Cambria Math" w:eastAsia="等线" w:cs="Times New Roman"/>
                  <w:i/>
                  <w:szCs w:val="24"/>
                </w:rPr>
              </m:ctrlPr>
            </m:fPr>
            <m:num>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den>
          </m:f>
        </m:oMath>
      </m:oMathPara>
    </w:p>
    <w:p>
      <w:pPr>
        <w:rPr>
          <w:rFonts w:cs="Times New Roman"/>
          <w:szCs w:val="24"/>
        </w:rPr>
      </w:pPr>
      <m:oMathPara>
        <m:oMath>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eastAsia="等线" w:cs="Times New Roman"/>
                  <w:szCs w:val="24"/>
                </w:rPr>
              </m:ctrlPr>
            </m:sSubPr>
            <m:e>
              <m:r>
                <m:rPr/>
                <w:rPr>
                  <w:rFonts w:ascii="Cambria Math" w:hAnsi="Cambria Math" w:eastAsia="等线" w:cs="Times New Roman"/>
                  <w:szCs w:val="24"/>
                </w:rPr>
                <m:t>Passengers</m:t>
              </m:r>
              <m:ctrlPr>
                <w:rPr>
                  <w:rFonts w:ascii="Cambria Math" w:hAnsi="Cambria Math" w:eastAsia="等线" w:cs="Times New Roman"/>
                  <w:szCs w:val="24"/>
                </w:rPr>
              </m:ctrlPr>
            </m:e>
            <m:sub>
              <m:r>
                <m:rPr/>
                <w:rPr>
                  <w:rFonts w:ascii="Cambria Math" w:hAnsi="Cambria Math" w:eastAsia="等线" w:cs="Times New Roman"/>
                  <w:szCs w:val="24"/>
                </w:rPr>
                <m:t>ij</m:t>
              </m:r>
              <m:ctrlPr>
                <w:rPr>
                  <w:rFonts w:ascii="Cambria Math" w:hAnsi="Cambria Math" w:eastAsia="等线" w:cs="Times New Roman"/>
                  <w:szCs w:val="24"/>
                </w:rPr>
              </m:ctrlPr>
            </m:sub>
          </m:sSub>
          <m:r>
            <m:rPr/>
            <w:rPr>
              <w:rFonts w:ascii="Cambria Math" w:hAnsi="Cambria Math" w:eastAsia="等线" w:cs="Times New Roman"/>
              <w:szCs w:val="24"/>
            </w:rPr>
            <m:t>×</m:t>
          </m:r>
          <m:f>
            <m:fPr>
              <m:ctrlPr>
                <w:rPr>
                  <w:rFonts w:ascii="Cambria Math" w:hAnsi="Cambria Math" w:eastAsia="等线" w:cs="Times New Roman"/>
                  <w:i/>
                  <w:szCs w:val="24"/>
                </w:rPr>
              </m:ctrlPr>
            </m:fPr>
            <m:num>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den>
          </m:f>
        </m:oMath>
      </m:oMathPara>
    </w:p>
    <w:p>
      <w:pPr>
        <w:jc w:val="both"/>
        <w:rPr>
          <w:rFonts w:cs="Times New Roman"/>
          <w:szCs w:val="24"/>
        </w:rPr>
      </w:pPr>
    </w:p>
    <w:p>
      <w:pPr>
        <w:jc w:val="both"/>
        <w:outlineLvl w:val="0"/>
        <w:rPr>
          <w:rFonts w:cs="Times New Roman"/>
          <w:b/>
          <w:szCs w:val="24"/>
        </w:rPr>
      </w:pPr>
      <w:bookmarkStart w:id="38" w:name="_Toc8406"/>
      <w:bookmarkStart w:id="39" w:name="_Toc18419"/>
      <w:bookmarkStart w:id="40" w:name="_Toc27149"/>
      <w:bookmarkStart w:id="41" w:name="_Toc27076"/>
      <w:r>
        <w:rPr>
          <w:rFonts w:cs="Times New Roman"/>
          <w:b/>
          <w:szCs w:val="24"/>
        </w:rPr>
        <w:t>b. Adjusting Parameters</w:t>
      </w:r>
      <w:bookmarkEnd w:id="38"/>
      <w:bookmarkEnd w:id="39"/>
      <w:bookmarkEnd w:id="40"/>
      <w:bookmarkEnd w:id="41"/>
    </w:p>
    <w:p>
      <w:pPr>
        <w:jc w:val="both"/>
        <w:rPr>
          <w:rFonts w:cs="Times New Roman"/>
          <w:szCs w:val="24"/>
        </w:rPr>
      </w:pPr>
    </w:p>
    <w:p>
      <w:pPr>
        <w:jc w:val="both"/>
        <w:rPr>
          <w:rFonts w:cs="Times New Roman"/>
          <w:b/>
          <w:szCs w:val="24"/>
        </w:rPr>
      </w:pPr>
      <m:oMath>
        <m:r>
          <m:rPr>
            <m:sty m:val="bi"/>
          </m:rPr>
          <w:rPr>
            <w:rFonts w:ascii="Cambria Math" w:hAnsi="Cambria Math" w:cs="Times New Roman"/>
            <w:szCs w:val="24"/>
          </w:rPr>
          <m:t xml:space="preserve">starting values of </m:t>
        </m:r>
        <m:sSub>
          <m:sSubPr>
            <m:ctrlPr>
              <w:rPr>
                <w:rFonts w:ascii="Cambria Math" w:hAnsi="Cambria Math" w:cs="Times New Roman"/>
                <w:b/>
                <w:szCs w:val="24"/>
              </w:rPr>
            </m:ctrlPr>
          </m:sSubPr>
          <m:e>
            <m:r>
              <m:rPr>
                <m:sty m:val="bi"/>
              </m:rPr>
              <w:rPr>
                <w:rFonts w:ascii="Cambria Math" w:hAnsi="Cambria Math" w:cs="Times New Roman"/>
                <w:szCs w:val="24"/>
              </w:rPr>
              <m:t>S</m:t>
            </m:r>
            <m:ctrlPr>
              <w:rPr>
                <w:rFonts w:ascii="Cambria Math" w:hAnsi="Cambria Math" w:cs="Times New Roman"/>
                <w:b/>
                <w:szCs w:val="24"/>
              </w:rPr>
            </m:ctrlPr>
          </m:e>
          <m:sub>
            <m:r>
              <m:rPr>
                <m:sty m:val="bi"/>
              </m:rPr>
              <w:rPr>
                <w:rFonts w:ascii="Cambria Math" w:hAnsi="Cambria Math" w:cs="Times New Roman"/>
                <w:szCs w:val="24"/>
              </w:rPr>
              <m:t>i</m:t>
            </m:r>
            <m:ctrlPr>
              <w:rPr>
                <w:rFonts w:ascii="Cambria Math" w:hAnsi="Cambria Math" w:cs="Times New Roman"/>
                <w:b/>
                <w:szCs w:val="24"/>
              </w:rPr>
            </m:ctrlPr>
          </m:sub>
        </m:sSub>
        <m:r>
          <m:rPr>
            <m:sty m:val="bi"/>
          </m:rPr>
          <w:rPr>
            <w:rFonts w:ascii="Cambria Math" w:hAnsi="Cambria Math" w:cs="Times New Roman"/>
            <w:szCs w:val="24"/>
          </w:rPr>
          <m:t xml:space="preserve">, </m:t>
        </m:r>
        <m:sSub>
          <m:sSubPr>
            <m:ctrlPr>
              <w:rPr>
                <w:rFonts w:ascii="Cambria Math" w:hAnsi="Cambria Math" w:cs="Times New Roman"/>
                <w:b/>
                <w:szCs w:val="24"/>
              </w:rPr>
            </m:ctrlPr>
          </m:sSubPr>
          <m:e>
            <m:r>
              <m:rPr>
                <m:sty m:val="bi"/>
              </m:rPr>
              <w:rPr>
                <w:rFonts w:ascii="Cambria Math" w:hAnsi="Cambria Math" w:cs="Times New Roman"/>
                <w:szCs w:val="24"/>
              </w:rPr>
              <m:t>E</m:t>
            </m:r>
            <m:ctrlPr>
              <w:rPr>
                <w:rFonts w:ascii="Cambria Math" w:hAnsi="Cambria Math" w:cs="Times New Roman"/>
                <w:b/>
                <w:szCs w:val="24"/>
              </w:rPr>
            </m:ctrlPr>
          </m:e>
          <m:sub>
            <m:r>
              <m:rPr>
                <m:sty m:val="bi"/>
              </m:rPr>
              <w:rPr>
                <w:rFonts w:ascii="Cambria Math" w:hAnsi="Cambria Math" w:cs="Times New Roman"/>
                <w:szCs w:val="24"/>
              </w:rPr>
              <m:t>i</m:t>
            </m:r>
            <m:ctrlPr>
              <w:rPr>
                <w:rFonts w:ascii="Cambria Math" w:hAnsi="Cambria Math" w:cs="Times New Roman"/>
                <w:b/>
                <w:szCs w:val="24"/>
              </w:rPr>
            </m:ctrlPr>
          </m:sub>
        </m:sSub>
        <m:r>
          <m:rPr>
            <m:sty m:val="bi"/>
          </m:rPr>
          <w:rPr>
            <w:rFonts w:ascii="Cambria Math" w:hAnsi="Cambria Math" w:cs="Times New Roman"/>
            <w:szCs w:val="24"/>
          </w:rPr>
          <m:t xml:space="preserve">, </m:t>
        </m:r>
        <m:sSub>
          <m:sSubPr>
            <m:ctrlPr>
              <w:rPr>
                <w:rFonts w:ascii="Cambria Math" w:hAnsi="Cambria Math" w:cs="Times New Roman"/>
                <w:b/>
                <w:szCs w:val="24"/>
              </w:rPr>
            </m:ctrlPr>
          </m:sSubPr>
          <m:e>
            <m:r>
              <m:rPr>
                <m:sty m:val="bi"/>
              </m:rPr>
              <w:rPr>
                <w:rFonts w:ascii="Cambria Math" w:hAnsi="Cambria Math" w:cs="Times New Roman"/>
                <w:szCs w:val="24"/>
              </w:rPr>
              <m:t>I</m:t>
            </m:r>
            <m:ctrlPr>
              <w:rPr>
                <w:rFonts w:ascii="Cambria Math" w:hAnsi="Cambria Math" w:cs="Times New Roman"/>
                <w:b/>
                <w:szCs w:val="24"/>
              </w:rPr>
            </m:ctrlPr>
          </m:e>
          <m:sub>
            <m:r>
              <m:rPr>
                <m:sty m:val="bi"/>
              </m:rPr>
              <w:rPr>
                <w:rFonts w:ascii="Cambria Math" w:hAnsi="Cambria Math" w:cs="Times New Roman"/>
                <w:szCs w:val="24"/>
              </w:rPr>
              <m:t>i</m:t>
            </m:r>
            <m:ctrlPr>
              <w:rPr>
                <w:rFonts w:ascii="Cambria Math" w:hAnsi="Cambria Math" w:cs="Times New Roman"/>
                <w:b/>
                <w:szCs w:val="24"/>
              </w:rPr>
            </m:ctrlPr>
          </m:sub>
        </m:sSub>
        <m:r>
          <m:rPr>
            <m:sty m:val="b"/>
          </m:rPr>
          <w:rPr>
            <w:rFonts w:ascii="Cambria Math" w:hAnsi="Cambria Math" w:cs="Times New Roman"/>
            <w:szCs w:val="24"/>
          </w:rPr>
          <m:t xml:space="preserve">, </m:t>
        </m:r>
        <m:sSub>
          <m:sSubPr>
            <m:ctrlPr>
              <w:rPr>
                <w:rFonts w:ascii="Cambria Math" w:hAnsi="Cambria Math" w:cs="Times New Roman"/>
                <w:b/>
                <w:szCs w:val="24"/>
              </w:rPr>
            </m:ctrlPr>
          </m:sSubPr>
          <m:e>
            <m:r>
              <m:rPr>
                <m:sty m:val="bi"/>
              </m:rPr>
              <w:rPr>
                <w:rFonts w:ascii="Cambria Math" w:hAnsi="Cambria Math" w:cs="Times New Roman"/>
                <w:szCs w:val="24"/>
              </w:rPr>
              <m:t>R</m:t>
            </m:r>
            <m:ctrlPr>
              <w:rPr>
                <w:rFonts w:ascii="Cambria Math" w:hAnsi="Cambria Math" w:cs="Times New Roman"/>
                <w:b/>
                <w:szCs w:val="24"/>
              </w:rPr>
            </m:ctrlPr>
          </m:e>
          <m:sub>
            <m:r>
              <m:rPr>
                <m:sty m:val="bi"/>
              </m:rPr>
              <w:rPr>
                <w:rFonts w:ascii="Cambria Math" w:hAnsi="Cambria Math" w:cs="Times New Roman"/>
                <w:szCs w:val="24"/>
              </w:rPr>
              <m:t>i</m:t>
            </m:r>
            <m:ctrlPr>
              <w:rPr>
                <w:rFonts w:ascii="Cambria Math" w:hAnsi="Cambria Math" w:cs="Times New Roman"/>
                <w:b/>
                <w:szCs w:val="24"/>
              </w:rPr>
            </m:ctrlPr>
          </m:sub>
        </m:sSub>
      </m:oMath>
      <w:r>
        <w:rPr>
          <w:rFonts w:cs="Times New Roman"/>
          <w:b/>
          <w:szCs w:val="24"/>
        </w:rPr>
        <w:t xml:space="preserve"> </w:t>
      </w:r>
    </w:p>
    <w:p>
      <w:pPr>
        <w:jc w:val="both"/>
        <w:rPr>
          <w:rFonts w:cs="Times New Roman"/>
          <w:szCs w:val="24"/>
        </w:rPr>
      </w:pPr>
    </w:p>
    <w:p>
      <w:pPr>
        <w:jc w:val="both"/>
        <w:rPr>
          <w:rFonts w:cs="Times New Roman"/>
          <w:szCs w:val="24"/>
        </w:rPr>
      </w:pPr>
      <w:r>
        <w:rPr>
          <w:rFonts w:cs="Times New Roman"/>
          <w:szCs w:val="24"/>
        </w:rPr>
        <w:t>It was reported that for people vaccinated smallpox, the chance that they get Monkeypox would be 1/5.2 times of those without vaccination. And since smallpox vaccine was stopped by 1980s, we assume that population over 40 years old were vaccinated, while population under 40 years old were not</w:t>
      </w:r>
      <w:r>
        <w:rPr>
          <w:rFonts w:cs="Times New Roman"/>
          <w:szCs w:val="24"/>
        </w:rPr>
        <w:fldChar w:fldCharType="begin"/>
      </w:r>
      <w:r>
        <w:rPr>
          <w:rFonts w:cs="Times New Roman"/>
          <w:szCs w:val="24"/>
        </w:rPr>
        <w:instrText xml:space="preserve"> ADDIN EN.CITE &lt;EndNote&gt;&lt;Cite&gt;&lt;Author&gt;Rimoin&lt;/Author&gt;&lt;Year&gt;2010&lt;/Year&gt;&lt;RecNum&gt;76&lt;/RecNum&gt;&lt;DisplayText&gt;&lt;style face="superscript"&gt;2&lt;/style&gt;&lt;/DisplayText&gt;&lt;record&gt;&lt;rec-number&gt;76&lt;/rec-number&gt;&lt;foreign-keys&gt;&lt;key app="EN" db-id="0wsxxz2rzzepxpe90auperrs5dt2p92wxfxp" timestamp="1661406662"&gt;76&lt;/key&gt;&lt;/foreign-keys&gt;&lt;ref-type name="Journal Article"&gt;17&lt;/ref-type&gt;&lt;contributors&gt;&lt;authors&gt;&lt;author&gt;Rimoin, AW&lt;/author&gt;&lt;author&gt;Mulembakani, PM&lt;/author&gt;&lt;author&gt;Johnston, SC&lt;/author&gt;&lt;author&gt;Lloyd Smith, JO&lt;/author&gt;&lt;author&gt;Kisalu, NK&lt;/author&gt;&lt;author&gt;Kinkela, TL&lt;/author&gt;&lt;author&gt;Blumberg, S&lt;/author&gt;&lt;author&gt;Thomassen, HA&lt;/author&gt;&lt;author&gt;Pike, BL&lt;/author&gt;&lt;author&gt;Fair, JN&lt;/author&gt;&lt;author&gt;Wolfe, ND&lt;/author&gt;&lt;author&gt;Shongo, RL&lt;/author&gt;&lt;author&gt;Graham, BS&lt;/author&gt;&lt;author&gt;Formenty, P&lt;/author&gt;&lt;author&gt;Okitolonda, E&lt;/author&gt;&lt;author&gt;Hensley, LE&lt;/author&gt;&lt;author&gt;Meyer, H&lt;/author&gt;&lt;author&gt;Wright, LL&lt;/author&gt;&lt;author&gt;Muyembe, JJ %J Proceedings of the National Academy of Sciences of the United States of America&lt;/author&gt;&lt;/authors&gt;&lt;/contributors&gt;&lt;titles&gt;&lt;title&gt;Major increase in human monkeypox incidence 30 years after smallpox vaccination campaigns cease in the Democratic Republic of Congo&lt;/title&gt;&lt;/titles&gt;&lt;pages&gt;16262-7&lt;/pages&gt;&lt;volume&gt;107&lt;/volume&gt;&lt;number&gt;37&lt;/number&gt;&lt;dates&gt;&lt;year&gt;2010&lt;/year&gt;&lt;/dates&gt;&lt;accession-num&gt;20805472&lt;/accession-num&gt;&lt;label&gt;9.412&lt;/label&gt;&lt;urls&gt;&lt;/urls&gt;&lt;electronic-resource-num&gt;10.1073/pnas.1005769107&lt;/electronic-resource-num&gt;&lt;/record&gt;&lt;/Cite&gt;&lt;/EndNote&gt;</w:instrText>
      </w:r>
      <w:r>
        <w:rPr>
          <w:rFonts w:cs="Times New Roman"/>
          <w:szCs w:val="24"/>
        </w:rPr>
        <w:fldChar w:fldCharType="separate"/>
      </w:r>
      <w:r>
        <w:rPr>
          <w:rFonts w:cs="Times New Roman"/>
          <w:szCs w:val="24"/>
          <w:vertAlign w:val="superscript"/>
        </w:rPr>
        <w:t>2</w:t>
      </w:r>
      <w:r>
        <w:rPr>
          <w:rFonts w:cs="Times New Roman"/>
          <w:szCs w:val="24"/>
        </w:rPr>
        <w:fldChar w:fldCharType="end"/>
      </w:r>
      <w:r>
        <w:rPr>
          <w:rFonts w:cs="Times New Roman"/>
          <w:szCs w:val="24"/>
        </w:rPr>
        <w:t>. Therefore, we adjusted the initial value (and maximum value as time changes) of susceptible individuals at continent i (</w:t>
      </w:r>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oMath>
      <w:r>
        <w:rPr>
          <w:rFonts w:cs="Times New Roman"/>
          <w:szCs w:val="24"/>
        </w:rPr>
        <w:t xml:space="preserve">) to </w:t>
      </w:r>
    </w:p>
    <w:p>
      <w:pPr>
        <w:jc w:val="both"/>
        <w:rPr>
          <w:rFonts w:cs="Times New Roman"/>
          <w:szCs w:val="24"/>
        </w:rPr>
      </w:pPr>
      <m:oMathPara>
        <m:oMath>
          <m:sSub>
            <w:bookmarkStart w:id="42" w:name="OLE_LINK4"/>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r>
            <m:rPr>
              <m:sty m:val="p"/>
            </m:rPr>
            <w:rPr>
              <w:rFonts w:ascii="Cambria Math" w:hAnsi="Cambria Math" w:cs="Times New Roman"/>
              <w:szCs w:val="24"/>
            </w:rPr>
            <m:t>Population under 40 at continent i + (1/5.2)∗population above 40 at continent i</m:t>
          </m:r>
          <w:bookmarkEnd w:id="42"/>
        </m:oMath>
      </m:oMathPara>
    </w:p>
    <w:p>
      <w:pPr>
        <w:jc w:val="both"/>
        <w:rPr>
          <w:rFonts w:cs="Times New Roman"/>
          <w:szCs w:val="24"/>
        </w:rPr>
      </w:pPr>
    </w:p>
    <w:p>
      <w:pPr>
        <w:jc w:val="both"/>
        <w:rPr>
          <w:rFonts w:cs="Times New Roman"/>
          <w:szCs w:val="24"/>
        </w:rPr>
      </w:pPr>
      <w:r>
        <w:rPr>
          <w:rFonts w:cs="Times New Roman"/>
          <w:szCs w:val="24"/>
        </w:rPr>
        <w:t xml:space="preserve">The simulation of our modified SEIR starts from January 31, when cases were only reported in Africa. By January 31, 3 cases in Africa were confirmed (so we set starting value of </w:t>
      </w:r>
      <m:oMath>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j</m:t>
            </m:r>
            <m:ctrlPr>
              <w:rPr>
                <w:rFonts w:ascii="Cambria Math" w:hAnsi="Cambria Math" w:cs="Times New Roman"/>
                <w:szCs w:val="24"/>
              </w:rPr>
            </m:ctrlPr>
          </m:sub>
        </m:sSub>
        <m:r>
          <m:rPr/>
          <w:rPr>
            <w:rFonts w:ascii="Cambria Math" w:hAnsi="Cambria Math" w:cs="Times New Roman"/>
            <w:szCs w:val="24"/>
          </w:rPr>
          <m:t xml:space="preserve"> </m:t>
        </m:r>
      </m:oMath>
      <w:r>
        <w:rPr>
          <w:rFonts w:cs="Times New Roman"/>
          <w:szCs w:val="24"/>
        </w:rPr>
        <w:t xml:space="preserve">to 3, where continent j is Africa). Considering the reproduction number R0 of Monkeypox was reported to be around 2 </w:t>
      </w:r>
      <w:r>
        <w:rPr>
          <w:rFonts w:cs="Times New Roman"/>
          <w:szCs w:val="24"/>
        </w:rPr>
        <w:fldChar w:fldCharType="begin"/>
      </w:r>
      <w:r>
        <w:rPr>
          <w:rFonts w:cs="Times New Roman"/>
          <w:szCs w:val="24"/>
        </w:rPr>
        <w:instrText xml:space="preserve"> ADDIN EN.CITE &lt;EndNote&gt;&lt;Cite&gt;&lt;Author&gt;Burki&lt;/Author&gt;&lt;Year&gt;2022&lt;/Year&gt;&lt;RecNum&gt;68&lt;/RecNum&gt;&lt;DisplayText&gt;&lt;style face="superscript"&gt;3&lt;/style&gt;&lt;/DisplayText&gt;&lt;record&gt;&lt;rec-number&gt;68&lt;/rec-number&gt;&lt;foreign-keys&gt;&lt;key app="EN" db-id="0wsxxz2rzzepxpe90auperrs5dt2p92wxfxp" timestamp="1661406430"&gt;68&lt;/key&gt;&lt;key app="ENWeb" db-id=""&gt;0&lt;/key&gt;&lt;/foreign-keys&gt;&lt;ref-type name="Journal Article"&gt;17&lt;/ref-type&gt;&lt;contributors&gt;&lt;authors&gt;&lt;author&gt;Burki, Talha&lt;/author&gt;&lt;/authors&gt;&lt;/contributors&gt;&lt;titles&gt;&lt;title&gt;What does it mean to declare monkeypox a PHEIC?&lt;/title&gt;&lt;secondary-title&gt;The Lancet Infectious Diseases&lt;/secondary-title&gt;&lt;/titles&gt;&lt;periodical&gt;&lt;full-title&gt;The Lancet Infectious Diseases&lt;/full-title&gt;&lt;/periodical&gt;&lt;pages&gt;1286-1287&lt;/pages&gt;&lt;volume&gt;22&lt;/volume&gt;&lt;number&gt;9&lt;/number&gt;&lt;section&gt;1286&lt;/section&gt;&lt;dates&gt;&lt;year&gt;2022&lt;/year&gt;&lt;/dates&gt;&lt;isbn&gt;14733099&lt;/isbn&gt;&lt;urls&gt;&lt;/urls&gt;&lt;electronic-resource-num&gt;10.1016/s1473-3099(22)00540-0&lt;/electronic-resource-num&gt;&lt;/record&gt;&lt;/Cite&gt;&lt;/EndNote&gt;</w:instrText>
      </w:r>
      <w:r>
        <w:rPr>
          <w:rFonts w:cs="Times New Roman"/>
          <w:szCs w:val="24"/>
        </w:rPr>
        <w:fldChar w:fldCharType="separate"/>
      </w:r>
      <w:r>
        <w:rPr>
          <w:rFonts w:cs="Times New Roman"/>
          <w:szCs w:val="24"/>
          <w:vertAlign w:val="superscript"/>
        </w:rPr>
        <w:t>3</w:t>
      </w:r>
      <w:r>
        <w:rPr>
          <w:rFonts w:cs="Times New Roman"/>
          <w:szCs w:val="24"/>
        </w:rPr>
        <w:fldChar w:fldCharType="end"/>
      </w:r>
      <w:r>
        <w:rPr>
          <w:rFonts w:cs="Times New Roman"/>
          <w:szCs w:val="24"/>
        </w:rPr>
        <w:t xml:space="preserve">,we set </w:t>
      </w:r>
      <m:oMath>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j</m:t>
            </m:r>
            <m:ctrlPr>
              <w:rPr>
                <w:rFonts w:ascii="Cambria Math" w:hAnsi="Cambria Math" w:cs="Times New Roman"/>
                <w:szCs w:val="24"/>
              </w:rPr>
            </m:ctrlPr>
          </m:sub>
        </m:sSub>
      </m:oMath>
      <w:r>
        <w:rPr>
          <w:rFonts w:cs="Times New Roman"/>
          <w:szCs w:val="24"/>
        </w:rPr>
        <w:t xml:space="preserve"> to 2*3=6. Starting values of other continents were set 0, since no case was reported until May 6.</w:t>
      </w:r>
    </w:p>
    <w:p>
      <w:pPr>
        <w:jc w:val="both"/>
        <w:outlineLvl w:val="0"/>
        <w:rPr>
          <w:rFonts w:cs="Times New Roman"/>
          <w:b/>
          <w:szCs w:val="24"/>
        </w:rPr>
      </w:pPr>
      <m:oMathPara>
        <m:oMathParaPr>
          <m:jc m:val="left"/>
        </m:oMathParaPr>
        <m:oMath>
          <w:bookmarkStart w:id="43" w:name="_Toc6618"/>
          <w:bookmarkStart w:id="44" w:name="_Toc10695"/>
          <w:bookmarkStart w:id="45" w:name="_Toc21657"/>
          <w:bookmarkStart w:id="46" w:name="_Toc13978"/>
          <m:r>
            <m:rPr>
              <m:sty m:val="bi"/>
            </m:rPr>
            <w:rPr>
              <w:rFonts w:ascii="Cambria Math" w:hAnsi="Cambria Math" w:cs="Times New Roman"/>
              <w:szCs w:val="24"/>
            </w:rPr>
            <m:t>σ and γ</m:t>
          </m:r>
        </m:oMath>
      </m:oMathPara>
      <w:bookmarkEnd w:id="43"/>
      <w:bookmarkEnd w:id="44"/>
      <w:bookmarkEnd w:id="45"/>
      <w:bookmarkEnd w:id="46"/>
    </w:p>
    <w:p>
      <w:pPr>
        <w:jc w:val="both"/>
        <w:rPr>
          <w:rFonts w:cs="Times New Roman"/>
          <w:szCs w:val="24"/>
        </w:rPr>
      </w:pPr>
      <w:r>
        <w:rPr>
          <w:rFonts w:cs="Times New Roman"/>
          <w:szCs w:val="24"/>
        </w:rPr>
        <w:t xml:space="preserve">Since WHO reported that the latent period of Monkeypox ranges from 5 to 21 days, while the recovery period is 2-4 weeks </w:t>
      </w:r>
      <w:r>
        <w:rPr>
          <w:rFonts w:cs="Times New Roman"/>
          <w:szCs w:val="24"/>
        </w:rPr>
        <w:fldChar w:fldCharType="begin"/>
      </w:r>
      <w:r>
        <w:rPr>
          <w:rFonts w:cs="Times New Roman"/>
          <w:szCs w:val="24"/>
        </w:rPr>
        <w:instrText xml:space="preserve"> ADDIN EN.CITE &lt;EndNote&gt;&lt;Cite&gt;&lt;RecNum&gt;109&lt;/RecNum&gt;&lt;DisplayText&gt;&lt;style face="superscript"&gt;4&lt;/style&gt;&lt;/DisplayText&gt;&lt;record&gt;&lt;rec-number&gt;109&lt;/rec-number&gt;&lt;foreign-keys&gt;&lt;key app="EN" db-id="0wsxxz2rzzepxpe90auperrs5dt2p92wxfxp" timestamp="1661433816"&gt;109&lt;/key&gt;&lt;/foreign-keys&gt;&lt;ref-type name="Web Page"&gt;12&lt;/ref-type&gt;&lt;contributors&gt;&lt;/contributors&gt;&lt;titles&gt;&lt;title&gt;Gideon: Monkeypox: Global Status&lt;/title&gt;&lt;/titles&gt;&lt;volume&gt;2022&lt;/volume&gt;&lt;number&gt;22-May&lt;/number&gt;&lt;dates&gt;&lt;/dates&gt;&lt;urls&gt;&lt;related-urls&gt;&lt;url&gt;https://ebooks.gideononline.com/pdf?title=Monkeypox%3A+Global+Status&amp;amp;year=2022&lt;/url&gt;&lt;/related-urls&gt;&lt;/urls&gt;&lt;/record&gt;&lt;/Cite&gt;&lt;/EndNote&gt;</w:instrText>
      </w:r>
      <w:r>
        <w:rPr>
          <w:rFonts w:cs="Times New Roman"/>
          <w:szCs w:val="24"/>
        </w:rPr>
        <w:fldChar w:fldCharType="separate"/>
      </w:r>
      <w:r>
        <w:rPr>
          <w:rFonts w:cs="Times New Roman"/>
          <w:szCs w:val="24"/>
          <w:vertAlign w:val="superscript"/>
        </w:rPr>
        <w:t>4</w:t>
      </w:r>
      <w:r>
        <w:rPr>
          <w:rFonts w:cs="Times New Roman"/>
          <w:szCs w:val="24"/>
        </w:rPr>
        <w:fldChar w:fldCharType="end"/>
      </w:r>
      <w:r>
        <w:rPr>
          <w:rFonts w:cs="Times New Roman"/>
          <w:szCs w:val="24"/>
        </w:rPr>
        <w:t xml:space="preserve">, we took the medium and set incubation rate </w:t>
      </w:r>
      <m:oMath>
        <m:r>
          <m:rPr/>
          <w:rPr>
            <w:rFonts w:ascii="Cambria Math" w:hAnsi="Cambria Math" w:cs="Times New Roman"/>
            <w:szCs w:val="24"/>
          </w:rPr>
          <m:t>σ=1/13</m:t>
        </m:r>
      </m:oMath>
      <w:r>
        <w:rPr>
          <w:rFonts w:cs="Times New Roman"/>
          <w:szCs w:val="24"/>
        </w:rPr>
        <w:t xml:space="preserve"> (reciprocal of latent period), and recovery rate </w:t>
      </w:r>
      <m:oMath>
        <m:r>
          <m:rPr/>
          <w:rPr>
            <w:rFonts w:ascii="Cambria Math" w:hAnsi="Cambria Math" w:cs="Times New Roman"/>
            <w:szCs w:val="24"/>
          </w:rPr>
          <m:t>γ=1/21</m:t>
        </m:r>
      </m:oMath>
      <w:r>
        <w:rPr>
          <w:rFonts w:cs="Times New Roman"/>
          <w:szCs w:val="24"/>
        </w:rPr>
        <w:t xml:space="preserve"> (reciprocal of recovery period).</w:t>
      </w:r>
    </w:p>
    <w:p>
      <w:pPr>
        <w:jc w:val="both"/>
        <w:rPr>
          <w:rFonts w:cs="Times New Roman"/>
          <w:szCs w:val="24"/>
        </w:rPr>
      </w:pPr>
    </w:p>
    <w:p>
      <w:pPr>
        <w:jc w:val="both"/>
        <w:outlineLvl w:val="0"/>
        <w:rPr>
          <w:rFonts w:cs="Times New Roman"/>
          <w:b/>
          <w:szCs w:val="24"/>
        </w:rPr>
      </w:pPr>
      <m:oMathPara>
        <m:oMathParaPr>
          <m:jc m:val="left"/>
        </m:oMathParaPr>
        <m:oMath>
          <m:sSub>
            <w:bookmarkStart w:id="47" w:name="_Toc3468"/>
            <w:bookmarkStart w:id="48" w:name="_Toc31417"/>
            <w:bookmarkStart w:id="49" w:name="_Toc31456"/>
            <w:bookmarkStart w:id="50" w:name="_Toc590"/>
            <m:sSubPr>
              <m:ctrlPr>
                <w:rPr>
                  <w:rFonts w:ascii="Cambria Math" w:hAnsi="Cambria Math" w:cs="Times New Roman"/>
                  <w:b/>
                  <w:szCs w:val="24"/>
                </w:rPr>
              </m:ctrlPr>
            </m:sSubPr>
            <m:e>
              <m:r>
                <m:rPr>
                  <m:sty m:val="bi"/>
                </m:rPr>
                <w:rPr>
                  <w:rFonts w:ascii="Cambria Math" w:hAnsi="Cambria Math" w:cs="Times New Roman"/>
                  <w:szCs w:val="24"/>
                </w:rPr>
                <m:t>β</m:t>
              </m:r>
              <m:ctrlPr>
                <w:rPr>
                  <w:rFonts w:ascii="Cambria Math" w:hAnsi="Cambria Math" w:cs="Times New Roman"/>
                  <w:b/>
                  <w:szCs w:val="24"/>
                </w:rPr>
              </m:ctrlPr>
            </m:e>
            <m:sub>
              <m:r>
                <m:rPr>
                  <m:sty m:val="bi"/>
                </m:rPr>
                <w:rPr>
                  <w:rFonts w:ascii="Cambria Math" w:hAnsi="Cambria Math" w:cs="Times New Roman"/>
                  <w:szCs w:val="24"/>
                </w:rPr>
                <m:t>i1</m:t>
              </m:r>
              <m:ctrlPr>
                <w:rPr>
                  <w:rFonts w:ascii="Cambria Math" w:hAnsi="Cambria Math" w:cs="Times New Roman"/>
                  <w:b/>
                  <w:szCs w:val="24"/>
                </w:rPr>
              </m:ctrlPr>
            </m:sub>
          </m:sSub>
          <m:r>
            <m:rPr>
              <m:sty m:val="bi"/>
            </m:rPr>
            <w:rPr>
              <w:rFonts w:ascii="Cambria Math" w:hAnsi="Cambria Math" w:cs="Times New Roman"/>
              <w:szCs w:val="24"/>
            </w:rPr>
            <m:t xml:space="preserve"> and </m:t>
          </m:r>
          <m:sSub>
            <m:sSubPr>
              <m:ctrlPr>
                <w:rPr>
                  <w:rFonts w:ascii="Cambria Math" w:hAnsi="Cambria Math" w:cs="Times New Roman"/>
                  <w:b/>
                  <w:szCs w:val="24"/>
                </w:rPr>
              </m:ctrlPr>
            </m:sSubPr>
            <m:e>
              <m:r>
                <m:rPr>
                  <m:sty m:val="bi"/>
                </m:rPr>
                <w:rPr>
                  <w:rFonts w:ascii="Cambria Math" w:hAnsi="Cambria Math" w:cs="Times New Roman"/>
                  <w:szCs w:val="24"/>
                </w:rPr>
                <m:t>β</m:t>
              </m:r>
              <m:ctrlPr>
                <w:rPr>
                  <w:rFonts w:ascii="Cambria Math" w:hAnsi="Cambria Math" w:cs="Times New Roman"/>
                  <w:b/>
                  <w:szCs w:val="24"/>
                </w:rPr>
              </m:ctrlPr>
            </m:e>
            <m:sub>
              <m:r>
                <m:rPr>
                  <m:sty m:val="bi"/>
                </m:rPr>
                <w:rPr>
                  <w:rFonts w:ascii="Cambria Math" w:hAnsi="Cambria Math" w:cs="Times New Roman"/>
                  <w:szCs w:val="24"/>
                </w:rPr>
                <m:t>i2</m:t>
              </m:r>
              <m:ctrlPr>
                <w:rPr>
                  <w:rFonts w:ascii="Cambria Math" w:hAnsi="Cambria Math" w:cs="Times New Roman"/>
                  <w:b/>
                  <w:szCs w:val="24"/>
                </w:rPr>
              </m:ctrlPr>
              <w:bookmarkEnd w:id="47"/>
              <w:bookmarkEnd w:id="48"/>
              <w:bookmarkEnd w:id="49"/>
              <w:bookmarkEnd w:id="50"/>
            </m:sub>
          </m:sSub>
        </m:oMath>
      </m:oMathPara>
    </w:p>
    <w:p>
      <w:pPr>
        <w:jc w:val="both"/>
        <w:rPr>
          <w:rFonts w:cs="Times New Roman"/>
          <w:szCs w:val="24"/>
        </w:rPr>
      </w:pPr>
      <w:r>
        <w:rPr>
          <w:rFonts w:cs="Times New Roman"/>
          <w:szCs w:val="24"/>
        </w:rPr>
        <w:t xml:space="preserve">The IHR Emergency Committee on the multi-country outbreak of monkeypox held its first meeting on 23 June 2022, to consider classifying monkeypox as an emergency of international concern Thus, by this time, monkeypox had become a widespread global concern and we considered that its transmission rate changed. We fitted two-phase </w:t>
      </w:r>
      <m:oMath>
        <m:r>
          <m:rPr>
            <m:sty m:val="p"/>
          </m:rPr>
          <w:rPr>
            <w:rFonts w:ascii="Cambria Math" w:hAnsi="Cambria Math" w:cs="Times New Roman"/>
            <w:szCs w:val="24"/>
          </w:rPr>
          <m:t>β</m:t>
        </m:r>
      </m:oMath>
      <w:r>
        <w:rPr>
          <w:rFonts w:cs="Times New Roman"/>
          <w:szCs w:val="24"/>
        </w:rPr>
        <w:t xml:space="preserve">’s taking June 23 as the node. For continent i, we denote its transmission rate before June 23 by </w:t>
      </w:r>
      <m:oMath>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i1</m:t>
            </m:r>
            <m:ctrlPr>
              <w:rPr>
                <w:rFonts w:ascii="Cambria Math" w:hAnsi="Cambria Math" w:cs="Times New Roman"/>
                <w:szCs w:val="24"/>
              </w:rPr>
            </m:ctrlPr>
          </m:sub>
        </m:sSub>
      </m:oMath>
      <w:r>
        <w:rPr>
          <w:rFonts w:cs="Times New Roman"/>
          <w:szCs w:val="24"/>
        </w:rPr>
        <w:t xml:space="preserve">, and that after June 23 by </w:t>
      </w:r>
      <m:oMath>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i2</m:t>
            </m:r>
            <m:ctrlPr>
              <w:rPr>
                <w:rFonts w:ascii="Cambria Math" w:hAnsi="Cambria Math" w:cs="Times New Roman"/>
                <w:szCs w:val="24"/>
              </w:rPr>
            </m:ctrlPr>
          </m:sub>
        </m:sSub>
      </m:oMath>
    </w:p>
    <w:p>
      <w:pPr>
        <w:jc w:val="both"/>
        <w:rPr>
          <w:rFonts w:cs="Times New Roman"/>
          <w:szCs w:val="24"/>
        </w:rPr>
      </w:pPr>
    </w:p>
    <w:p>
      <w:pPr>
        <w:jc w:val="both"/>
        <w:rPr>
          <w:rFonts w:cs="Times New Roman"/>
          <w:szCs w:val="24"/>
        </w:rPr>
      </w:pPr>
      <w:r>
        <w:rPr>
          <w:rFonts w:cs="Times New Roman"/>
          <w:szCs w:val="24"/>
        </w:rPr>
        <w:t>In conclusion, our improved SEIR model is as follows:</w:t>
      </w:r>
    </w:p>
    <w:p>
      <w:pPr>
        <w:jc w:val="both"/>
        <w:rPr>
          <w:rFonts w:cs="Times New Roman"/>
          <w:szCs w:val="24"/>
        </w:rPr>
      </w:pPr>
    </w:p>
    <w:p>
      <w:pPr>
        <w:jc w:val="both"/>
        <w:rPr>
          <w:rFonts w:cs="Times New Roman"/>
          <w:szCs w:val="24"/>
        </w:rPr>
      </w:pPr>
      <w:r>
        <w:rPr>
          <w:rFonts w:cs="Times New Roman"/>
          <w:szCs w:val="24"/>
        </w:rPr>
        <w:t>If earlier than June 23:</w:t>
      </w:r>
    </w:p>
    <w:p>
      <w:pPr>
        <w:ind w:left="420"/>
        <w:rPr>
          <w:rFonts w:cs="Times New Roman"/>
          <w:szCs w:val="24"/>
        </w:rPr>
      </w:pPr>
      <m:oMathPara>
        <m:oMath>
          <m:eqArr>
            <m:eqArrPr>
              <m:ctrlPr>
                <w:rPr>
                  <w:rFonts w:ascii="Cambria Math" w:hAnsi="Cambria Math" w:cs="Times New Roman"/>
                  <w:szCs w:val="24"/>
                </w:rPr>
              </m:ctrlPr>
            </m:eqArrPr>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i1</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i1</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qArr>
        </m:oMath>
      </m:oMathPara>
    </w:p>
    <w:p>
      <w:pPr>
        <w:rPr>
          <w:rFonts w:cs="Times New Roman"/>
          <w:szCs w:val="24"/>
        </w:rPr>
      </w:pPr>
      <w:r>
        <w:rPr>
          <w:rFonts w:cs="Times New Roman"/>
          <w:szCs w:val="24"/>
        </w:rPr>
        <w:t>Else:</w:t>
      </w:r>
    </w:p>
    <w:p>
      <w:pPr>
        <w:ind w:left="420"/>
        <w:rPr>
          <w:rFonts w:cs="Times New Roman"/>
          <w:szCs w:val="24"/>
        </w:rPr>
      </w:pPr>
      <m:oMathPara>
        <m:oMath>
          <m:eqArr>
            <m:eqArrPr>
              <m:ctrlPr>
                <w:rPr>
                  <w:rFonts w:ascii="Cambria Math" w:hAnsi="Cambria Math" w:cs="Times New Roman"/>
                  <w:szCs w:val="24"/>
                </w:rPr>
              </m:ctrlPr>
            </m:eqArrPr>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i2</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i2</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ji</m:t>
                  </m:r>
                  <m:ctrlPr>
                    <w:rPr>
                      <w:rFonts w:ascii="Cambria Math" w:hAnsi="Cambria Math" w:cs="Times New Roman"/>
                      <w:szCs w:val="24"/>
                    </w:rPr>
                  </m:ctrlPr>
                </m:sub>
              </m:sSub>
              <m:r>
                <m:rPr/>
                <w:rPr>
                  <w:rFonts w:ascii="Cambria Math" w:hAnsi="Cambria Math" w:cs="Times New Roman"/>
                  <w:szCs w:val="24"/>
                </w:rPr>
                <m:t>−</m:t>
              </m:r>
              <m:nary>
                <m:naryPr>
                  <m:chr m:val="∑"/>
                  <m:grow m:val="1"/>
                  <m:limLoc m:val="undOvr"/>
                  <m:supHide m:val="1"/>
                  <m:ctrlPr>
                    <w:rPr>
                      <w:rFonts w:ascii="Cambria Math" w:hAnsi="Cambria Math" w:cs="Times New Roman"/>
                      <w:szCs w:val="24"/>
                    </w:rPr>
                  </m:ctrlPr>
                </m:naryPr>
                <m:sub>
                  <m:r>
                    <m:rPr/>
                    <w:rPr>
                      <w:rFonts w:ascii="Cambria Math" w:hAnsi="Cambria Math" w:cs="Times New Roman"/>
                      <w:szCs w:val="24"/>
                    </w:rPr>
                    <m:t>i</m:t>
                  </m:r>
                  <m:ctrlPr>
                    <w:rPr>
                      <w:rFonts w:ascii="Cambria Math" w:hAnsi="Cambria Math" w:cs="Times New Roman"/>
                      <w:szCs w:val="24"/>
                    </w:rPr>
                  </m:ctrlPr>
                </m:sub>
                <m:sup>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=σ</m:t>
              </m:r>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
              <m:r>
                <m:rPr/>
                <w:rPr>
                  <w:rFonts w:ascii="Cambria Math" w:hAnsi="Cambria Math" w:cs="Times New Roman"/>
                  <w:szCs w:val="24"/>
                </w:rPr>
                <m:t>&amp;</m:t>
              </m:r>
              <m:f>
                <m:fPr>
                  <m:ctrlPr>
                    <w:rPr>
                      <w:rFonts w:ascii="Cambria Math" w:hAnsi="Cambria Math" w:cs="Times New Roman"/>
                      <w:szCs w:val="24"/>
                    </w:rPr>
                  </m:ctrlPr>
                </m:fPr>
                <m:num>
                  <m:r>
                    <m:rPr/>
                    <w:rPr>
                      <w:rFonts w:ascii="Cambria Math" w:hAnsi="Cambria Math" w:cs="Times New Roman"/>
                      <w:szCs w:val="24"/>
                    </w:rPr>
                    <m:t>d</m:t>
                  </m:r>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num>
                <m:den>
                  <m:r>
                    <m:rPr/>
                    <w:rPr>
                      <w:rFonts w:ascii="Cambria Math" w:hAnsi="Cambria Math" w:cs="Times New Roman"/>
                      <w:szCs w:val="24"/>
                    </w:rPr>
                    <m:t>dt</m:t>
                  </m:r>
                  <m:ctrlPr>
                    <w:rPr>
                      <w:rFonts w:ascii="Cambria Math" w:hAnsi="Cambria Math" w:cs="Times New Roman"/>
                      <w:szCs w:val="24"/>
                    </w:rPr>
                  </m:ctrlPr>
                </m:den>
              </m:f>
              <m:r>
                <m:rPr/>
                <w:rPr>
                  <w:rFonts w:ascii="Cambria Math" w:hAnsi="Cambria Math" w:cs="Times New Roman"/>
                  <w:szCs w:val="24"/>
                </w:rPr>
                <m:t>=γ</m:t>
              </m:r>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cs="Times New Roman"/>
                  <w:szCs w:val="24"/>
                </w:rPr>
              </m:ctrlPr>
            </m:e>
          </m:eqArr>
        </m:oMath>
      </m:oMathPara>
    </w:p>
    <w:p>
      <w:pPr>
        <w:rPr>
          <w:rFonts w:cs="Times New Roman"/>
          <w:szCs w:val="24"/>
        </w:rPr>
      </w:pPr>
      <m:oMathPara>
        <m:oMath>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eastAsia="等线" w:cs="Times New Roman"/>
                  <w:szCs w:val="24"/>
                </w:rPr>
              </m:ctrlPr>
            </m:sSubPr>
            <m:e>
              <m:r>
                <m:rPr/>
                <w:rPr>
                  <w:rFonts w:ascii="Cambria Math" w:hAnsi="Cambria Math" w:eastAsia="等线" w:cs="Times New Roman"/>
                  <w:szCs w:val="24"/>
                </w:rPr>
                <m:t>Passengers</m:t>
              </m:r>
              <m:ctrlPr>
                <w:rPr>
                  <w:rFonts w:ascii="Cambria Math" w:hAnsi="Cambria Math" w:eastAsia="等线" w:cs="Times New Roman"/>
                  <w:szCs w:val="24"/>
                </w:rPr>
              </m:ctrlPr>
            </m:e>
            <m:sub>
              <m:r>
                <m:rPr/>
                <w:rPr>
                  <w:rFonts w:ascii="Cambria Math" w:hAnsi="Cambria Math" w:eastAsia="等线" w:cs="Times New Roman"/>
                  <w:szCs w:val="24"/>
                </w:rPr>
                <m:t>ij</m:t>
              </m:r>
              <m:ctrlPr>
                <w:rPr>
                  <w:rFonts w:ascii="Cambria Math" w:hAnsi="Cambria Math" w:eastAsia="等线" w:cs="Times New Roman"/>
                  <w:szCs w:val="24"/>
                </w:rPr>
              </m:ctrlPr>
            </m:sub>
          </m:sSub>
          <m:r>
            <m:rPr/>
            <w:rPr>
              <w:rFonts w:ascii="Cambria Math" w:hAnsi="Cambria Math" w:eastAsia="等线" w:cs="Times New Roman"/>
              <w:szCs w:val="24"/>
            </w:rPr>
            <m:t>×</m:t>
          </m:r>
          <m:f>
            <m:fPr>
              <m:ctrlPr>
                <w:rPr>
                  <w:rFonts w:ascii="Cambria Math" w:hAnsi="Cambria Math" w:eastAsia="等线" w:cs="Times New Roman"/>
                  <w:i/>
                  <w:szCs w:val="24"/>
                </w:rPr>
              </m:ctrlPr>
            </m:fPr>
            <m:num>
              <m:sSub>
                <m:sSubPr>
                  <m:ctrlPr>
                    <w:rPr>
                      <w:rFonts w:ascii="Cambria Math" w:hAnsi="Cambria Math" w:cs="Times New Roman"/>
                      <w:szCs w:val="24"/>
                    </w:rPr>
                  </m:ctrlPr>
                </m:sSubPr>
                <m:e>
                  <m:r>
                    <m:rPr/>
                    <w:rPr>
                      <w:rFonts w:ascii="Cambria Math" w:hAnsi="Cambria Math" w:cs="Times New Roman"/>
                      <w:szCs w:val="24"/>
                    </w:rPr>
                    <m:t>S</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den>
          </m:f>
        </m:oMath>
      </m:oMathPara>
    </w:p>
    <w:p>
      <w:pPr>
        <w:rPr>
          <w:rFonts w:hAnsi="Cambria Math" w:eastAsia="等线" w:cs="Times New Roman"/>
          <w:szCs w:val="24"/>
        </w:rPr>
      </w:pPr>
      <m:oMathPara>
        <m:oMath>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ij</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eastAsia="等线" w:cs="Times New Roman"/>
                  <w:szCs w:val="24"/>
                </w:rPr>
              </m:ctrlPr>
            </m:sSubPr>
            <m:e>
              <m:r>
                <m:rPr/>
                <w:rPr>
                  <w:rFonts w:ascii="Cambria Math" w:hAnsi="Cambria Math" w:eastAsia="等线" w:cs="Times New Roman"/>
                  <w:szCs w:val="24"/>
                </w:rPr>
                <m:t>Passengers</m:t>
              </m:r>
              <m:ctrlPr>
                <w:rPr>
                  <w:rFonts w:ascii="Cambria Math" w:hAnsi="Cambria Math" w:eastAsia="等线" w:cs="Times New Roman"/>
                  <w:szCs w:val="24"/>
                </w:rPr>
              </m:ctrlPr>
            </m:e>
            <m:sub>
              <m:r>
                <m:rPr/>
                <w:rPr>
                  <w:rFonts w:ascii="Cambria Math" w:hAnsi="Cambria Math" w:eastAsia="等线" w:cs="Times New Roman"/>
                  <w:szCs w:val="24"/>
                </w:rPr>
                <m:t>ij</m:t>
              </m:r>
              <m:ctrlPr>
                <w:rPr>
                  <w:rFonts w:ascii="Cambria Math" w:hAnsi="Cambria Math" w:eastAsia="等线" w:cs="Times New Roman"/>
                  <w:szCs w:val="24"/>
                </w:rPr>
              </m:ctrlPr>
            </m:sub>
          </m:sSub>
          <m:r>
            <m:rPr/>
            <w:rPr>
              <w:rFonts w:ascii="Cambria Math" w:hAnsi="Cambria Math" w:eastAsia="等线" w:cs="Times New Roman"/>
              <w:szCs w:val="24"/>
            </w:rPr>
            <m:t>×</m:t>
          </m:r>
          <m:f>
            <m:fPr>
              <m:ctrlPr>
                <w:rPr>
                  <w:rFonts w:ascii="Cambria Math" w:hAnsi="Cambria Math" w:eastAsia="等线" w:cs="Times New Roman"/>
                  <w:i/>
                  <w:szCs w:val="24"/>
                </w:rPr>
              </m:ctrlPr>
            </m:fPr>
            <m:num>
              <m:sSub>
                <m:sSubPr>
                  <m:ctrlPr>
                    <w:rPr>
                      <w:rFonts w:ascii="Cambria Math" w:hAnsi="Cambria Math" w:cs="Times New Roman"/>
                      <w:szCs w:val="24"/>
                    </w:rPr>
                  </m:ctrlPr>
                </m:sSubPr>
                <m:e>
                  <m:r>
                    <m:rPr/>
                    <w:rPr>
                      <w:rFonts w:ascii="Cambria Math" w:hAnsi="Cambria Math" w:cs="Times New Roman"/>
                      <w:szCs w:val="24"/>
                    </w:rPr>
                    <m:t>E</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num>
            <m:den>
              <m:sSub>
                <m:sSubPr>
                  <m:ctrlPr>
                    <w:rPr>
                      <w:rFonts w:ascii="Cambria Math" w:hAnsi="Cambria Math" w:cs="Times New Roman"/>
                      <w:szCs w:val="24"/>
                    </w:rPr>
                  </m:ctrlPr>
                </m:sSubPr>
                <m:e>
                  <m:r>
                    <m:rPr/>
                    <w:rPr>
                      <w:rFonts w:ascii="Cambria Math" w:hAnsi="Cambria Math" w:cs="Times New Roman"/>
                      <w:szCs w:val="24"/>
                    </w:rPr>
                    <m:t>N</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ctrlPr>
                <w:rPr>
                  <w:rFonts w:ascii="Cambria Math" w:hAnsi="Cambria Math" w:eastAsia="等线" w:cs="Times New Roman"/>
                  <w:i/>
                  <w:szCs w:val="24"/>
                </w:rPr>
              </m:ctrlPr>
            </m:den>
          </m:f>
        </m:oMath>
      </m:oMathPara>
    </w:p>
    <w:p>
      <w:pPr>
        <w:rPr>
          <w:rFonts w:hAnsi="Cambria Math" w:eastAsia="等线" w:cs="Times New Roman"/>
          <w:szCs w:val="24"/>
        </w:rPr>
      </w:pPr>
    </w:p>
    <w:p>
      <w:pPr>
        <w:rPr>
          <w:rFonts w:cs="Times New Roman"/>
          <w:szCs w:val="24"/>
        </w:rPr>
      </w:pPr>
      <w:r>
        <w:rPr>
          <w:rFonts w:cs="Times New Roman"/>
          <w:szCs w:val="24"/>
        </w:rPr>
        <w:t xml:space="preserve">We fitted </w:t>
      </w:r>
      <m:oMath>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i1</m:t>
            </m:r>
            <m:ctrlPr>
              <w:rPr>
                <w:rFonts w:ascii="Cambria Math" w:hAnsi="Cambria Math" w:cs="Times New Roman"/>
                <w:szCs w:val="24"/>
              </w:rPr>
            </m:ctrlPr>
          </m:sub>
        </m:sSub>
        <m:r>
          <m:rPr/>
          <w:rPr>
            <w:rFonts w:ascii="Cambria Math" w:hAnsi="Cambria Math" w:cs="Times New Roman"/>
            <w:szCs w:val="24"/>
          </w:rPr>
          <m:t>,</m:t>
        </m:r>
        <m:r>
          <m:rPr>
            <m:sty m:val="p"/>
          </m:rPr>
          <w:rPr>
            <w:rFonts w:ascii="Cambria Math" w:hAnsi="Cambria Math" w:cs="Times New Roman"/>
            <w:szCs w:val="24"/>
          </w:rPr>
          <m:t xml:space="preserve"> </m:t>
        </m:r>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i2</m:t>
            </m:r>
            <m:ctrlPr>
              <w:rPr>
                <w:rFonts w:ascii="Cambria Math" w:hAnsi="Cambria Math" w:cs="Times New Roman"/>
                <w:szCs w:val="24"/>
              </w:rPr>
            </m:ctrlPr>
          </m:sub>
        </m:sSub>
      </m:oMath>
      <w:r>
        <w:rPr>
          <w:rFonts w:cs="Times New Roman"/>
          <w:szCs w:val="24"/>
        </w:rPr>
        <w:t xml:space="preserve"> and derived the epidemic curve by minimizing mean square error (MSE). The loss function we minimized is: </w:t>
      </w:r>
    </w:p>
    <w:p>
      <w:pPr>
        <w:rPr>
          <w:rFonts w:cs="Times New Roman"/>
          <w:szCs w:val="24"/>
        </w:rPr>
      </w:pPr>
    </w:p>
    <w:p>
      <w:pPr>
        <w:jc w:val="both"/>
        <w:rPr>
          <w:rFonts w:cs="Times New Roman"/>
          <w:szCs w:val="24"/>
        </w:rPr>
      </w:pPr>
      <m:oMathPara>
        <m:oMath>
          <m:eqArr>
            <m:eqArrPr>
              <m:ctrlPr>
                <w:rPr>
                  <w:rFonts w:ascii="Cambria Math" w:hAnsi="Cambria Math" w:cs="Times New Roman"/>
                  <w:szCs w:val="24"/>
                </w:rPr>
              </m:ctrlPr>
            </m:eqArrPr>
            <m:e>
              <m:r>
                <m:rPr/>
                <w:rPr>
                  <w:rFonts w:ascii="Cambria Math" w:hAnsi="Cambria Math" w:cs="Times New Roman"/>
                  <w:szCs w:val="24"/>
                </w:rPr>
                <m:t>&amp;f</m:t>
              </m:r>
              <m:d>
                <m:dPr>
                  <m:ctrlPr>
                    <w:rPr>
                      <w:rFonts w:ascii="Cambria Math" w:hAnsi="Cambria Math" w:cs="Times New Roman"/>
                      <w:szCs w:val="24"/>
                    </w:rPr>
                  </m:ctrlPr>
                </m:dPr>
                <m:e>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i1</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szCs w:val="24"/>
                        </w:rPr>
                      </m:ctrlPr>
                    </m:sSubPr>
                    <m:e>
                      <m:r>
                        <m:rPr/>
                        <w:rPr>
                          <w:rFonts w:ascii="Cambria Math" w:hAnsi="Cambria Math" w:cs="Times New Roman"/>
                          <w:szCs w:val="24"/>
                        </w:rPr>
                        <m:t>β</m:t>
                      </m:r>
                      <m:ctrlPr>
                        <w:rPr>
                          <w:rFonts w:ascii="Cambria Math" w:hAnsi="Cambria Math" w:cs="Times New Roman"/>
                          <w:szCs w:val="24"/>
                        </w:rPr>
                      </m:ctrlPr>
                    </m:e>
                    <m:sub>
                      <m:r>
                        <m:rPr/>
                        <w:rPr>
                          <w:rFonts w:ascii="Cambria Math" w:hAnsi="Cambria Math" w:cs="Times New Roman"/>
                          <w:szCs w:val="24"/>
                        </w:rPr>
                        <m:t>i2</m:t>
                      </m:r>
                      <m:ctrlPr>
                        <w:rPr>
                          <w:rFonts w:ascii="Cambria Math" w:hAnsi="Cambria Math" w:cs="Times New Roman"/>
                          <w:szCs w:val="24"/>
                        </w:rPr>
                      </m:ctrlPr>
                    </m:sub>
                  </m:sSub>
                  <m:ctrlPr>
                    <w:rPr>
                      <w:rFonts w:ascii="Cambria Math" w:hAnsi="Cambria Math" w:cs="Times New Roman"/>
                      <w:szCs w:val="24"/>
                    </w:rPr>
                  </m:ctrlPr>
                </m:e>
              </m:d>
              <m:ctrlPr>
                <w:rPr>
                  <w:rFonts w:ascii="Cambria Math" w:hAnsi="Cambria Math" w:cs="Times New Roman"/>
                  <w:szCs w:val="24"/>
                </w:rPr>
              </m:ctrlPr>
            </m:e>
            <m:e>
              <m:r>
                <m:rPr/>
                <w:rPr>
                  <w:rFonts w:ascii="Cambria Math" w:hAnsi="Cambria Math" w:cs="Times New Roman"/>
                  <w:szCs w:val="24"/>
                </w:rPr>
                <m:t>&amp;=</m:t>
              </m:r>
              <m:nary>
                <m:naryPr>
                  <m:chr m:val="∑"/>
                  <m:grow m:val="1"/>
                  <m:limLoc m:val="undOvr"/>
                  <m:ctrlPr>
                    <w:rPr>
                      <w:rFonts w:ascii="Cambria Math" w:hAnsi="Cambria Math" w:cs="Times New Roman"/>
                      <w:szCs w:val="24"/>
                    </w:rPr>
                  </m:ctrlPr>
                </m:naryPr>
                <m:sub>
                  <m:r>
                    <m:rPr/>
                    <w:rPr>
                      <w:rFonts w:ascii="Cambria Math" w:hAnsi="Cambria Math" w:cs="Times New Roman"/>
                      <w:szCs w:val="24"/>
                    </w:rPr>
                    <m:t>i=1</m:t>
                  </m:r>
                  <m:ctrlPr>
                    <w:rPr>
                      <w:rFonts w:ascii="Cambria Math" w:hAnsi="Cambria Math" w:cs="Times New Roman"/>
                      <w:szCs w:val="24"/>
                    </w:rPr>
                  </m:ctrlPr>
                </m:sub>
                <m:sup>
                  <m:r>
                    <m:rPr/>
                    <w:rPr>
                      <w:rFonts w:ascii="Cambria Math" w:hAnsi="Cambria Math" w:cs="Times New Roman"/>
                      <w:szCs w:val="24"/>
                    </w:rPr>
                    <m:t>6</m:t>
                  </m:r>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nary>
                <m:naryPr>
                  <m:chr m:val="∑"/>
                  <m:grow m:val="1"/>
                  <m:limLoc m:val="undOvr"/>
                  <m:ctrlPr>
                    <w:rPr>
                      <w:rFonts w:ascii="Cambria Math" w:hAnsi="Cambria Math" w:cs="Times New Roman"/>
                      <w:szCs w:val="24"/>
                    </w:rPr>
                  </m:ctrlPr>
                </m:naryPr>
                <m:sub>
                  <m:r>
                    <m:rPr/>
                    <w:rPr>
                      <w:rFonts w:ascii="Cambria Math" w:hAnsi="Cambria Math" w:cs="Times New Roman"/>
                      <w:szCs w:val="24"/>
                    </w:rPr>
                    <m:t>t=</m:t>
                  </m:r>
                  <m:r>
                    <m:rPr>
                      <m:nor/>
                      <m:sty m:val="p"/>
                    </m:rPr>
                    <w:rPr>
                      <w:rFonts w:ascii="Cambria Math" w:hAnsi="Cambria Math" w:cs="Times New Roman"/>
                      <w:b w:val="0"/>
                      <w:i w:val="0"/>
                      <w:szCs w:val="24"/>
                    </w:rPr>
                    <m:t xml:space="preserve"> days from Jan </m:t>
                  </m:r>
                  <m:r>
                    <m:rPr/>
                    <w:rPr>
                      <w:rFonts w:ascii="Cambria Math" w:hAnsi="Cambria Math" w:cs="Times New Roman"/>
                      <w:szCs w:val="24"/>
                    </w:rPr>
                    <m:t>31</m:t>
                  </m:r>
                  <m:ctrlPr>
                    <w:rPr>
                      <w:rFonts w:ascii="Cambria Math" w:hAnsi="Cambria Math" w:cs="Times New Roman"/>
                      <w:szCs w:val="24"/>
                    </w:rPr>
                  </m:ctrlPr>
                </m:sub>
                <m:sup>
                  <m:func>
                    <m:funcPr>
                      <m:ctrlPr>
                        <w:rPr>
                          <w:rFonts w:ascii="Cambria Math" w:hAnsi="Cambria Math" w:cs="Times New Roman"/>
                          <w:szCs w:val="24"/>
                        </w:rPr>
                      </m:ctrlPr>
                    </m:funcPr>
                    <m:fName>
                      <m:r>
                        <m:rPr>
                          <m:sty m:val="p"/>
                        </m:rPr>
                        <w:rPr>
                          <w:rFonts w:ascii="Cambria Math" w:hAnsi="Cambria Math" w:cs="Times New Roman"/>
                          <w:szCs w:val="24"/>
                        </w:rPr>
                        <m:t>Aug</m:t>
                      </m:r>
                      <m:ctrlPr>
                        <w:rPr>
                          <w:rFonts w:ascii="Cambria Math" w:hAnsi="Cambria Math" w:cs="Times New Roman"/>
                          <w:szCs w:val="24"/>
                        </w:rPr>
                      </m:ctrlPr>
                    </m:fName>
                    <m:e>
                      <m:r>
                        <m:rPr/>
                        <w:rPr>
                          <w:rFonts w:ascii="Cambria Math" w:hAnsi="Cambria Math" w:cs="Times New Roman"/>
                          <w:szCs w:val="24"/>
                        </w:rPr>
                        <m:t>16</m:t>
                      </m:r>
                      <m:ctrlPr>
                        <w:rPr>
                          <w:rFonts w:ascii="Cambria Math" w:hAnsi="Cambria Math" w:cs="Times New Roman"/>
                          <w:szCs w:val="24"/>
                        </w:rPr>
                      </m:ctrlPr>
                    </m:e>
                  </m:func>
                  <m:ctrlPr>
                    <w:rPr>
                      <w:rFonts w:ascii="Cambria Math" w:hAnsi="Cambria Math" w:cs="Times New Roman"/>
                      <w:szCs w:val="24"/>
                    </w:rPr>
                  </m:ctrlPr>
                </m:sup>
                <m:e>
                  <m:r>
                    <m:rPr/>
                    <w:rPr>
                      <w:rFonts w:ascii="Cambria Math" w:hAnsi="Cambria Math" w:cs="Times New Roman"/>
                      <w:szCs w:val="24"/>
                    </w:rPr>
                    <m:t> </m:t>
                  </m:r>
                  <m:ctrlPr>
                    <w:rPr>
                      <w:rFonts w:ascii="Cambria Math" w:hAnsi="Cambria Math" w:cs="Times New Roman"/>
                      <w:szCs w:val="24"/>
                    </w:rPr>
                  </m:ctrlPr>
                </m:e>
              </m:nary>
              <m:sSup>
                <m:sSupPr>
                  <m:ctrlPr>
                    <w:rPr>
                      <w:rFonts w:ascii="Cambria Math" w:hAnsi="Cambria Math" w:cs="Times New Roman"/>
                      <w:szCs w:val="24"/>
                    </w:rPr>
                  </m:ctrlPr>
                </m:sSupPr>
                <m:e>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w:rPr>
                                  <w:rFonts w:ascii="Cambria Math" w:hAnsi="Cambria Math" w:cs="Times New Roman"/>
                                  <w:szCs w:val="24"/>
                                </w:rPr>
                                <m:t>I</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d>
                            <m:dPr>
                              <m:ctrlPr>
                                <w:rPr>
                                  <w:rFonts w:ascii="Cambria Math" w:hAnsi="Cambria Math" w:cs="Times New Roman"/>
                                  <w:i/>
                                  <w:szCs w:val="24"/>
                                </w:rPr>
                              </m:ctrlPr>
                            </m:dPr>
                            <m:e>
                              <m:r>
                                <m:rPr/>
                                <w:rPr>
                                  <w:rFonts w:ascii="Cambria Math" w:hAnsi="Cambria Math" w:cs="Times New Roman"/>
                                  <w:szCs w:val="24"/>
                                </w:rPr>
                                <m:t>t</m:t>
                              </m:r>
                              <m:ctrlPr>
                                <w:rPr>
                                  <w:rFonts w:ascii="Cambria Math" w:hAnsi="Cambria Math" w:cs="Times New Roman"/>
                                  <w:i/>
                                  <w:szCs w:val="24"/>
                                </w:rPr>
                              </m:ctrlPr>
                            </m:e>
                          </m:d>
                          <m:r>
                            <m:rPr/>
                            <w:rPr>
                              <w:rFonts w:ascii="Cambria Math" w:hAnsi="Cambria Math" w:cs="Times New Roman"/>
                              <w:szCs w:val="24"/>
                            </w:rPr>
                            <m:t>+</m:t>
                          </m:r>
                          <m:sSub>
                            <m:sSubPr>
                              <m:ctrlPr>
                                <w:rPr>
                                  <w:rFonts w:ascii="Cambria Math" w:hAnsi="Cambria Math" w:cs="Times New Roman"/>
                                  <w:szCs w:val="24"/>
                                </w:rPr>
                              </m:ctrlPr>
                            </m:sSubPr>
                            <m:e>
                              <m:r>
                                <m:rPr/>
                                <w:rPr>
                                  <w:rFonts w:ascii="Cambria Math" w:hAnsi="Cambria Math" w:cs="Times New Roman"/>
                                  <w:szCs w:val="24"/>
                                </w:rPr>
                                <m:t>R</m:t>
                              </m:r>
                              <m:ctrlPr>
                                <w:rPr>
                                  <w:rFonts w:ascii="Cambria Math" w:hAnsi="Cambria Math" w:cs="Times New Roman"/>
                                  <w:szCs w:val="24"/>
                                </w:rPr>
                              </m:ctrlPr>
                            </m:e>
                            <m:sub>
                              <m:r>
                                <m:rPr/>
                                <w:rPr>
                                  <w:rFonts w:ascii="Cambria Math" w:hAnsi="Cambria Math" w:cs="Times New Roman"/>
                                  <w:szCs w:val="24"/>
                                </w:rPr>
                                <m:t>i</m:t>
                              </m:r>
                              <m:ctrlPr>
                                <w:rPr>
                                  <w:rFonts w:ascii="Cambria Math" w:hAnsi="Cambria Math" w:cs="Times New Roman"/>
                                  <w:szCs w:val="24"/>
                                </w:rPr>
                              </m:ctrlPr>
                            </m:sub>
                          </m:sSub>
                          <m:d>
                            <m:dPr>
                              <m:ctrlPr>
                                <w:rPr>
                                  <w:rFonts w:ascii="Cambria Math" w:hAnsi="Cambria Math" w:cs="Times New Roman"/>
                                  <w:i/>
                                  <w:szCs w:val="24"/>
                                </w:rPr>
                              </m:ctrlPr>
                            </m:dPr>
                            <m:e>
                              <m:r>
                                <m:rPr/>
                                <w:rPr>
                                  <w:rFonts w:ascii="Cambria Math" w:hAnsi="Cambria Math" w:cs="Times New Roman"/>
                                  <w:szCs w:val="24"/>
                                </w:rPr>
                                <m:t>t</m:t>
                              </m:r>
                              <m:ctrlPr>
                                <w:rPr>
                                  <w:rFonts w:ascii="Cambria Math" w:hAnsi="Cambria Math" w:cs="Times New Roman"/>
                                  <w:i/>
                                  <w:szCs w:val="24"/>
                                </w:rPr>
                              </m:ctrlPr>
                            </m:e>
                          </m:d>
                          <m:r>
                            <m:rPr/>
                            <w:rPr>
                              <w:rFonts w:ascii="Cambria Math" w:hAnsi="Cambria Math" w:cs="Times New Roman"/>
                              <w:szCs w:val="24"/>
                            </w:rPr>
                            <m:t>−</m:t>
                          </m:r>
                          <m:r>
                            <m:rPr>
                              <m:nor/>
                              <m:sty m:val="p"/>
                            </m:rPr>
                            <w:rPr>
                              <w:rFonts w:ascii="Cambria Math" w:hAnsi="Cambria Math" w:cs="Times New Roman"/>
                              <w:b w:val="0"/>
                              <w:i w:val="0"/>
                              <w:szCs w:val="24"/>
                            </w:rPr>
                            <m:t xml:space="preserve"> cumulative confirmed cases in continent </m:t>
                          </m:r>
                          <m:r>
                            <m:rPr/>
                            <w:rPr>
                              <w:rFonts w:ascii="Cambria Math" w:hAnsi="Cambria Math" w:cs="Times New Roman"/>
                              <w:szCs w:val="24"/>
                            </w:rPr>
                            <m:t>i(t)</m:t>
                          </m:r>
                          <m:ctrlPr>
                            <w:rPr>
                              <w:rFonts w:ascii="Cambria Math" w:hAnsi="Cambria Math" w:cs="Times New Roman"/>
                              <w:szCs w:val="24"/>
                            </w:rPr>
                          </m:ctrlPr>
                        </m:num>
                        <m:den>
                          <m:r>
                            <m:rPr>
                              <m:nor/>
                              <m:sty m:val="p"/>
                            </m:rPr>
                            <w:rPr>
                              <w:rFonts w:ascii="Cambria Math" w:hAnsi="Cambria Math" w:cs="Times New Roman"/>
                              <w:b w:val="0"/>
                              <w:i w:val="0"/>
                              <w:szCs w:val="24"/>
                            </w:rPr>
                            <m:t xml:space="preserve"> cumulative confirmed cases in continent </m:t>
                          </m:r>
                          <m:r>
                            <m:rPr/>
                            <w:rPr>
                              <w:rFonts w:ascii="Cambria Math" w:hAnsi="Cambria Math" w:cs="Times New Roman"/>
                              <w:szCs w:val="24"/>
                            </w:rPr>
                            <m:t>i (</m:t>
                          </m:r>
                          <m:r>
                            <m:rPr>
                              <m:nor/>
                              <m:sty m:val="p"/>
                            </m:rPr>
                            <w:rPr>
                              <w:rFonts w:ascii="Cambria Math" w:hAnsi="Cambria Math" w:cs="Times New Roman"/>
                              <w:b w:val="0"/>
                              <w:i w:val="0"/>
                              <w:szCs w:val="24"/>
                            </w:rPr>
                            <m:t xml:space="preserve">Aug </m:t>
                          </m:r>
                          <m:r>
                            <m:rPr/>
                            <w:rPr>
                              <w:rFonts w:ascii="Cambria Math" w:hAnsi="Cambria Math" w:cs="Times New Roman"/>
                              <w:szCs w:val="24"/>
                            </w:rPr>
                            <m:t>16)</m:t>
                          </m:r>
                          <m:ctrlPr>
                            <w:rPr>
                              <w:rFonts w:ascii="Cambria Math" w:hAnsi="Cambria Math" w:cs="Times New Roman"/>
                              <w:szCs w:val="24"/>
                            </w:rPr>
                          </m:ctrlPr>
                        </m:den>
                      </m:f>
                      <m:ctrlPr>
                        <w:rPr>
                          <w:rFonts w:ascii="Cambria Math" w:hAnsi="Cambria Math" w:cs="Times New Roman"/>
                          <w:szCs w:val="24"/>
                        </w:rPr>
                      </m:ctrlPr>
                    </m:e>
                  </m:d>
                  <m:ctrlPr>
                    <w:rPr>
                      <w:rFonts w:ascii="Cambria Math" w:hAnsi="Cambria Math" w:cs="Times New Roman"/>
                      <w:szCs w:val="24"/>
                    </w:rPr>
                  </m:ctrlPr>
                </m:e>
                <m:sup>
                  <m:r>
                    <m:rPr/>
                    <w:rPr>
                      <w:rFonts w:ascii="Cambria Math" w:hAnsi="Cambria Math" w:cs="Times New Roman"/>
                      <w:szCs w:val="24"/>
                    </w:rPr>
                    <m:t>2</m:t>
                  </m:r>
                  <m:ctrlPr>
                    <w:rPr>
                      <w:rFonts w:ascii="Cambria Math" w:hAnsi="Cambria Math" w:cs="Times New Roman"/>
                      <w:szCs w:val="24"/>
                    </w:rPr>
                  </m:ctrlPr>
                </m:sup>
              </m:sSup>
              <m:ctrlPr>
                <w:rPr>
                  <w:rFonts w:ascii="Cambria Math" w:hAnsi="Cambria Math" w:cs="Times New Roman"/>
                  <w:szCs w:val="24"/>
                </w:rPr>
              </m:ctrlPr>
            </m:e>
          </m:eqArr>
        </m:oMath>
      </m:oMathPara>
    </w:p>
    <w:p>
      <w:pPr>
        <w:jc w:val="both"/>
        <w:rPr>
          <w:rFonts w:cs="Times New Roman"/>
          <w:szCs w:val="24"/>
        </w:rPr>
      </w:pPr>
    </w:p>
    <w:p>
      <w:pPr>
        <w:jc w:val="both"/>
        <w:rPr>
          <w:rFonts w:cs="Times New Roman"/>
          <w:szCs w:val="24"/>
        </w:rPr>
      </w:pPr>
    </w:p>
    <w:p>
      <w:pPr>
        <w:rPr>
          <w:rFonts w:eastAsia="宋体"/>
          <w:szCs w:val="24"/>
        </w:rPr>
      </w:pPr>
    </w:p>
    <w:p>
      <w:pPr>
        <w:pStyle w:val="2"/>
      </w:pPr>
      <w:bookmarkStart w:id="51" w:name="_Toc11381"/>
      <w:r>
        <w:t>Reference</w:t>
      </w:r>
      <w:bookmarkEnd w:id="51"/>
    </w:p>
    <w:p>
      <w:pPr>
        <w:rPr>
          <w:rFonts w:eastAsia="宋体" w:cs="Times New Roman"/>
          <w:szCs w:val="24"/>
        </w:rPr>
      </w:pPr>
    </w:p>
    <w:p>
      <w:pPr>
        <w:pStyle w:val="79"/>
        <w:rPr>
          <w:rFonts w:cs="Times New Roman"/>
          <w:sz w:val="24"/>
          <w:lang w:val="en-GB"/>
        </w:rPr>
      </w:pPr>
      <w:r>
        <w:rPr>
          <w:rFonts w:eastAsia="宋体" w:cs="Times New Roman"/>
          <w:sz w:val="24"/>
          <w:lang w:val="en-US"/>
        </w:rPr>
        <w:fldChar w:fldCharType="begin"/>
      </w:r>
      <w:r>
        <w:rPr>
          <w:rFonts w:eastAsia="宋体" w:cs="Times New Roman"/>
          <w:sz w:val="24"/>
          <w:lang w:val="en-US"/>
        </w:rPr>
        <w:instrText xml:space="preserve"> ADDIN EN.REFLIST </w:instrText>
      </w:r>
      <w:r>
        <w:rPr>
          <w:rFonts w:eastAsia="宋体" w:cs="Times New Roman"/>
          <w:sz w:val="24"/>
          <w:lang w:val="en-US"/>
        </w:rPr>
        <w:fldChar w:fldCharType="separate"/>
      </w:r>
      <w:r>
        <w:rPr>
          <w:rFonts w:cs="Times New Roman"/>
          <w:sz w:val="24"/>
          <w:lang w:val="en-GB"/>
        </w:rPr>
        <w:t>1</w:t>
      </w:r>
      <w:r>
        <w:rPr>
          <w:rFonts w:hint="eastAsia" w:eastAsia="宋体" w:cs="Times New Roman"/>
          <w:sz w:val="24"/>
          <w:lang w:val="en-US"/>
        </w:rPr>
        <w:t>.</w:t>
      </w:r>
      <w:r>
        <w:rPr>
          <w:rFonts w:cs="Times New Roman"/>
          <w:sz w:val="24"/>
          <w:lang w:val="en-GB"/>
        </w:rPr>
        <w:tab/>
      </w:r>
      <w:r>
        <w:rPr>
          <w:rFonts w:cs="Times New Roman"/>
          <w:sz w:val="24"/>
          <w:lang w:val="en-GB"/>
        </w:rPr>
        <w:t xml:space="preserve">Ding X, Huang S, Leung A, Rabbany R. Incorporating dynamic flight network in SEIR to model mobility between populations. </w:t>
      </w:r>
      <w:r>
        <w:rPr>
          <w:rFonts w:cs="Times New Roman"/>
          <w:i/>
          <w:sz w:val="24"/>
          <w:lang w:val="en-GB"/>
        </w:rPr>
        <w:t>Appl Netw Sci</w:t>
      </w:r>
      <w:r>
        <w:rPr>
          <w:rFonts w:cs="Times New Roman"/>
          <w:sz w:val="24"/>
          <w:lang w:val="en-GB"/>
        </w:rPr>
        <w:t xml:space="preserve"> 2021; </w:t>
      </w:r>
      <w:r>
        <w:rPr>
          <w:rFonts w:cs="Times New Roman"/>
          <w:b/>
          <w:sz w:val="24"/>
          <w:lang w:val="en-GB"/>
        </w:rPr>
        <w:t>6</w:t>
      </w:r>
      <w:r>
        <w:rPr>
          <w:rFonts w:cs="Times New Roman"/>
          <w:sz w:val="24"/>
          <w:lang w:val="en-GB"/>
        </w:rPr>
        <w:t>(1): 42.</w:t>
      </w:r>
    </w:p>
    <w:p>
      <w:pPr>
        <w:pStyle w:val="79"/>
        <w:rPr>
          <w:rFonts w:cs="Times New Roman"/>
          <w:sz w:val="24"/>
          <w:lang w:val="en-GB"/>
        </w:rPr>
      </w:pPr>
      <w:r>
        <w:rPr>
          <w:rFonts w:cs="Times New Roman"/>
          <w:sz w:val="24"/>
          <w:lang w:val="en-GB"/>
        </w:rPr>
        <w:t>2</w:t>
      </w:r>
      <w:r>
        <w:rPr>
          <w:rFonts w:hint="eastAsia" w:eastAsia="宋体" w:cs="Times New Roman"/>
          <w:sz w:val="24"/>
          <w:lang w:val="en-US"/>
        </w:rPr>
        <w:t>.</w:t>
      </w:r>
      <w:r>
        <w:rPr>
          <w:rFonts w:cs="Times New Roman"/>
          <w:sz w:val="24"/>
          <w:lang w:val="en-GB"/>
        </w:rPr>
        <w:tab/>
      </w:r>
      <w:r>
        <w:rPr>
          <w:rFonts w:cs="Times New Roman"/>
          <w:sz w:val="24"/>
          <w:lang w:val="en-GB"/>
        </w:rPr>
        <w:t xml:space="preserve">Rimoin A, Mulembakani P, Johnston S, et al. Major increase in human monkeypox incidence 30 years after smallpox vaccination campaigns cease in the Democratic Republic of Congo. 2010; </w:t>
      </w:r>
      <w:r>
        <w:rPr>
          <w:rFonts w:cs="Times New Roman"/>
          <w:b/>
          <w:sz w:val="24"/>
          <w:lang w:val="en-GB"/>
        </w:rPr>
        <w:t>107</w:t>
      </w:r>
      <w:r>
        <w:rPr>
          <w:rFonts w:cs="Times New Roman"/>
          <w:sz w:val="24"/>
          <w:lang w:val="en-GB"/>
        </w:rPr>
        <w:t>(37): 16262-7.</w:t>
      </w:r>
    </w:p>
    <w:p>
      <w:pPr>
        <w:pStyle w:val="79"/>
        <w:rPr>
          <w:rFonts w:cs="Times New Roman"/>
          <w:sz w:val="24"/>
          <w:lang w:val="en-GB"/>
        </w:rPr>
      </w:pPr>
      <w:r>
        <w:rPr>
          <w:rFonts w:cs="Times New Roman"/>
          <w:sz w:val="24"/>
          <w:lang w:val="en-GB"/>
        </w:rPr>
        <w:t>3</w:t>
      </w:r>
      <w:r>
        <w:rPr>
          <w:rFonts w:hint="eastAsia" w:eastAsia="宋体" w:cs="Times New Roman"/>
          <w:sz w:val="24"/>
          <w:lang w:val="en-US"/>
        </w:rPr>
        <w:t>.</w:t>
      </w:r>
      <w:r>
        <w:rPr>
          <w:rFonts w:cs="Times New Roman"/>
          <w:sz w:val="24"/>
          <w:lang w:val="en-GB"/>
        </w:rPr>
        <w:tab/>
      </w:r>
      <w:r>
        <w:rPr>
          <w:rFonts w:cs="Times New Roman"/>
          <w:sz w:val="24"/>
          <w:lang w:val="en-GB"/>
        </w:rPr>
        <w:t xml:space="preserve">Burki T. What does it mean to declare monkeypox a PHEIC? </w:t>
      </w:r>
      <w:r>
        <w:rPr>
          <w:rFonts w:cs="Times New Roman"/>
          <w:i/>
          <w:sz w:val="24"/>
          <w:lang w:val="en-GB"/>
        </w:rPr>
        <w:t>The Lancet Infectious Diseases</w:t>
      </w:r>
      <w:r>
        <w:rPr>
          <w:rFonts w:cs="Times New Roman"/>
          <w:sz w:val="24"/>
          <w:lang w:val="en-GB"/>
        </w:rPr>
        <w:t xml:space="preserve"> 2022; </w:t>
      </w:r>
      <w:r>
        <w:rPr>
          <w:rFonts w:cs="Times New Roman"/>
          <w:b/>
          <w:sz w:val="24"/>
          <w:lang w:val="en-GB"/>
        </w:rPr>
        <w:t>22</w:t>
      </w:r>
      <w:r>
        <w:rPr>
          <w:rFonts w:cs="Times New Roman"/>
          <w:sz w:val="24"/>
          <w:lang w:val="en-GB"/>
        </w:rPr>
        <w:t>(9): 1286-7.</w:t>
      </w:r>
    </w:p>
    <w:p>
      <w:pPr>
        <w:pStyle w:val="79"/>
        <w:rPr>
          <w:rFonts w:cs="Times New Roman"/>
          <w:sz w:val="24"/>
          <w:lang w:val="en-GB"/>
        </w:rPr>
      </w:pPr>
      <w:r>
        <w:rPr>
          <w:rFonts w:cs="Times New Roman"/>
          <w:sz w:val="24"/>
          <w:lang w:val="en-GB"/>
        </w:rPr>
        <w:t>4</w:t>
      </w:r>
      <w:r>
        <w:rPr>
          <w:rFonts w:hint="eastAsia" w:eastAsia="宋体" w:cs="Times New Roman"/>
          <w:sz w:val="24"/>
          <w:lang w:val="en-US"/>
        </w:rPr>
        <w:t>.</w:t>
      </w:r>
      <w:r>
        <w:rPr>
          <w:rFonts w:cs="Times New Roman"/>
          <w:sz w:val="24"/>
          <w:lang w:val="en-GB"/>
        </w:rPr>
        <w:tab/>
      </w:r>
      <w:r>
        <w:rPr>
          <w:rFonts w:cs="Times New Roman"/>
          <w:sz w:val="24"/>
          <w:lang w:val="en-GB"/>
        </w:rPr>
        <w:t xml:space="preserve">Gideon: Monkeypox: Global Status. </w:t>
      </w:r>
      <w:r>
        <w:fldChar w:fldCharType="begin"/>
      </w:r>
      <w:r>
        <w:instrText xml:space="preserve"> HYPERLINK "https://ebooks.gideononline.com/pdf?title=Monkeypox%3A+Global+Status&amp;year=2022" </w:instrText>
      </w:r>
      <w:r>
        <w:fldChar w:fldCharType="separate"/>
      </w:r>
      <w:r>
        <w:rPr>
          <w:rStyle w:val="32"/>
          <w:rFonts w:cs="Times New Roman"/>
          <w:sz w:val="24"/>
          <w:lang w:val="en-GB"/>
        </w:rPr>
        <w:t>https://ebooks.gideononline.com/pdf?title=Monkeypox%3A+Global+Status&amp;year=2022</w:t>
      </w:r>
      <w:r>
        <w:rPr>
          <w:rStyle w:val="32"/>
          <w:rFonts w:cs="Times New Roman"/>
          <w:sz w:val="24"/>
          <w:lang w:val="en-GB"/>
        </w:rPr>
        <w:fldChar w:fldCharType="end"/>
      </w:r>
      <w:r>
        <w:rPr>
          <w:rFonts w:cs="Times New Roman"/>
          <w:sz w:val="24"/>
          <w:lang w:val="en-GB"/>
        </w:rPr>
        <w:t xml:space="preserve"> (accessed 22-May 2022).</w:t>
      </w:r>
    </w:p>
    <w:p>
      <w:pPr>
        <w:rPr>
          <w:rFonts w:eastAsia="宋体"/>
          <w:szCs w:val="24"/>
        </w:rPr>
      </w:pPr>
      <w:r>
        <w:rPr>
          <w:rFonts w:eastAsia="宋体" w:cs="Times New Roman"/>
          <w:szCs w:val="24"/>
        </w:rPr>
        <w:fldChar w:fldCharType="end"/>
      </w:r>
    </w:p>
    <w:p>
      <w:pPr>
        <w:spacing w:before="240"/>
        <w:rPr>
          <w:szCs w:val="24"/>
          <w:lang w:eastAsia="zh-CN"/>
        </w:rPr>
      </w:pPr>
    </w:p>
    <w:sectPr>
      <w:headerReference r:id="rId10" w:type="first"/>
      <w:footerReference r:id="rId11" w:type="default"/>
      <w:headerReference r:id="rId9" w:type="even"/>
      <w:footerReference r:id="rId12"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pict>
        <v:shape id="文本框 29"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">
          <v:path/>
          <v:fill on="f" focussize="0,0"/>
          <v:stroke on="f" joinstyle="miter"/>
          <v:imagedata o:title=""/>
          <o:lock v:ext="edit" text="t" aspectratio="t"/>
          <v:textbox inset="0mm,0mm,0mm,0mm" style="mso-fit-shape-to-text:t;">
            <w:txbxContent>
              <w:p>
                <w:pPr>
                  <w:pStyle w:val="14"/>
                </w:pPr>
                <w:r>
                  <w:fldChar w:fldCharType="begin"/>
                </w:r>
                <w:r>
                  <w:instrText xml:space="preserve"> PAGE  \* MERGEFORMAT </w:instrText>
                </w:r>
                <w:r>
                  <w:fldChar w:fldCharType="separate"/>
                </w:r>
                <w:r>
                  <w:t>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8"/>
      </w:rPr>
      <w:id w:val="-367147743"/>
    </w:sdtPr>
    <w:sdtEndPr>
      <w:rPr>
        <w:rStyle w:val="28"/>
      </w:rPr>
    </w:sdtEndPr>
    <w:sdtContent>
      <w:p>
        <w:pPr>
          <w:pStyle w:val="14"/>
          <w:framePr w:wrap="auto" w:vAnchor="text" w:hAnchor="margin" w:xAlign="right" w:y="1"/>
          <w:rPr>
            <w:rStyle w:val="28"/>
          </w:rPr>
        </w:pPr>
        <w:r>
          <w:rPr>
            <w:rStyle w:val="28"/>
          </w:rPr>
          <w:fldChar w:fldCharType="begin"/>
        </w:r>
        <w:r>
          <w:rPr>
            <w:rStyle w:val="28"/>
          </w:rPr>
          <w:instrText xml:space="preserve"> PAGE </w:instrText>
        </w:r>
        <w:r>
          <w:rPr>
            <w:rStyle w:val="28"/>
          </w:rPr>
          <w:fldChar w:fldCharType="separate"/>
        </w:r>
        <w:r>
          <w:rPr>
            <w:rStyle w:val="28"/>
          </w:rPr>
          <w:t>8</w:t>
        </w:r>
        <w:r>
          <w:rPr>
            <w:rStyle w:val="28"/>
          </w:rPr>
          <w:fldChar w:fldCharType="end"/>
        </w:r>
      </w:p>
    </w:sdtContent>
  </w:sdt>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9480" w:firstLineChars="3950"/>
    </w:pPr>
    <w:r>
      <w:rPr>
        <w:rFonts w:hint="eastAsia"/>
      </w:rPr>
      <w:t>2</w:t>
    </w:r>
    <w:r>
      <w:t>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pict>
        <v:shape id="文本框 28" o:spid="_x0000_s1025" o:spt="202" type="#_x0000_t202" style="position:absolute;left:0pt;margin-top:0pt;height:144pt;width:144pt;mso-position-horizontal:right;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">
          <v:path/>
          <v:fill on="f" focussize="0,0"/>
          <v:stroke on="f" joinstyle="miter"/>
          <v:imagedata o:title=""/>
          <o:lock v:ext="edit" text="t" aspectratio="t"/>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35.1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0F10E0"/>
    <w:multiLevelType w:val="multilevel"/>
    <w:tmpl w:val="150F10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ODYwZWFmZDgzODVjNWE3NGQyY2ZiZmMwNDRhYzIifQ=="/>
  </w:docVars>
  <w:rsids>
    <w:rsidRoot w:val="00ED20B5"/>
    <w:rsid w:val="00004FB7"/>
    <w:rsid w:val="0001436A"/>
    <w:rsid w:val="00034304"/>
    <w:rsid w:val="00035434"/>
    <w:rsid w:val="00052A14"/>
    <w:rsid w:val="00077D53"/>
    <w:rsid w:val="00105FD9"/>
    <w:rsid w:val="00117666"/>
    <w:rsid w:val="0015042D"/>
    <w:rsid w:val="001549D3"/>
    <w:rsid w:val="00160065"/>
    <w:rsid w:val="00177D84"/>
    <w:rsid w:val="001A0B35"/>
    <w:rsid w:val="001A1A0F"/>
    <w:rsid w:val="002414A2"/>
    <w:rsid w:val="00264D56"/>
    <w:rsid w:val="00267D18"/>
    <w:rsid w:val="00274347"/>
    <w:rsid w:val="002868E2"/>
    <w:rsid w:val="002869C3"/>
    <w:rsid w:val="0029159C"/>
    <w:rsid w:val="002936E4"/>
    <w:rsid w:val="002B4A57"/>
    <w:rsid w:val="002C74CA"/>
    <w:rsid w:val="002E5ADD"/>
    <w:rsid w:val="003123F4"/>
    <w:rsid w:val="003544FB"/>
    <w:rsid w:val="003D2F2D"/>
    <w:rsid w:val="00401590"/>
    <w:rsid w:val="00417F1B"/>
    <w:rsid w:val="00447801"/>
    <w:rsid w:val="00452E9C"/>
    <w:rsid w:val="004735C8"/>
    <w:rsid w:val="004947A6"/>
    <w:rsid w:val="004961FF"/>
    <w:rsid w:val="004C1131"/>
    <w:rsid w:val="004D4D6E"/>
    <w:rsid w:val="004E155B"/>
    <w:rsid w:val="00517A89"/>
    <w:rsid w:val="005250F2"/>
    <w:rsid w:val="005418AA"/>
    <w:rsid w:val="00593EEA"/>
    <w:rsid w:val="005A5EEE"/>
    <w:rsid w:val="006375C7"/>
    <w:rsid w:val="00654E8F"/>
    <w:rsid w:val="00660D05"/>
    <w:rsid w:val="006820B1"/>
    <w:rsid w:val="006B7D14"/>
    <w:rsid w:val="00701727"/>
    <w:rsid w:val="0070566C"/>
    <w:rsid w:val="00714C50"/>
    <w:rsid w:val="00725A7D"/>
    <w:rsid w:val="007501BE"/>
    <w:rsid w:val="0076046E"/>
    <w:rsid w:val="00790BB3"/>
    <w:rsid w:val="007B3CE9"/>
    <w:rsid w:val="007B6775"/>
    <w:rsid w:val="007C206C"/>
    <w:rsid w:val="00817DD6"/>
    <w:rsid w:val="008242D2"/>
    <w:rsid w:val="008250A0"/>
    <w:rsid w:val="0083759F"/>
    <w:rsid w:val="00885156"/>
    <w:rsid w:val="009151AA"/>
    <w:rsid w:val="0093429D"/>
    <w:rsid w:val="00943573"/>
    <w:rsid w:val="00964134"/>
    <w:rsid w:val="00970F7D"/>
    <w:rsid w:val="00994A3D"/>
    <w:rsid w:val="009A5B52"/>
    <w:rsid w:val="009C2B12"/>
    <w:rsid w:val="00A174D9"/>
    <w:rsid w:val="00AA4D24"/>
    <w:rsid w:val="00AA60F4"/>
    <w:rsid w:val="00AB6715"/>
    <w:rsid w:val="00B1671E"/>
    <w:rsid w:val="00B25EB8"/>
    <w:rsid w:val="00B37F4D"/>
    <w:rsid w:val="00BD4125"/>
    <w:rsid w:val="00C35570"/>
    <w:rsid w:val="00C52A7B"/>
    <w:rsid w:val="00C56BAF"/>
    <w:rsid w:val="00C660FA"/>
    <w:rsid w:val="00C679AA"/>
    <w:rsid w:val="00C75972"/>
    <w:rsid w:val="00CD066B"/>
    <w:rsid w:val="00CE4FEE"/>
    <w:rsid w:val="00D060CF"/>
    <w:rsid w:val="00DB59C3"/>
    <w:rsid w:val="00DC259A"/>
    <w:rsid w:val="00DE23E8"/>
    <w:rsid w:val="00E52377"/>
    <w:rsid w:val="00E537AD"/>
    <w:rsid w:val="00E64E17"/>
    <w:rsid w:val="00E760D7"/>
    <w:rsid w:val="00E866C9"/>
    <w:rsid w:val="00EA3D3C"/>
    <w:rsid w:val="00EC090A"/>
    <w:rsid w:val="00ED20B5"/>
    <w:rsid w:val="00F17C21"/>
    <w:rsid w:val="00F46900"/>
    <w:rsid w:val="00F61D89"/>
    <w:rsid w:val="1B6E6900"/>
    <w:rsid w:val="3C940DD1"/>
    <w:rsid w:val="67950834"/>
    <w:rsid w:val="7DD90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5"/>
    <w:qFormat/>
    <w:uiPriority w:val="0"/>
    <w:pPr>
      <w:numPr>
        <w:ilvl w:val="0"/>
        <w:numId w:val="1"/>
      </w:numPr>
      <w:spacing w:before="240"/>
      <w:contextualSpacing w:val="0"/>
      <w:outlineLvl w:val="0"/>
    </w:pPr>
    <w:rPr>
      <w:b/>
    </w:rPr>
  </w:style>
  <w:style w:type="paragraph" w:styleId="4">
    <w:name w:val="heading 2"/>
    <w:basedOn w:val="2"/>
    <w:next w:val="1"/>
    <w:link w:val="37"/>
    <w:qFormat/>
    <w:uiPriority w:val="0"/>
    <w:pPr>
      <w:numPr>
        <w:ilvl w:val="1"/>
      </w:numPr>
      <w:spacing w:after="200"/>
      <w:outlineLvl w:val="1"/>
    </w:pPr>
  </w:style>
  <w:style w:type="paragraph" w:styleId="5">
    <w:name w:val="heading 3"/>
    <w:basedOn w:val="1"/>
    <w:next w:val="1"/>
    <w:link w:val="36"/>
    <w:qFormat/>
    <w:uiPriority w:val="0"/>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50"/>
    <w:qFormat/>
    <w:uiPriority w:val="0"/>
    <w:pPr>
      <w:numPr>
        <w:ilvl w:val="3"/>
      </w:numPr>
      <w:outlineLvl w:val="3"/>
    </w:pPr>
    <w:rPr>
      <w:iCs/>
    </w:rPr>
  </w:style>
  <w:style w:type="paragraph" w:styleId="7">
    <w:name w:val="heading 5"/>
    <w:basedOn w:val="6"/>
    <w:next w:val="1"/>
    <w:link w:val="51"/>
    <w:qFormat/>
    <w:uiPriority w:val="0"/>
    <w:pPr>
      <w:numPr>
        <w:ilvl w:val="4"/>
      </w:numPr>
      <w:outlineLvl w:val="4"/>
    </w:pPr>
  </w:style>
  <w:style w:type="paragraph" w:styleId="8">
    <w:name w:val="heading 6"/>
    <w:basedOn w:val="1"/>
    <w:next w:val="1"/>
    <w:link w:val="57"/>
    <w:qFormat/>
    <w:uiPriority w:val="0"/>
    <w:pPr>
      <w:keepNext/>
      <w:keepLines/>
      <w:spacing w:before="240" w:after="80" w:line="276" w:lineRule="auto"/>
      <w:outlineLvl w:val="5"/>
    </w:pPr>
    <w:rPr>
      <w:rFonts w:eastAsia="Times New Roman" w:cs="Arial"/>
      <w:i/>
      <w:color w:val="666666"/>
      <w:sz w:val="20"/>
      <w:lang w:val="zh-CN" w:eastAsia="zh-CN"/>
    </w:rPr>
  </w:style>
  <w:style w:type="character" w:default="1" w:styleId="25">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link w:val="77"/>
    <w:qFormat/>
    <w:uiPriority w:val="34"/>
    <w:pPr>
      <w:numPr>
        <w:ilvl w:val="0"/>
        <w:numId w:val="2"/>
      </w:numPr>
      <w:contextualSpacing/>
    </w:pPr>
    <w:rPr>
      <w:rFonts w:eastAsia="Cambria" w:cs="Times New Roman"/>
      <w:szCs w:val="24"/>
    </w:rPr>
  </w:style>
  <w:style w:type="paragraph" w:styleId="9">
    <w:name w:val="caption"/>
    <w:basedOn w:val="1"/>
    <w:next w:val="10"/>
    <w:unhideWhenUsed/>
    <w:qFormat/>
    <w:uiPriority w:val="35"/>
    <w:pPr>
      <w:keepNext/>
    </w:pPr>
    <w:rPr>
      <w:rFonts w:cs="Times New Roman"/>
      <w:b/>
      <w:bCs/>
      <w:szCs w:val="24"/>
    </w:rPr>
  </w:style>
  <w:style w:type="paragraph" w:styleId="10">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1">
    <w:name w:val="annotation text"/>
    <w:basedOn w:val="1"/>
    <w:link w:val="42"/>
    <w:semiHidden/>
    <w:unhideWhenUsed/>
    <w:qFormat/>
    <w:uiPriority w:val="99"/>
    <w:rPr>
      <w:sz w:val="20"/>
      <w:szCs w:val="20"/>
    </w:rPr>
  </w:style>
  <w:style w:type="paragraph" w:styleId="12">
    <w:name w:val="endnote text"/>
    <w:basedOn w:val="1"/>
    <w:link w:val="44"/>
    <w:semiHidden/>
    <w:unhideWhenUsed/>
    <w:qFormat/>
    <w:uiPriority w:val="99"/>
    <w:pPr>
      <w:spacing w:after="0"/>
    </w:pPr>
    <w:rPr>
      <w:sz w:val="20"/>
      <w:szCs w:val="20"/>
    </w:rPr>
  </w:style>
  <w:style w:type="paragraph" w:styleId="13">
    <w:name w:val="Balloon Text"/>
    <w:basedOn w:val="1"/>
    <w:link w:val="40"/>
    <w:unhideWhenUsed/>
    <w:qFormat/>
    <w:uiPriority w:val="0"/>
    <w:pPr>
      <w:spacing w:after="0"/>
    </w:pPr>
    <w:rPr>
      <w:rFonts w:ascii="Tahoma" w:hAnsi="Tahoma" w:cs="Tahoma"/>
      <w:sz w:val="16"/>
      <w:szCs w:val="16"/>
    </w:rPr>
  </w:style>
  <w:style w:type="paragraph" w:styleId="14">
    <w:name w:val="footer"/>
    <w:basedOn w:val="1"/>
    <w:link w:val="45"/>
    <w:unhideWhenUsed/>
    <w:qFormat/>
    <w:uiPriority w:val="99"/>
    <w:pPr>
      <w:tabs>
        <w:tab w:val="center" w:pos="4844"/>
        <w:tab w:val="right" w:pos="9689"/>
      </w:tabs>
      <w:spacing w:after="0"/>
    </w:pPr>
  </w:style>
  <w:style w:type="paragraph" w:styleId="15">
    <w:name w:val="header"/>
    <w:basedOn w:val="1"/>
    <w:link w:val="47"/>
    <w:unhideWhenUsed/>
    <w:qFormat/>
    <w:uiPriority w:val="0"/>
    <w:pPr>
      <w:tabs>
        <w:tab w:val="center" w:pos="4844"/>
        <w:tab w:val="right" w:pos="9689"/>
      </w:tabs>
    </w:pPr>
    <w:rPr>
      <w:b/>
    </w:rPr>
  </w:style>
  <w:style w:type="paragraph" w:styleId="16">
    <w:name w:val="toc 1"/>
    <w:basedOn w:val="1"/>
    <w:next w:val="1"/>
    <w:qFormat/>
    <w:uiPriority w:val="0"/>
    <w:pPr>
      <w:spacing w:before="0" w:after="0" w:line="276" w:lineRule="auto"/>
    </w:pPr>
    <w:rPr>
      <w:rFonts w:eastAsia="Times New Roman" w:cs="Arial"/>
      <w:sz w:val="20"/>
      <w:lang w:val="zh-CN" w:eastAsia="zh-CN"/>
    </w:rPr>
  </w:style>
  <w:style w:type="paragraph" w:styleId="17">
    <w:name w:val="Subtitle"/>
    <w:basedOn w:val="1"/>
    <w:next w:val="1"/>
    <w:link w:val="38"/>
    <w:unhideWhenUsed/>
    <w:qFormat/>
    <w:uiPriority w:val="0"/>
    <w:pPr>
      <w:spacing w:before="240"/>
    </w:pPr>
    <w:rPr>
      <w:rFonts w:cs="Times New Roman"/>
      <w:b/>
      <w:szCs w:val="24"/>
    </w:rPr>
  </w:style>
  <w:style w:type="paragraph" w:styleId="18">
    <w:name w:val="footnote text"/>
    <w:basedOn w:val="1"/>
    <w:link w:val="46"/>
    <w:semiHidden/>
    <w:unhideWhenUsed/>
    <w:qFormat/>
    <w:uiPriority w:val="99"/>
    <w:pPr>
      <w:spacing w:after="0"/>
    </w:pPr>
    <w:rPr>
      <w:sz w:val="20"/>
      <w:szCs w:val="20"/>
    </w:rPr>
  </w:style>
  <w:style w:type="paragraph" w:styleId="19">
    <w:name w:val="Normal (Web)"/>
    <w:basedOn w:val="1"/>
    <w:unhideWhenUsed/>
    <w:qFormat/>
    <w:uiPriority w:val="99"/>
    <w:pPr>
      <w:spacing w:before="100" w:beforeAutospacing="1" w:after="100" w:afterAutospacing="1"/>
    </w:pPr>
    <w:rPr>
      <w:rFonts w:eastAsia="Times New Roman" w:cs="Times New Roman"/>
      <w:szCs w:val="24"/>
    </w:rPr>
  </w:style>
  <w:style w:type="paragraph" w:styleId="20">
    <w:name w:val="Title"/>
    <w:basedOn w:val="1"/>
    <w:next w:val="1"/>
    <w:link w:val="55"/>
    <w:qFormat/>
    <w:uiPriority w:val="0"/>
    <w:pPr>
      <w:suppressLineNumbers/>
      <w:spacing w:before="240" w:after="360"/>
      <w:jc w:val="center"/>
    </w:pPr>
    <w:rPr>
      <w:rFonts w:cs="Times New Roman"/>
      <w:b/>
      <w:sz w:val="32"/>
      <w:szCs w:val="32"/>
    </w:rPr>
  </w:style>
  <w:style w:type="paragraph" w:styleId="21">
    <w:name w:val="annotation subject"/>
    <w:basedOn w:val="11"/>
    <w:next w:val="11"/>
    <w:link w:val="43"/>
    <w:semiHidden/>
    <w:unhideWhenUsed/>
    <w:qFormat/>
    <w:uiPriority w:val="99"/>
    <w:rPr>
      <w:b/>
      <w:bCs/>
    </w:rPr>
  </w:style>
  <w:style w:type="table" w:styleId="23">
    <w:name w:val="Table Grid"/>
    <w:basedOn w:val="22"/>
    <w:qFormat/>
    <w:uiPriority w:val="3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Light Grid"/>
    <w:basedOn w:val="22"/>
    <w:qFormat/>
    <w:uiPriority w:val="62"/>
    <w:pPr>
      <w:spacing w:after="0" w:line="240" w:lineRule="auto"/>
    </w:pPr>
    <w:rPr>
      <w:rFonts w:ascii="Times New Roman" w:hAnsi="Times New Roman" w:eastAsia="宋体" w:cs="Times New Roman"/>
      <w:sz w:val="20"/>
      <w:szCs w:val="20"/>
      <w:lang w:eastAsia="zh-CN"/>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styleId="26">
    <w:name w:val="Strong"/>
    <w:basedOn w:val="25"/>
    <w:qFormat/>
    <w:uiPriority w:val="22"/>
    <w:rPr>
      <w:rFonts w:ascii="Times New Roman" w:hAnsi="Times New Roman"/>
      <w:b/>
      <w:bCs/>
    </w:rPr>
  </w:style>
  <w:style w:type="character" w:styleId="27">
    <w:name w:val="endnote reference"/>
    <w:basedOn w:val="25"/>
    <w:semiHidden/>
    <w:unhideWhenUsed/>
    <w:qFormat/>
    <w:uiPriority w:val="99"/>
    <w:rPr>
      <w:vertAlign w:val="superscript"/>
    </w:rPr>
  </w:style>
  <w:style w:type="character" w:styleId="28">
    <w:name w:val="page number"/>
    <w:basedOn w:val="25"/>
    <w:semiHidden/>
    <w:unhideWhenUsed/>
    <w:qFormat/>
    <w:uiPriority w:val="99"/>
  </w:style>
  <w:style w:type="character" w:styleId="29">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30">
    <w:name w:val="Emphasis"/>
    <w:basedOn w:val="25"/>
    <w:qFormat/>
    <w:uiPriority w:val="20"/>
    <w:rPr>
      <w:rFonts w:ascii="Times New Roman" w:hAnsi="Times New Roman"/>
      <w:i/>
      <w:iCs/>
    </w:rPr>
  </w:style>
  <w:style w:type="character" w:styleId="31">
    <w:name w:val="line number"/>
    <w:basedOn w:val="25"/>
    <w:semiHidden/>
    <w:unhideWhenUsed/>
    <w:qFormat/>
    <w:uiPriority w:val="99"/>
  </w:style>
  <w:style w:type="character" w:styleId="32">
    <w:name w:val="Hyperlink"/>
    <w:basedOn w:val="25"/>
    <w:unhideWhenUsed/>
    <w:qFormat/>
    <w:uiPriority w:val="0"/>
    <w:rPr>
      <w:color w:val="0000FF"/>
      <w:u w:val="single"/>
    </w:rPr>
  </w:style>
  <w:style w:type="character" w:styleId="33">
    <w:name w:val="annotation reference"/>
    <w:basedOn w:val="25"/>
    <w:semiHidden/>
    <w:unhideWhenUsed/>
    <w:qFormat/>
    <w:uiPriority w:val="99"/>
    <w:rPr>
      <w:sz w:val="16"/>
      <w:szCs w:val="16"/>
    </w:rPr>
  </w:style>
  <w:style w:type="character" w:styleId="34">
    <w:name w:val="footnote reference"/>
    <w:basedOn w:val="25"/>
    <w:semiHidden/>
    <w:unhideWhenUsed/>
    <w:qFormat/>
    <w:uiPriority w:val="99"/>
    <w:rPr>
      <w:vertAlign w:val="superscript"/>
    </w:rPr>
  </w:style>
  <w:style w:type="character" w:customStyle="1" w:styleId="35">
    <w:name w:val="标题 1 字符"/>
    <w:basedOn w:val="25"/>
    <w:link w:val="2"/>
    <w:qFormat/>
    <w:uiPriority w:val="2"/>
    <w:rPr>
      <w:rFonts w:ascii="Times New Roman" w:hAnsi="Times New Roman" w:eastAsia="Cambria" w:cs="Times New Roman"/>
      <w:b/>
      <w:sz w:val="24"/>
      <w:szCs w:val="24"/>
    </w:rPr>
  </w:style>
  <w:style w:type="character" w:customStyle="1" w:styleId="36">
    <w:name w:val="标题 3 字符"/>
    <w:basedOn w:val="25"/>
    <w:link w:val="5"/>
    <w:qFormat/>
    <w:uiPriority w:val="2"/>
    <w:rPr>
      <w:rFonts w:ascii="Times New Roman" w:hAnsi="Times New Roman" w:eastAsiaTheme="majorEastAsia" w:cstheme="majorBidi"/>
      <w:b/>
      <w:sz w:val="24"/>
      <w:szCs w:val="24"/>
    </w:rPr>
  </w:style>
  <w:style w:type="character" w:customStyle="1" w:styleId="37">
    <w:name w:val="标题 2 字符"/>
    <w:basedOn w:val="25"/>
    <w:link w:val="4"/>
    <w:qFormat/>
    <w:uiPriority w:val="2"/>
    <w:rPr>
      <w:rFonts w:ascii="Times New Roman" w:hAnsi="Times New Roman" w:eastAsia="Cambria" w:cs="Times New Roman"/>
      <w:b/>
      <w:sz w:val="24"/>
      <w:szCs w:val="24"/>
    </w:rPr>
  </w:style>
  <w:style w:type="character" w:customStyle="1" w:styleId="38">
    <w:name w:val="副标题 字符"/>
    <w:basedOn w:val="25"/>
    <w:link w:val="17"/>
    <w:qFormat/>
    <w:uiPriority w:val="99"/>
    <w:rPr>
      <w:rFonts w:ascii="Times New Roman" w:hAnsi="Times New Roman" w:cs="Times New Roman"/>
      <w:b/>
      <w:sz w:val="24"/>
      <w:szCs w:val="24"/>
    </w:rPr>
  </w:style>
  <w:style w:type="paragraph" w:customStyle="1" w:styleId="39">
    <w:name w:val="Author List"/>
    <w:basedOn w:val="17"/>
    <w:next w:val="1"/>
    <w:qFormat/>
    <w:uiPriority w:val="1"/>
  </w:style>
  <w:style w:type="character" w:customStyle="1" w:styleId="40">
    <w:name w:val="批注框文本 字符"/>
    <w:basedOn w:val="25"/>
    <w:link w:val="13"/>
    <w:qFormat/>
    <w:uiPriority w:val="0"/>
    <w:rPr>
      <w:rFonts w:ascii="Tahoma" w:hAnsi="Tahoma" w:cs="Tahoma"/>
      <w:sz w:val="16"/>
      <w:szCs w:val="16"/>
    </w:rPr>
  </w:style>
  <w:style w:type="character" w:customStyle="1" w:styleId="41">
    <w:name w:val="Book Title"/>
    <w:basedOn w:val="25"/>
    <w:qFormat/>
    <w:uiPriority w:val="33"/>
    <w:rPr>
      <w:rFonts w:ascii="Times New Roman" w:hAnsi="Times New Roman"/>
      <w:b/>
      <w:bCs/>
      <w:i/>
      <w:iCs/>
      <w:spacing w:val="5"/>
    </w:rPr>
  </w:style>
  <w:style w:type="character" w:customStyle="1" w:styleId="42">
    <w:name w:val="批注文字 字符"/>
    <w:basedOn w:val="25"/>
    <w:link w:val="11"/>
    <w:semiHidden/>
    <w:uiPriority w:val="99"/>
    <w:rPr>
      <w:rFonts w:ascii="Times New Roman" w:hAnsi="Times New Roman"/>
      <w:sz w:val="20"/>
      <w:szCs w:val="20"/>
    </w:rPr>
  </w:style>
  <w:style w:type="character" w:customStyle="1" w:styleId="43">
    <w:name w:val="批注主题 字符"/>
    <w:basedOn w:val="42"/>
    <w:link w:val="21"/>
    <w:semiHidden/>
    <w:qFormat/>
    <w:uiPriority w:val="99"/>
    <w:rPr>
      <w:rFonts w:ascii="Times New Roman" w:hAnsi="Times New Roman"/>
      <w:b/>
      <w:bCs/>
      <w:sz w:val="20"/>
      <w:szCs w:val="20"/>
    </w:rPr>
  </w:style>
  <w:style w:type="character" w:customStyle="1" w:styleId="44">
    <w:name w:val="尾注文本 字符"/>
    <w:basedOn w:val="25"/>
    <w:link w:val="12"/>
    <w:semiHidden/>
    <w:qFormat/>
    <w:uiPriority w:val="99"/>
    <w:rPr>
      <w:rFonts w:ascii="Times New Roman" w:hAnsi="Times New Roman"/>
      <w:sz w:val="20"/>
      <w:szCs w:val="20"/>
    </w:rPr>
  </w:style>
  <w:style w:type="character" w:customStyle="1" w:styleId="45">
    <w:name w:val="页脚 字符"/>
    <w:basedOn w:val="25"/>
    <w:link w:val="14"/>
    <w:qFormat/>
    <w:uiPriority w:val="99"/>
    <w:rPr>
      <w:rFonts w:ascii="Times New Roman" w:hAnsi="Times New Roman"/>
      <w:sz w:val="24"/>
    </w:rPr>
  </w:style>
  <w:style w:type="character" w:customStyle="1" w:styleId="46">
    <w:name w:val="脚注文本 字符"/>
    <w:basedOn w:val="25"/>
    <w:link w:val="18"/>
    <w:semiHidden/>
    <w:qFormat/>
    <w:uiPriority w:val="99"/>
    <w:rPr>
      <w:rFonts w:ascii="Times New Roman" w:hAnsi="Times New Roman"/>
      <w:sz w:val="20"/>
      <w:szCs w:val="20"/>
    </w:rPr>
  </w:style>
  <w:style w:type="character" w:customStyle="1" w:styleId="47">
    <w:name w:val="页眉 字符"/>
    <w:basedOn w:val="25"/>
    <w:link w:val="15"/>
    <w:qFormat/>
    <w:uiPriority w:val="0"/>
    <w:rPr>
      <w:rFonts w:ascii="Times New Roman" w:hAnsi="Times New Roman"/>
      <w:b/>
      <w:sz w:val="24"/>
    </w:rPr>
  </w:style>
  <w:style w:type="character" w:customStyle="1" w:styleId="48">
    <w:name w:val="Intense Emphasis"/>
    <w:basedOn w:val="25"/>
    <w:unhideWhenUsed/>
    <w:qFormat/>
    <w:uiPriority w:val="21"/>
    <w:rPr>
      <w:rFonts w:ascii="Times New Roman" w:hAnsi="Times New Roman"/>
      <w:i/>
      <w:iCs/>
      <w:color w:val="auto"/>
    </w:rPr>
  </w:style>
  <w:style w:type="character" w:customStyle="1" w:styleId="49">
    <w:name w:val="Intense Reference"/>
    <w:basedOn w:val="25"/>
    <w:qFormat/>
    <w:uiPriority w:val="32"/>
    <w:rPr>
      <w:b/>
      <w:bCs/>
      <w:smallCaps/>
      <w:color w:val="auto"/>
      <w:spacing w:val="5"/>
    </w:rPr>
  </w:style>
  <w:style w:type="character" w:customStyle="1" w:styleId="50">
    <w:name w:val="标题 4 字符"/>
    <w:basedOn w:val="25"/>
    <w:link w:val="6"/>
    <w:qFormat/>
    <w:uiPriority w:val="2"/>
    <w:rPr>
      <w:rFonts w:ascii="Times New Roman" w:hAnsi="Times New Roman" w:eastAsiaTheme="majorEastAsia" w:cstheme="majorBidi"/>
      <w:b/>
      <w:iCs/>
      <w:sz w:val="24"/>
      <w:szCs w:val="24"/>
    </w:rPr>
  </w:style>
  <w:style w:type="character" w:customStyle="1" w:styleId="51">
    <w:name w:val="标题 5 字符"/>
    <w:basedOn w:val="25"/>
    <w:link w:val="7"/>
    <w:qFormat/>
    <w:uiPriority w:val="2"/>
    <w:rPr>
      <w:rFonts w:ascii="Times New Roman" w:hAnsi="Times New Roman" w:eastAsiaTheme="majorEastAsia" w:cstheme="majorBidi"/>
      <w:b/>
      <w:iCs/>
      <w:sz w:val="24"/>
      <w:szCs w:val="24"/>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25"/>
    <w:link w:val="52"/>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4">
    <w:name w:val="Subtle Emphasis"/>
    <w:basedOn w:val="25"/>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5">
    <w:name w:val="标题 字符"/>
    <w:basedOn w:val="25"/>
    <w:link w:val="20"/>
    <w:qFormat/>
    <w:uiPriority w:val="0"/>
    <w:rPr>
      <w:rFonts w:ascii="Times New Roman" w:hAnsi="Times New Roman" w:cs="Times New Roman"/>
      <w:b/>
      <w:sz w:val="32"/>
      <w:szCs w:val="32"/>
    </w:rPr>
  </w:style>
  <w:style w:type="paragraph" w:customStyle="1" w:styleId="56">
    <w:name w:val="Supplementary Material"/>
    <w:basedOn w:val="20"/>
    <w:next w:val="20"/>
    <w:qFormat/>
    <w:uiPriority w:val="0"/>
    <w:pPr>
      <w:spacing w:after="120"/>
    </w:pPr>
    <w:rPr>
      <w:i/>
    </w:rPr>
  </w:style>
  <w:style w:type="character" w:customStyle="1" w:styleId="57">
    <w:name w:val="标题 6 字符"/>
    <w:basedOn w:val="25"/>
    <w:link w:val="8"/>
    <w:qFormat/>
    <w:uiPriority w:val="0"/>
    <w:rPr>
      <w:rFonts w:ascii="Times New Roman" w:hAnsi="Times New Roman" w:eastAsia="Times New Roman" w:cs="Arial"/>
      <w:i/>
      <w:color w:val="666666"/>
      <w:sz w:val="20"/>
      <w:lang w:val="zh-CN" w:eastAsia="zh-CN"/>
    </w:rPr>
  </w:style>
  <w:style w:type="table" w:customStyle="1" w:styleId="58">
    <w:name w:val="Table Normal1"/>
    <w:qFormat/>
    <w:uiPriority w:val="0"/>
    <w:pPr>
      <w:spacing w:after="0" w:line="240" w:lineRule="auto"/>
    </w:pPr>
    <w:rPr>
      <w:rFonts w:ascii="Times New Roman" w:hAnsi="Times New Roman" w:eastAsia="宋体" w:cs="Times New Roman"/>
      <w:sz w:val="20"/>
      <w:szCs w:val="20"/>
      <w:lang w:eastAsia="zh-CN"/>
    </w:rPr>
    <w:tblPr>
      <w:tblCellMar>
        <w:top w:w="0" w:type="dxa"/>
        <w:left w:w="0" w:type="dxa"/>
        <w:bottom w:w="0" w:type="dxa"/>
        <w:right w:w="0" w:type="dxa"/>
      </w:tblCellMar>
    </w:tblPr>
  </w:style>
  <w:style w:type="table" w:customStyle="1" w:styleId="59">
    <w:name w:val="_Style 10"/>
    <w:basedOn w:val="58"/>
    <w:qFormat/>
    <w:uiPriority w:val="0"/>
    <w:tblPr>
      <w:tblCellMar>
        <w:top w:w="15" w:type="dxa"/>
        <w:left w:w="15" w:type="dxa"/>
        <w:bottom w:w="15" w:type="dxa"/>
        <w:right w:w="15" w:type="dxa"/>
      </w:tblCellMar>
    </w:tblPr>
  </w:style>
  <w:style w:type="table" w:customStyle="1" w:styleId="60">
    <w:name w:val="_Style 11"/>
    <w:basedOn w:val="58"/>
    <w:qFormat/>
    <w:uiPriority w:val="0"/>
    <w:tblPr>
      <w:tblCellMar>
        <w:top w:w="15" w:type="dxa"/>
        <w:left w:w="15" w:type="dxa"/>
        <w:bottom w:w="15" w:type="dxa"/>
        <w:right w:w="15" w:type="dxa"/>
      </w:tblCellMar>
    </w:tblPr>
  </w:style>
  <w:style w:type="table" w:customStyle="1" w:styleId="61">
    <w:name w:val="_Style 12"/>
    <w:basedOn w:val="58"/>
    <w:qFormat/>
    <w:uiPriority w:val="0"/>
    <w:tblPr>
      <w:tblCellMar>
        <w:top w:w="15" w:type="dxa"/>
        <w:left w:w="15" w:type="dxa"/>
        <w:bottom w:w="15" w:type="dxa"/>
        <w:right w:w="15" w:type="dxa"/>
      </w:tblCellMar>
    </w:tblPr>
  </w:style>
  <w:style w:type="table" w:customStyle="1" w:styleId="62">
    <w:name w:val="_Style 13"/>
    <w:basedOn w:val="58"/>
    <w:qFormat/>
    <w:uiPriority w:val="0"/>
    <w:tblPr>
      <w:tblCellMar>
        <w:top w:w="15" w:type="dxa"/>
        <w:left w:w="15" w:type="dxa"/>
        <w:bottom w:w="15" w:type="dxa"/>
        <w:right w:w="15" w:type="dxa"/>
      </w:tblCellMar>
    </w:tblPr>
  </w:style>
  <w:style w:type="table" w:customStyle="1" w:styleId="63">
    <w:name w:val="_Style 14"/>
    <w:basedOn w:val="58"/>
    <w:qFormat/>
    <w:uiPriority w:val="0"/>
    <w:tblPr>
      <w:tblCellMar>
        <w:top w:w="15" w:type="dxa"/>
        <w:left w:w="15" w:type="dxa"/>
        <w:bottom w:w="15" w:type="dxa"/>
        <w:right w:w="15" w:type="dxa"/>
      </w:tblCellMar>
    </w:tblPr>
  </w:style>
  <w:style w:type="table" w:customStyle="1" w:styleId="64">
    <w:name w:val="_Style 15"/>
    <w:basedOn w:val="58"/>
    <w:qFormat/>
    <w:uiPriority w:val="0"/>
    <w:tblPr>
      <w:tblCellMar>
        <w:top w:w="15" w:type="dxa"/>
        <w:left w:w="15" w:type="dxa"/>
        <w:bottom w:w="15" w:type="dxa"/>
        <w:right w:w="15" w:type="dxa"/>
      </w:tblCellMar>
    </w:tblPr>
  </w:style>
  <w:style w:type="table" w:customStyle="1" w:styleId="65">
    <w:name w:val="_Style 16"/>
    <w:basedOn w:val="58"/>
    <w:qFormat/>
    <w:uiPriority w:val="0"/>
    <w:tblPr>
      <w:tblCellMar>
        <w:top w:w="15" w:type="dxa"/>
        <w:left w:w="15" w:type="dxa"/>
        <w:bottom w:w="15" w:type="dxa"/>
        <w:right w:w="15" w:type="dxa"/>
      </w:tblCellMar>
    </w:tblPr>
  </w:style>
  <w:style w:type="table" w:customStyle="1" w:styleId="66">
    <w:name w:val="_Style 17"/>
    <w:basedOn w:val="58"/>
    <w:qFormat/>
    <w:uiPriority w:val="0"/>
    <w:tblPr>
      <w:tblCellMar>
        <w:left w:w="115" w:type="dxa"/>
        <w:right w:w="115" w:type="dxa"/>
      </w:tblCellMar>
    </w:tblPr>
  </w:style>
  <w:style w:type="table" w:customStyle="1" w:styleId="67">
    <w:name w:val="_Style 18"/>
    <w:basedOn w:val="58"/>
    <w:qFormat/>
    <w:uiPriority w:val="0"/>
    <w:tblPr>
      <w:tblCellMar>
        <w:left w:w="115" w:type="dxa"/>
        <w:right w:w="115" w:type="dxa"/>
      </w:tblCellMar>
    </w:tblPr>
  </w:style>
  <w:style w:type="table" w:customStyle="1" w:styleId="68">
    <w:name w:val="_Style 19"/>
    <w:basedOn w:val="58"/>
    <w:qFormat/>
    <w:uiPriority w:val="0"/>
    <w:tblPr>
      <w:tblCellMar>
        <w:left w:w="115" w:type="dxa"/>
        <w:right w:w="115" w:type="dxa"/>
      </w:tblCellMar>
    </w:tblPr>
  </w:style>
  <w:style w:type="table" w:customStyle="1" w:styleId="69">
    <w:name w:val="_Style 20"/>
    <w:basedOn w:val="58"/>
    <w:qFormat/>
    <w:uiPriority w:val="0"/>
    <w:tblPr>
      <w:tblCellMar>
        <w:left w:w="115" w:type="dxa"/>
        <w:right w:w="115" w:type="dxa"/>
      </w:tblCellMar>
    </w:tblPr>
  </w:style>
  <w:style w:type="table" w:customStyle="1" w:styleId="70">
    <w:name w:val="_Style 21"/>
    <w:basedOn w:val="58"/>
    <w:qFormat/>
    <w:uiPriority w:val="0"/>
    <w:tblPr>
      <w:tblCellMar>
        <w:left w:w="115" w:type="dxa"/>
        <w:right w:w="115" w:type="dxa"/>
      </w:tblCellMar>
    </w:tblPr>
  </w:style>
  <w:style w:type="table" w:customStyle="1" w:styleId="71">
    <w:name w:val="_Style 22"/>
    <w:basedOn w:val="58"/>
    <w:qFormat/>
    <w:uiPriority w:val="0"/>
    <w:tblPr>
      <w:tblCellMar>
        <w:left w:w="115" w:type="dxa"/>
        <w:right w:w="115" w:type="dxa"/>
      </w:tblCellMar>
    </w:tblPr>
  </w:style>
  <w:style w:type="table" w:customStyle="1" w:styleId="72">
    <w:name w:val="_Style 23"/>
    <w:basedOn w:val="58"/>
    <w:qFormat/>
    <w:uiPriority w:val="0"/>
    <w:tblPr>
      <w:tblCellMar>
        <w:left w:w="115" w:type="dxa"/>
        <w:right w:w="115" w:type="dxa"/>
      </w:tblCellMar>
    </w:tblPr>
  </w:style>
  <w:style w:type="table" w:customStyle="1" w:styleId="73">
    <w:name w:val="_Style 24"/>
    <w:basedOn w:val="58"/>
    <w:qFormat/>
    <w:uiPriority w:val="0"/>
    <w:tblPr>
      <w:tblCellMar>
        <w:left w:w="115" w:type="dxa"/>
        <w:right w:w="115" w:type="dxa"/>
      </w:tblCellMar>
    </w:tblPr>
  </w:style>
  <w:style w:type="table" w:customStyle="1" w:styleId="74">
    <w:name w:val="_Style 25"/>
    <w:basedOn w:val="58"/>
    <w:qFormat/>
    <w:uiPriority w:val="0"/>
    <w:tblPr>
      <w:tblCellMar>
        <w:top w:w="100" w:type="dxa"/>
        <w:left w:w="100" w:type="dxa"/>
        <w:bottom w:w="100" w:type="dxa"/>
        <w:right w:w="100" w:type="dxa"/>
      </w:tblCellMar>
    </w:tblPr>
  </w:style>
  <w:style w:type="paragraph" w:customStyle="1" w:styleId="75">
    <w:name w:val="WPSOffice手动目录 1"/>
    <w:qFormat/>
    <w:uiPriority w:val="0"/>
    <w:pPr>
      <w:spacing w:after="0" w:line="240" w:lineRule="auto"/>
    </w:pPr>
    <w:rPr>
      <w:rFonts w:ascii="Times New Roman" w:hAnsi="Times New Roman" w:eastAsia="宋体" w:cs="Times New Roman"/>
      <w:sz w:val="20"/>
      <w:szCs w:val="20"/>
      <w:lang w:val="en-US" w:eastAsia="zh-CN" w:bidi="ar-SA"/>
    </w:rPr>
  </w:style>
  <w:style w:type="paragraph" w:customStyle="1" w:styleId="76">
    <w:name w:val="EndNote Bibliography Title"/>
    <w:basedOn w:val="1"/>
    <w:link w:val="78"/>
    <w:qFormat/>
    <w:uiPriority w:val="0"/>
    <w:pPr>
      <w:spacing w:before="0" w:after="0" w:line="276" w:lineRule="auto"/>
      <w:jc w:val="center"/>
    </w:pPr>
    <w:rPr>
      <w:rFonts w:eastAsia="Times New Roman" w:cs="Times New Roman"/>
      <w:sz w:val="20"/>
      <w:szCs w:val="24"/>
      <w:lang w:eastAsia="zh-CN"/>
    </w:rPr>
  </w:style>
  <w:style w:type="character" w:customStyle="1" w:styleId="77">
    <w:name w:val="列表段落 字符"/>
    <w:basedOn w:val="25"/>
    <w:link w:val="3"/>
    <w:qFormat/>
    <w:uiPriority w:val="34"/>
    <w:rPr>
      <w:rFonts w:ascii="Times New Roman" w:hAnsi="Times New Roman" w:eastAsia="Cambria" w:cs="Times New Roman"/>
      <w:sz w:val="24"/>
      <w:szCs w:val="24"/>
    </w:rPr>
  </w:style>
  <w:style w:type="character" w:customStyle="1" w:styleId="78">
    <w:name w:val="EndNote Bibliography Title 字符"/>
    <w:basedOn w:val="77"/>
    <w:link w:val="76"/>
    <w:qFormat/>
    <w:uiPriority w:val="0"/>
    <w:rPr>
      <w:rFonts w:ascii="Times New Roman" w:hAnsi="Times New Roman" w:eastAsia="Times New Roman" w:cs="Times New Roman"/>
      <w:sz w:val="20"/>
      <w:szCs w:val="24"/>
      <w:lang w:eastAsia="zh-CN"/>
    </w:rPr>
  </w:style>
  <w:style w:type="paragraph" w:customStyle="1" w:styleId="79">
    <w:name w:val="EndNote Bibliography"/>
    <w:basedOn w:val="1"/>
    <w:link w:val="80"/>
    <w:qFormat/>
    <w:uiPriority w:val="0"/>
    <w:pPr>
      <w:spacing w:before="0" w:after="0"/>
    </w:pPr>
    <w:rPr>
      <w:rFonts w:eastAsia="Times New Roman" w:cs="Arial"/>
      <w:sz w:val="20"/>
      <w:szCs w:val="24"/>
      <w:lang w:val="zh-CN" w:eastAsia="zh-CN"/>
    </w:rPr>
  </w:style>
  <w:style w:type="character" w:customStyle="1" w:styleId="80">
    <w:name w:val="EndNote Bibliography 字符"/>
    <w:basedOn w:val="77"/>
    <w:link w:val="79"/>
    <w:qFormat/>
    <w:uiPriority w:val="0"/>
    <w:rPr>
      <w:rFonts w:ascii="Times New Roman" w:hAnsi="Times New Roman" w:eastAsia="Times New Roman" w:cs="Arial"/>
      <w:sz w:val="20"/>
      <w:szCs w:val="24"/>
      <w:lang w:val="zh-CN" w:eastAsia="zh-CN"/>
    </w:rPr>
  </w:style>
  <w:style w:type="character" w:customStyle="1" w:styleId="81">
    <w:name w:val="未处理的提及1"/>
    <w:basedOn w:val="25"/>
    <w:semiHidden/>
    <w:unhideWhenUsed/>
    <w:qFormat/>
    <w:uiPriority w:val="99"/>
    <w:rPr>
      <w:color w:val="605E5C"/>
      <w:shd w:val="clear" w:color="auto" w:fill="E1DFDD"/>
    </w:rPr>
  </w:style>
  <w:style w:type="character" w:customStyle="1" w:styleId="82">
    <w:name w:val="mtext"/>
    <w:basedOn w:val="25"/>
    <w:qFormat/>
    <w:uiPriority w:val="0"/>
  </w:style>
  <w:style w:type="character" w:customStyle="1" w:styleId="83">
    <w:name w:val="font21"/>
    <w:basedOn w:val="25"/>
    <w:uiPriority w:val="0"/>
    <w:rPr>
      <w:rFonts w:hint="default" w:ascii="Times New Roman" w:hAnsi="Times New Roman" w:cs="Times New Roman"/>
      <w:color w:val="000000"/>
      <w:sz w:val="20"/>
      <w:szCs w:val="20"/>
      <w:u w:val="none"/>
    </w:rPr>
  </w:style>
  <w:style w:type="character" w:customStyle="1" w:styleId="84">
    <w:name w:val="font31"/>
    <w:basedOn w:val="2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Pages>53</Pages>
  <Words>7470</Words>
  <Characters>41213</Characters>
  <Lines>360</Lines>
  <Paragraphs>101</Paragraphs>
  <TotalTime>248</TotalTime>
  <ScaleCrop>false</ScaleCrop>
  <LinksUpToDate>false</LinksUpToDate>
  <CharactersWithSpaces>44491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cp:lastModifiedBy>2022311845</cp:lastModifiedBy>
  <cp:lastPrinted>2013-10-03T12:51:00Z</cp:lastPrinted>
  <dcterms:modified xsi:type="dcterms:W3CDTF">2022-10-24T11:38:12Z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5F9028C622B7445282D1D9B872D3EB69</vt:lpwstr>
  </property>
</Properties>
</file>