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DDBF" w14:textId="11C330C7" w:rsidR="003B640C" w:rsidRPr="0082233C" w:rsidRDefault="003B640C" w:rsidP="0082233C">
      <w:pPr>
        <w:pStyle w:val="1"/>
        <w:jc w:val="center"/>
        <w:rPr>
          <w:rFonts w:ascii="Times New Roman" w:hAnsi="Times New Roman" w:cs="Times New Roman"/>
          <w:noProof/>
        </w:rPr>
      </w:pPr>
      <w:r w:rsidRPr="0082233C">
        <w:rPr>
          <w:rFonts w:ascii="Times New Roman" w:hAnsi="Times New Roman" w:cs="Times New Roman"/>
          <w:noProof/>
        </w:rPr>
        <w:t>Appendix B</w:t>
      </w:r>
    </w:p>
    <w:p w14:paraId="246A60CD" w14:textId="361D1530" w:rsidR="0082233C" w:rsidRPr="0082233C" w:rsidRDefault="0082233C" w:rsidP="00FC0F33">
      <w:pPr>
        <w:rPr>
          <w:rFonts w:ascii="Times New Roman" w:hAnsi="Times New Roman" w:cs="Times New Roman"/>
          <w:b/>
          <w:bCs/>
          <w:noProof/>
        </w:rPr>
      </w:pPr>
      <w:r w:rsidRPr="0082233C">
        <w:rPr>
          <w:rFonts w:ascii="Times New Roman" w:hAnsi="Times New Roman" w:cs="Times New Roman"/>
          <w:b/>
          <w:bCs/>
          <w:noProof/>
        </w:rPr>
        <w:t>Appendix B1</w:t>
      </w:r>
    </w:p>
    <w:p w14:paraId="5E02515B" w14:textId="45C4A7E9" w:rsidR="0054671F" w:rsidRPr="00715073" w:rsidRDefault="004579A5" w:rsidP="00FC0F33">
      <w:pPr>
        <w:rPr>
          <w:rFonts w:ascii="Times New Roman" w:hAnsi="Times New Roman" w:cs="Times New Roman"/>
          <w:noProof/>
        </w:rPr>
      </w:pPr>
      <w:r w:rsidRPr="00715073">
        <w:rPr>
          <w:rFonts w:ascii="Times New Roman" w:hAnsi="Times New Roman" w:cs="Times New Roman"/>
          <w:noProof/>
        </w:rPr>
        <w:t>The Eu/Eu* (</w:t>
      </w:r>
      <w:r w:rsidR="006823B6" w:rsidRPr="00715073">
        <w:rPr>
          <w:rFonts w:ascii="Times New Roman" w:hAnsi="Times New Roman" w:cs="Times New Roman"/>
          <w:noProof/>
        </w:rPr>
        <w:t xml:space="preserve">i.e., </w:t>
      </w:r>
      <w:r w:rsidRPr="00715073">
        <w:rPr>
          <w:rFonts w:ascii="Times New Roman" w:hAnsi="Times New Roman" w:cs="Times New Roman"/>
          <w:noProof/>
        </w:rPr>
        <w:t>Eu</w:t>
      </w:r>
      <w:r w:rsidR="006823B6" w:rsidRPr="00715073">
        <w:rPr>
          <w:rFonts w:ascii="Times New Roman" w:hAnsi="Times New Roman" w:cs="Times New Roman"/>
          <w:noProof/>
          <w:vertAlign w:val="subscript"/>
        </w:rPr>
        <w:t>N</w:t>
      </w:r>
      <w:r w:rsidRPr="00715073">
        <w:rPr>
          <w:rFonts w:ascii="Times New Roman" w:hAnsi="Times New Roman" w:cs="Times New Roman"/>
          <w:noProof/>
        </w:rPr>
        <w:t>/(Sm</w:t>
      </w:r>
      <w:r w:rsidR="006823B6" w:rsidRPr="00715073">
        <w:rPr>
          <w:rFonts w:ascii="Times New Roman" w:hAnsi="Times New Roman" w:cs="Times New Roman"/>
          <w:noProof/>
          <w:vertAlign w:val="subscript"/>
        </w:rPr>
        <w:t>N</w:t>
      </w:r>
      <w:r w:rsidRPr="00715073">
        <w:rPr>
          <w:rFonts w:ascii="Times New Roman" w:hAnsi="Times New Roman" w:cs="Times New Roman"/>
          <w:noProof/>
          <w:vertAlign w:val="superscript"/>
        </w:rPr>
        <w:t>0.5</w:t>
      </w:r>
      <w:r w:rsidRPr="00715073">
        <w:rPr>
          <w:rFonts w:ascii="Times New Roman" w:hAnsi="Times New Roman" w:cs="Times New Roman"/>
          <w:noProof/>
        </w:rPr>
        <w:t>*Gd</w:t>
      </w:r>
      <w:r w:rsidR="006823B6" w:rsidRPr="00715073">
        <w:rPr>
          <w:rFonts w:ascii="Times New Roman" w:hAnsi="Times New Roman" w:cs="Times New Roman"/>
          <w:noProof/>
          <w:vertAlign w:val="subscript"/>
        </w:rPr>
        <w:t>N</w:t>
      </w:r>
      <w:r w:rsidR="006823B6" w:rsidRPr="00715073">
        <w:rPr>
          <w:rFonts w:ascii="Times New Roman" w:hAnsi="Times New Roman" w:cs="Times New Roman"/>
          <w:noProof/>
          <w:vertAlign w:val="superscript"/>
        </w:rPr>
        <w:t xml:space="preserve">0.5 </w:t>
      </w:r>
      <w:r w:rsidR="00F51ADE" w:rsidRPr="00715073">
        <w:rPr>
          <w:rFonts w:ascii="Times New Roman" w:hAnsi="Times New Roman" w:cs="Times New Roman"/>
          <w:noProof/>
        </w:rPr>
        <w:t>) a</w:t>
      </w:r>
      <w:r w:rsidR="006823B6" w:rsidRPr="00715073">
        <w:rPr>
          <w:rFonts w:ascii="Times New Roman" w:hAnsi="Times New Roman" w:cs="Times New Roman"/>
          <w:noProof/>
        </w:rPr>
        <w:t>s all values are chondrite normalized</w:t>
      </w:r>
      <w:r w:rsidRPr="00715073">
        <w:rPr>
          <w:rFonts w:ascii="Times New Roman" w:hAnsi="Times New Roman" w:cs="Times New Roman"/>
          <w:noProof/>
        </w:rPr>
        <w:t>)</w:t>
      </w:r>
      <w:r w:rsidR="006823B6" w:rsidRPr="00715073">
        <w:rPr>
          <w:rFonts w:ascii="Times New Roman" w:hAnsi="Times New Roman" w:cs="Times New Roman"/>
          <w:noProof/>
        </w:rPr>
        <w:t xml:space="preserve"> are mainly between 0.88-1.3 and 93% data are between 0.9-1.2 (</w:t>
      </w:r>
      <w:r w:rsidR="000021F8" w:rsidRPr="00715073">
        <w:rPr>
          <w:rFonts w:ascii="Times New Roman" w:hAnsi="Times New Roman" w:cs="Times New Roman"/>
          <w:noProof/>
        </w:rPr>
        <w:fldChar w:fldCharType="begin"/>
      </w:r>
      <w:r w:rsidR="000021F8" w:rsidRPr="00715073">
        <w:rPr>
          <w:rFonts w:ascii="Times New Roman" w:hAnsi="Times New Roman" w:cs="Times New Roman"/>
          <w:noProof/>
        </w:rPr>
        <w:instrText xml:space="preserve"> REF _Ref106709962 \h </w:instrText>
      </w:r>
      <w:r w:rsidR="00715073">
        <w:rPr>
          <w:rFonts w:ascii="Times New Roman" w:hAnsi="Times New Roman" w:cs="Times New Roman"/>
          <w:noProof/>
        </w:rPr>
        <w:instrText xml:space="preserve"> \* MERGEFORMAT </w:instrText>
      </w:r>
      <w:r w:rsidR="000021F8" w:rsidRPr="00715073">
        <w:rPr>
          <w:rFonts w:ascii="Times New Roman" w:hAnsi="Times New Roman" w:cs="Times New Roman"/>
          <w:noProof/>
        </w:rPr>
      </w:r>
      <w:r w:rsidR="000021F8" w:rsidRPr="00715073">
        <w:rPr>
          <w:rFonts w:ascii="Times New Roman" w:hAnsi="Times New Roman" w:cs="Times New Roman"/>
          <w:noProof/>
        </w:rPr>
        <w:fldChar w:fldCharType="separate"/>
      </w:r>
      <w:r w:rsidR="001545DF" w:rsidRPr="00715073">
        <w:rPr>
          <w:rFonts w:ascii="Times New Roman" w:hAnsi="Times New Roman" w:cs="Times New Roman"/>
        </w:rPr>
        <w:t xml:space="preserve">Fig. B </w:t>
      </w:r>
      <w:r w:rsidR="001545DF" w:rsidRPr="00715073">
        <w:rPr>
          <w:rFonts w:ascii="Times New Roman" w:hAnsi="Times New Roman" w:cs="Times New Roman"/>
          <w:noProof/>
        </w:rPr>
        <w:t>1</w:t>
      </w:r>
      <w:r w:rsidR="000021F8" w:rsidRPr="00715073">
        <w:rPr>
          <w:rFonts w:ascii="Times New Roman" w:hAnsi="Times New Roman" w:cs="Times New Roman"/>
          <w:noProof/>
        </w:rPr>
        <w:fldChar w:fldCharType="end"/>
      </w:r>
      <w:r w:rsidR="000021F8" w:rsidRPr="00715073">
        <w:rPr>
          <w:rFonts w:ascii="Times New Roman" w:hAnsi="Times New Roman" w:cs="Times New Roman"/>
          <w:noProof/>
        </w:rPr>
        <w:t xml:space="preserve"> A, B</w:t>
      </w:r>
      <w:r w:rsidR="006823B6" w:rsidRPr="00715073">
        <w:rPr>
          <w:rFonts w:ascii="Times New Roman" w:hAnsi="Times New Roman" w:cs="Times New Roman"/>
          <w:noProof/>
        </w:rPr>
        <w:t xml:space="preserve">). </w:t>
      </w:r>
      <w:r w:rsidR="00215D63" w:rsidRPr="00715073">
        <w:rPr>
          <w:rFonts w:ascii="Times New Roman" w:hAnsi="Times New Roman" w:cs="Times New Roman"/>
          <w:noProof/>
        </w:rPr>
        <w:t>This confirms very limited plagioclase crystallization discussed in section 2.1. No correlation between Sr/Nd and Eu</w:t>
      </w:r>
      <w:r w:rsidR="00715073" w:rsidRPr="00715073">
        <w:rPr>
          <w:rFonts w:ascii="Times New Roman" w:hAnsi="Times New Roman" w:cs="Times New Roman"/>
          <w:noProof/>
          <w:vertAlign w:val="subscript"/>
        </w:rPr>
        <w:t>N</w:t>
      </w:r>
      <w:r w:rsidR="00215D63" w:rsidRPr="00715073">
        <w:rPr>
          <w:rFonts w:ascii="Times New Roman" w:hAnsi="Times New Roman" w:cs="Times New Roman"/>
          <w:noProof/>
        </w:rPr>
        <w:t>/Eu* (</w:t>
      </w:r>
      <w:r w:rsidR="00215D63" w:rsidRPr="00715073">
        <w:rPr>
          <w:rFonts w:ascii="Times New Roman" w:hAnsi="Times New Roman" w:cs="Times New Roman"/>
          <w:noProof/>
        </w:rPr>
        <w:fldChar w:fldCharType="begin"/>
      </w:r>
      <w:r w:rsidR="00215D63" w:rsidRPr="00715073">
        <w:rPr>
          <w:rFonts w:ascii="Times New Roman" w:hAnsi="Times New Roman" w:cs="Times New Roman"/>
          <w:noProof/>
        </w:rPr>
        <w:instrText xml:space="preserve"> REF _Ref106709962 \h </w:instrText>
      </w:r>
      <w:r w:rsidR="00715073">
        <w:rPr>
          <w:rFonts w:ascii="Times New Roman" w:hAnsi="Times New Roman" w:cs="Times New Roman"/>
          <w:noProof/>
        </w:rPr>
        <w:instrText xml:space="preserve"> \* MERGEFORMAT </w:instrText>
      </w:r>
      <w:r w:rsidR="00215D63" w:rsidRPr="00715073">
        <w:rPr>
          <w:rFonts w:ascii="Times New Roman" w:hAnsi="Times New Roman" w:cs="Times New Roman"/>
          <w:noProof/>
        </w:rPr>
      </w:r>
      <w:r w:rsidR="00215D63" w:rsidRPr="00715073">
        <w:rPr>
          <w:rFonts w:ascii="Times New Roman" w:hAnsi="Times New Roman" w:cs="Times New Roman"/>
          <w:noProof/>
        </w:rPr>
        <w:fldChar w:fldCharType="separate"/>
      </w:r>
      <w:r w:rsidR="001545DF" w:rsidRPr="00715073">
        <w:rPr>
          <w:rFonts w:ascii="Times New Roman" w:hAnsi="Times New Roman" w:cs="Times New Roman"/>
        </w:rPr>
        <w:t xml:space="preserve">Fig. B </w:t>
      </w:r>
      <w:r w:rsidR="001545DF" w:rsidRPr="00715073">
        <w:rPr>
          <w:rFonts w:ascii="Times New Roman" w:hAnsi="Times New Roman" w:cs="Times New Roman"/>
          <w:noProof/>
        </w:rPr>
        <w:t>1</w:t>
      </w:r>
      <w:r w:rsidR="00215D63" w:rsidRPr="00715073">
        <w:rPr>
          <w:rFonts w:ascii="Times New Roman" w:hAnsi="Times New Roman" w:cs="Times New Roman"/>
          <w:noProof/>
        </w:rPr>
        <w:fldChar w:fldCharType="end"/>
      </w:r>
      <w:r w:rsidR="00215D63" w:rsidRPr="00715073">
        <w:rPr>
          <w:rFonts w:ascii="Times New Roman" w:hAnsi="Times New Roman" w:cs="Times New Roman"/>
          <w:noProof/>
        </w:rPr>
        <w:t xml:space="preserve"> C) </w:t>
      </w:r>
      <w:r w:rsidR="00AC3DD4" w:rsidRPr="00715073">
        <w:rPr>
          <w:rFonts w:ascii="Times New Roman" w:hAnsi="Times New Roman" w:cs="Times New Roman"/>
          <w:noProof/>
        </w:rPr>
        <w:t>demonstrates</w:t>
      </w:r>
      <w:r w:rsidR="00215D63" w:rsidRPr="00715073">
        <w:rPr>
          <w:rFonts w:ascii="Times New Roman" w:hAnsi="Times New Roman" w:cs="Times New Roman"/>
          <w:noProof/>
        </w:rPr>
        <w:t xml:space="preserve"> trace element ratios such as Sr/Nd are not affected by crystallization and represent the composition of primitive magmas. </w:t>
      </w:r>
    </w:p>
    <w:p w14:paraId="16A3982F" w14:textId="77777777" w:rsidR="00AC3DD4" w:rsidRPr="003B0081" w:rsidRDefault="00AC3DD4" w:rsidP="00FC0F33">
      <w:pPr>
        <w:rPr>
          <w:noProof/>
        </w:rPr>
      </w:pPr>
    </w:p>
    <w:p w14:paraId="75F50CA9" w14:textId="54F39718" w:rsidR="0054671F" w:rsidRDefault="0054671F" w:rsidP="0054671F"/>
    <w:p w14:paraId="1FF85C8C" w14:textId="16031EC2" w:rsidR="0054671F" w:rsidRDefault="0054671F" w:rsidP="0054671F"/>
    <w:p w14:paraId="30486B3F" w14:textId="0597E709" w:rsidR="0054671F" w:rsidRDefault="00855508" w:rsidP="0054671F">
      <w:r>
        <w:rPr>
          <w:noProof/>
        </w:rPr>
        <w:lastRenderedPageBreak/>
        <w:drawing>
          <wp:inline distT="0" distB="0" distL="0" distR="0" wp14:anchorId="0815A420" wp14:editId="468E912E">
            <wp:extent cx="4244348" cy="718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5096" cy="7184441"/>
                    </a:xfrm>
                    <a:prstGeom prst="rect">
                      <a:avLst/>
                    </a:prstGeom>
                    <a:noFill/>
                    <a:ln>
                      <a:noFill/>
                    </a:ln>
                  </pic:spPr>
                </pic:pic>
              </a:graphicData>
            </a:graphic>
          </wp:inline>
        </w:drawing>
      </w:r>
    </w:p>
    <w:p w14:paraId="78C2F5A0" w14:textId="7CEA015E" w:rsidR="006823B6" w:rsidRPr="005A5070" w:rsidRDefault="006823B6" w:rsidP="006823B6">
      <w:pPr>
        <w:pStyle w:val="a3"/>
        <w:rPr>
          <w:rFonts w:ascii="Times New Roman" w:hAnsi="Times New Roman" w:cs="Times New Roman"/>
        </w:rPr>
      </w:pPr>
      <w:bookmarkStart w:id="0" w:name="_Ref106709962"/>
      <w:r w:rsidRPr="005A5070">
        <w:rPr>
          <w:rFonts w:ascii="Times New Roman" w:hAnsi="Times New Roman" w:cs="Times New Roman"/>
          <w:lang w:val="es-ES"/>
        </w:rPr>
        <w:t xml:space="preserve">Fig. B </w:t>
      </w:r>
      <w:r w:rsidRPr="005A5070">
        <w:rPr>
          <w:rFonts w:ascii="Times New Roman" w:hAnsi="Times New Roman" w:cs="Times New Roman"/>
        </w:rPr>
        <w:fldChar w:fldCharType="begin"/>
      </w:r>
      <w:r w:rsidRPr="005A5070">
        <w:rPr>
          <w:rFonts w:ascii="Times New Roman" w:hAnsi="Times New Roman" w:cs="Times New Roman"/>
          <w:lang w:val="es-ES"/>
        </w:rPr>
        <w:instrText xml:space="preserve"> SEQ Fig._B \* ARABIC </w:instrText>
      </w:r>
      <w:r w:rsidRPr="005A5070">
        <w:rPr>
          <w:rFonts w:ascii="Times New Roman" w:hAnsi="Times New Roman" w:cs="Times New Roman"/>
        </w:rPr>
        <w:fldChar w:fldCharType="separate"/>
      </w:r>
      <w:r w:rsidR="000F6F64" w:rsidRPr="005A5070">
        <w:rPr>
          <w:rFonts w:ascii="Times New Roman" w:hAnsi="Times New Roman" w:cs="Times New Roman"/>
          <w:noProof/>
          <w:lang w:val="es-ES"/>
        </w:rPr>
        <w:t>1</w:t>
      </w:r>
      <w:r w:rsidRPr="005A5070">
        <w:rPr>
          <w:rFonts w:ascii="Times New Roman" w:hAnsi="Times New Roman" w:cs="Times New Roman"/>
        </w:rPr>
        <w:fldChar w:fldCharType="end"/>
      </w:r>
      <w:bookmarkEnd w:id="0"/>
      <w:r w:rsidRPr="005A5070">
        <w:rPr>
          <w:rFonts w:ascii="Times New Roman" w:hAnsi="Times New Roman" w:cs="Times New Roman"/>
          <w:lang w:val="es-ES"/>
        </w:rPr>
        <w:t xml:space="preserve"> </w:t>
      </w:r>
      <w:r w:rsidR="008B02E7" w:rsidRPr="005A5070">
        <w:rPr>
          <w:rFonts w:ascii="Times New Roman" w:hAnsi="Times New Roman" w:cs="Times New Roman"/>
          <w:lang w:val="es-ES"/>
        </w:rPr>
        <w:t xml:space="preserve">(A) </w:t>
      </w:r>
      <w:proofErr w:type="spellStart"/>
      <w:r w:rsidR="008B02E7" w:rsidRPr="005A5070">
        <w:rPr>
          <w:rFonts w:ascii="Times New Roman" w:hAnsi="Times New Roman" w:cs="Times New Roman"/>
          <w:lang w:val="es-ES"/>
        </w:rPr>
        <w:t>Histogram</w:t>
      </w:r>
      <w:proofErr w:type="spellEnd"/>
      <w:r w:rsidR="008B02E7" w:rsidRPr="005A5070">
        <w:rPr>
          <w:rFonts w:ascii="Times New Roman" w:hAnsi="Times New Roman" w:cs="Times New Roman"/>
          <w:lang w:val="es-ES"/>
        </w:rPr>
        <w:t xml:space="preserve"> </w:t>
      </w:r>
      <w:proofErr w:type="spellStart"/>
      <w:r w:rsidR="008B02E7" w:rsidRPr="005A5070">
        <w:rPr>
          <w:rFonts w:ascii="Times New Roman" w:hAnsi="Times New Roman" w:cs="Times New Roman"/>
          <w:lang w:val="es-ES"/>
        </w:rPr>
        <w:t>for</w:t>
      </w:r>
      <w:proofErr w:type="spellEnd"/>
      <w:r w:rsidR="008B02E7" w:rsidRPr="005A5070">
        <w:rPr>
          <w:rFonts w:ascii="Times New Roman" w:hAnsi="Times New Roman" w:cs="Times New Roman"/>
          <w:lang w:val="es-ES"/>
        </w:rPr>
        <w:t xml:space="preserve"> Eu/Eu*. (B) Pareto </w:t>
      </w:r>
      <w:proofErr w:type="spellStart"/>
      <w:r w:rsidR="008B02E7" w:rsidRPr="005A5070">
        <w:rPr>
          <w:rFonts w:ascii="Times New Roman" w:hAnsi="Times New Roman" w:cs="Times New Roman"/>
          <w:lang w:val="es-ES"/>
        </w:rPr>
        <w:t>diagram</w:t>
      </w:r>
      <w:proofErr w:type="spellEnd"/>
      <w:r w:rsidR="008B02E7" w:rsidRPr="005A5070">
        <w:rPr>
          <w:rFonts w:ascii="Times New Roman" w:hAnsi="Times New Roman" w:cs="Times New Roman"/>
          <w:lang w:val="es-ES"/>
        </w:rPr>
        <w:t xml:space="preserve"> </w:t>
      </w:r>
      <w:proofErr w:type="spellStart"/>
      <w:r w:rsidR="008B02E7" w:rsidRPr="005A5070">
        <w:rPr>
          <w:rFonts w:ascii="Times New Roman" w:hAnsi="Times New Roman" w:cs="Times New Roman"/>
          <w:lang w:val="es-ES"/>
        </w:rPr>
        <w:t>for</w:t>
      </w:r>
      <w:proofErr w:type="spellEnd"/>
      <w:r w:rsidR="008B02E7" w:rsidRPr="005A5070">
        <w:rPr>
          <w:rFonts w:ascii="Times New Roman" w:hAnsi="Times New Roman" w:cs="Times New Roman"/>
          <w:lang w:val="es-ES"/>
        </w:rPr>
        <w:t xml:space="preserve"> Eu/Eu*. </w:t>
      </w:r>
      <w:r w:rsidR="008B02E7" w:rsidRPr="005A5070">
        <w:rPr>
          <w:rFonts w:ascii="Times New Roman" w:hAnsi="Times New Roman" w:cs="Times New Roman"/>
        </w:rPr>
        <w:t>(C) Sr/Nd vs Eu/Eu*</w:t>
      </w:r>
      <w:r w:rsidR="000021F8" w:rsidRPr="005A5070">
        <w:rPr>
          <w:rFonts w:ascii="Times New Roman" w:hAnsi="Times New Roman" w:cs="Times New Roman"/>
        </w:rPr>
        <w:t xml:space="preserve">. 36 values from Eastern Lau spreading centre which are bigger than 2 are excluded. </w:t>
      </w:r>
    </w:p>
    <w:p w14:paraId="2DF42FED" w14:textId="0BDF63E7" w:rsidR="0082233C" w:rsidRPr="0082233C" w:rsidRDefault="0082233C" w:rsidP="0082233C"/>
    <w:p w14:paraId="14084F5D" w14:textId="19CB0375" w:rsidR="0082233C" w:rsidRDefault="0082233C" w:rsidP="0082233C"/>
    <w:p w14:paraId="1C5066D7" w14:textId="77777777" w:rsidR="0082233C" w:rsidRPr="0082233C" w:rsidRDefault="0082233C" w:rsidP="0082233C"/>
    <w:p w14:paraId="39B76D02" w14:textId="4CDDB06E" w:rsidR="0082233C" w:rsidRDefault="0082233C" w:rsidP="0082233C">
      <w:pPr>
        <w:rPr>
          <w:i/>
          <w:iCs/>
          <w:color w:val="44546A" w:themeColor="text2"/>
          <w:sz w:val="18"/>
          <w:szCs w:val="18"/>
        </w:rPr>
      </w:pPr>
    </w:p>
    <w:p w14:paraId="6FC64978" w14:textId="3B678911" w:rsidR="0082233C" w:rsidRDefault="0082233C" w:rsidP="0082233C">
      <w:pPr>
        <w:rPr>
          <w:rFonts w:ascii="Times New Roman" w:hAnsi="Times New Roman" w:cs="Times New Roman"/>
          <w:b/>
          <w:bCs/>
        </w:rPr>
      </w:pPr>
      <w:r w:rsidRPr="0082233C">
        <w:rPr>
          <w:rFonts w:ascii="Times New Roman" w:hAnsi="Times New Roman" w:cs="Times New Roman"/>
          <w:b/>
          <w:bCs/>
        </w:rPr>
        <w:lastRenderedPageBreak/>
        <w:t>Appendix B2</w:t>
      </w:r>
    </w:p>
    <w:p w14:paraId="39889AC5" w14:textId="77777777" w:rsidR="003B0081" w:rsidRPr="00715073" w:rsidRDefault="003B0081" w:rsidP="003B0081">
      <w:pPr>
        <w:rPr>
          <w:rFonts w:ascii="Times New Roman" w:hAnsi="Times New Roman" w:cs="Times New Roman"/>
          <w:noProof/>
        </w:rPr>
      </w:pPr>
      <w:r w:rsidRPr="00715073">
        <w:rPr>
          <w:rFonts w:ascii="Times New Roman" w:hAnsi="Times New Roman" w:cs="Times New Roman"/>
          <w:noProof/>
        </w:rPr>
        <w:t>The indices of aqueous fluid such as Ba/Nb and Sr/Nd is not correlated with Ba in subducting sediments and Sr in subducting sediments respectively (</w:t>
      </w:r>
      <w:r w:rsidRPr="00715073">
        <w:rPr>
          <w:rFonts w:ascii="Times New Roman" w:hAnsi="Times New Roman" w:cs="Times New Roman"/>
          <w:noProof/>
        </w:rPr>
        <w:fldChar w:fldCharType="begin"/>
      </w:r>
      <w:r w:rsidRPr="00715073">
        <w:rPr>
          <w:rFonts w:ascii="Times New Roman" w:hAnsi="Times New Roman" w:cs="Times New Roman"/>
          <w:noProof/>
        </w:rPr>
        <w:instrText xml:space="preserve"> REF _Ref106707744 \h </w:instrText>
      </w:r>
      <w:r>
        <w:rPr>
          <w:rFonts w:ascii="Times New Roman" w:hAnsi="Times New Roman" w:cs="Times New Roman"/>
          <w:noProof/>
        </w:rPr>
        <w:instrText xml:space="preserve"> \* MERGEFORMAT </w:instrText>
      </w:r>
      <w:r w:rsidRPr="00715073">
        <w:rPr>
          <w:rFonts w:ascii="Times New Roman" w:hAnsi="Times New Roman" w:cs="Times New Roman"/>
          <w:noProof/>
        </w:rPr>
      </w:r>
      <w:r w:rsidRPr="00715073">
        <w:rPr>
          <w:rFonts w:ascii="Times New Roman" w:hAnsi="Times New Roman" w:cs="Times New Roman"/>
          <w:noProof/>
        </w:rPr>
        <w:fldChar w:fldCharType="separate"/>
      </w:r>
      <w:r w:rsidRPr="00715073">
        <w:rPr>
          <w:rFonts w:ascii="Times New Roman" w:hAnsi="Times New Roman" w:cs="Times New Roman"/>
        </w:rPr>
        <w:t xml:space="preserve">Fig. B </w:t>
      </w:r>
      <w:r w:rsidRPr="00715073">
        <w:rPr>
          <w:rFonts w:ascii="Times New Roman" w:hAnsi="Times New Roman" w:cs="Times New Roman"/>
          <w:noProof/>
        </w:rPr>
        <w:t>2</w:t>
      </w:r>
      <w:r w:rsidRPr="00715073">
        <w:rPr>
          <w:rFonts w:ascii="Times New Roman" w:hAnsi="Times New Roman" w:cs="Times New Roman"/>
          <w:noProof/>
        </w:rPr>
        <w:fldChar w:fldCharType="end"/>
      </w:r>
      <w:r w:rsidRPr="00715073">
        <w:rPr>
          <w:rFonts w:ascii="Times New Roman" w:hAnsi="Times New Roman" w:cs="Times New Roman"/>
          <w:noProof/>
        </w:rPr>
        <w:t xml:space="preserve">). Similarly, Th/Nb has no correlation with Th in sediments. The ratio Ba/La is positively correlated with the Ba content in subducting sediments. </w:t>
      </w:r>
      <w:bookmarkStart w:id="1" w:name="_Hlk106827038"/>
      <w:r w:rsidRPr="00715073">
        <w:rPr>
          <w:rFonts w:ascii="Times New Roman" w:hAnsi="Times New Roman" w:cs="Times New Roman"/>
          <w:noProof/>
        </w:rPr>
        <w:t xml:space="preserve">All these trace element ratios are not correlated with sediment thickness. These indicate trace element ratios especially Ba/Nb, Sr/Nd, and Th/Nb are not controlled by the composition and amount of sediment subducted and they can be used to find the relationship between physical parameters of subduction and the </w:t>
      </w:r>
      <w:r>
        <w:rPr>
          <w:rFonts w:ascii="Times New Roman" w:hAnsi="Times New Roman" w:cs="Times New Roman"/>
          <w:noProof/>
        </w:rPr>
        <w:t xml:space="preserve">volume of </w:t>
      </w:r>
      <w:r w:rsidRPr="00715073">
        <w:rPr>
          <w:rFonts w:ascii="Times New Roman" w:hAnsi="Times New Roman" w:cs="Times New Roman"/>
          <w:noProof/>
        </w:rPr>
        <w:t>slab component in mantle source.</w:t>
      </w:r>
    </w:p>
    <w:bookmarkEnd w:id="1"/>
    <w:p w14:paraId="74AEF089" w14:textId="7D3A9CCF" w:rsidR="00AC3DD4" w:rsidRDefault="008C4FF2" w:rsidP="00AC3DD4">
      <w:r>
        <w:rPr>
          <w:noProof/>
        </w:rPr>
        <w:drawing>
          <wp:inline distT="0" distB="0" distL="0" distR="0" wp14:anchorId="4C9EAB7B" wp14:editId="34EB25DF">
            <wp:extent cx="5731510" cy="567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670550"/>
                    </a:xfrm>
                    <a:prstGeom prst="rect">
                      <a:avLst/>
                    </a:prstGeom>
                  </pic:spPr>
                </pic:pic>
              </a:graphicData>
            </a:graphic>
          </wp:inline>
        </w:drawing>
      </w:r>
    </w:p>
    <w:p w14:paraId="67D35504" w14:textId="61409478" w:rsidR="000F6F64" w:rsidRDefault="00AC3DD4" w:rsidP="00847837">
      <w:pPr>
        <w:pStyle w:val="a3"/>
        <w:rPr>
          <w:rFonts w:ascii="Times New Roman" w:hAnsi="Times New Roman" w:cs="Times New Roman"/>
        </w:rPr>
      </w:pPr>
      <w:bookmarkStart w:id="2" w:name="_Ref106707744"/>
      <w:r w:rsidRPr="00E61233">
        <w:rPr>
          <w:rFonts w:ascii="Times New Roman" w:hAnsi="Times New Roman" w:cs="Times New Roman"/>
        </w:rPr>
        <w:t xml:space="preserve">Fig. B </w:t>
      </w:r>
      <w:r w:rsidRPr="00E61233">
        <w:rPr>
          <w:rFonts w:ascii="Times New Roman" w:hAnsi="Times New Roman" w:cs="Times New Roman"/>
        </w:rPr>
        <w:fldChar w:fldCharType="begin"/>
      </w:r>
      <w:r w:rsidRPr="00E61233">
        <w:rPr>
          <w:rFonts w:ascii="Times New Roman" w:hAnsi="Times New Roman" w:cs="Times New Roman"/>
        </w:rPr>
        <w:instrText xml:space="preserve"> SEQ Fig._B \* ARABIC </w:instrText>
      </w:r>
      <w:r w:rsidRPr="00E61233">
        <w:rPr>
          <w:rFonts w:ascii="Times New Roman" w:hAnsi="Times New Roman" w:cs="Times New Roman"/>
        </w:rPr>
        <w:fldChar w:fldCharType="separate"/>
      </w:r>
      <w:r w:rsidR="000F6F64">
        <w:rPr>
          <w:rFonts w:ascii="Times New Roman" w:hAnsi="Times New Roman" w:cs="Times New Roman"/>
          <w:noProof/>
        </w:rPr>
        <w:t>2</w:t>
      </w:r>
      <w:r w:rsidRPr="00E61233">
        <w:rPr>
          <w:rFonts w:ascii="Times New Roman" w:hAnsi="Times New Roman" w:cs="Times New Roman"/>
          <w:noProof/>
        </w:rPr>
        <w:fldChar w:fldCharType="end"/>
      </w:r>
      <w:bookmarkEnd w:id="2"/>
      <w:r w:rsidRPr="00E61233">
        <w:rPr>
          <w:rFonts w:ascii="Times New Roman" w:hAnsi="Times New Roman" w:cs="Times New Roman"/>
        </w:rPr>
        <w:t xml:space="preserve"> Indices of slab components in frontal arcs vs trace elements in subducting sediments or sediment thickness. The sediments are from </w:t>
      </w:r>
      <w:r w:rsidRPr="00E61233">
        <w:rPr>
          <w:rFonts w:ascii="Times New Roman" w:hAnsi="Times New Roman" w:cs="Times New Roman"/>
        </w:rPr>
        <w:fldChar w:fldCharType="begin" w:fldLock="1"/>
      </w:r>
      <w:r w:rsidRPr="00E61233">
        <w:rPr>
          <w:rFonts w:ascii="Times New Roman" w:hAnsi="Times New Roman" w:cs="Times New Roman"/>
        </w:rPr>
        <w:instrText>ADDIN CSL_CITATION {"citationItems":[{"id":"ITEM-1","itemData":{"DOI":"10.1016/B978-0-08-095975-7.00319-3","ISBN":"9780080983004","abstract":"More than a decade since the estimation of global subducting sediment (GLOSS), an expanding inductively coupled plasma mass spectrometry dataset for trace elements motivates a new assessment of the bulk sediment flux into deep-sea trenches and an update, GLOSS-II. The specific focus here is on key elements in solid earth recycling that are now better constrained by new data: Li, Be, B, Nb, Ta, Pb, Th, and U. The abundances of these elements reflect, to first order, dilution of continental detritus by biogenic opal and carbonate and, second, various continental and marine processes, such as the extent of continental weathering (Li/K2O), hydrogenous versus hydrothermal oxides (Pb/Fe), biophosphate accumulation and exposure age on the seafloor (Th and U), and organic carbon burial (U). The Be/K2O ratio (0.86±0.04) and Nb/Ta ratio (14±1) of terrigenous marine sediments reflect average upper continental crust and indeed refine those estimates. Given these new systematics, along with newly published data, revised bulk sediment compositions are calculated for 16 of the 25 trenches included in GLOSS. Two major additional margins are newly assessed (New Zealand-Hikurangi and Chile). Many element budgets are substantially revised for individual trenches, particularly Rb, Cs, Nb, and Pb. A new global weighted average, GLOSS-II, is similar to GLOSS (within 10% relative abundance) for many elements, with more significant changes (up to 50%) in Rb, Cs, Rb/Sr, Nd/Hf, and U/Th. The updated trench estimates provide new insights into sediment recycling at subduction zones, particularly for Li, Be, and Nb. The mass flux of Li subducted into different trenches correlates strongly with the Li/Y ratio in adjacent volcanic arcs, pointing to a direct control on Li enrichment in arcs by subducted sediment. Such a control may be consistent with Li-isotope variations in some arcs, with little fractionation required in the slab or mantle. On the other hand, arcs do not reflect the common Be/K2O ratio of most sediments and show fractionation to higher and lower ratios. These fractionations may relate to the different thermal structure of different slabs and/or subducted sediment versus basalt contributions. Sediments vary significantly in their Nb anomaly (i.e., Nb depletion with respect to La and Th), and some arcs inherit the sedimentary Nb anomaly (e.g., South Sandwich) with no new fractionation in the subduction zone, while others (e.g., Marianas and Aleutians) likely require r…","author":[{"dropping-particle":"","family":"Plank","given":"T.","non-dropping-particle":"","parse-names":false,"suffix":""}],"container-title":"Treatise on Geochemistry: Second Edition","edition":"2","id":"ITEM-1","issued":{"date-parts":[["2013"]]},"number-of-pages":"607-629","publisher":"Elsevier Ltd.","title":"The Chemical Composition of Subducting Sediments","type":"book","volume":"4"},"uris":["http://www.mendeley.com/documents/?uuid=b532b5b9-5c53-40bf-887c-f7b66121ca61"]}],"mendeley":{"formattedCitation":"(Plank, 2013)","manualFormatting":"Plank, 2013","plainTextFormattedCitation":"(Plank, 2013)","previouslyFormattedCitation":"(Plank, 2013)"},"properties":{"noteIndex":0},"schema":"https://github.com/citation-style-language/schema/raw/master/csl-citation.json"}</w:instrText>
      </w:r>
      <w:r w:rsidRPr="00E61233">
        <w:rPr>
          <w:rFonts w:ascii="Times New Roman" w:hAnsi="Times New Roman" w:cs="Times New Roman"/>
        </w:rPr>
        <w:fldChar w:fldCharType="separate"/>
      </w:r>
      <w:r w:rsidRPr="00E61233">
        <w:rPr>
          <w:rFonts w:ascii="Times New Roman" w:hAnsi="Times New Roman" w:cs="Times New Roman"/>
          <w:noProof/>
        </w:rPr>
        <w:t>Plank, 2013</w:t>
      </w:r>
      <w:r w:rsidRPr="00E61233">
        <w:rPr>
          <w:rFonts w:ascii="Times New Roman" w:hAnsi="Times New Roman" w:cs="Times New Roman"/>
        </w:rPr>
        <w:fldChar w:fldCharType="end"/>
      </w:r>
      <w:r w:rsidRPr="00E61233">
        <w:rPr>
          <w:rFonts w:ascii="Times New Roman" w:hAnsi="Times New Roman" w:cs="Times New Roman"/>
        </w:rPr>
        <w:t>.</w:t>
      </w:r>
    </w:p>
    <w:p w14:paraId="058C9D1C" w14:textId="3A0D86EA" w:rsidR="00A4534E" w:rsidRDefault="00A4534E" w:rsidP="00A4534E">
      <w:pPr>
        <w:rPr>
          <w:rFonts w:ascii="Times New Roman" w:hAnsi="Times New Roman" w:cs="Times New Roman"/>
          <w:i/>
          <w:iCs/>
          <w:color w:val="44546A" w:themeColor="text2"/>
          <w:sz w:val="18"/>
          <w:szCs w:val="18"/>
        </w:rPr>
      </w:pPr>
    </w:p>
    <w:p w14:paraId="33FDA270" w14:textId="244D7DF4" w:rsidR="00C63BF3" w:rsidRDefault="00C63BF3" w:rsidP="00A4534E">
      <w:pPr>
        <w:rPr>
          <w:rFonts w:ascii="Times New Roman" w:hAnsi="Times New Roman" w:cs="Times New Roman"/>
          <w:i/>
          <w:iCs/>
          <w:color w:val="44546A" w:themeColor="text2"/>
          <w:sz w:val="18"/>
          <w:szCs w:val="18"/>
        </w:rPr>
      </w:pPr>
    </w:p>
    <w:p w14:paraId="4BE5B642" w14:textId="468DD9CB" w:rsidR="00C63BF3" w:rsidRDefault="00C63BF3" w:rsidP="00A4534E">
      <w:pPr>
        <w:rPr>
          <w:rFonts w:ascii="Times New Roman" w:hAnsi="Times New Roman" w:cs="Times New Roman"/>
          <w:i/>
          <w:iCs/>
          <w:color w:val="44546A" w:themeColor="text2"/>
          <w:sz w:val="18"/>
          <w:szCs w:val="18"/>
        </w:rPr>
      </w:pPr>
    </w:p>
    <w:p w14:paraId="648DC7D4" w14:textId="77777777" w:rsidR="00C63BF3" w:rsidRDefault="00C63BF3" w:rsidP="00A4534E">
      <w:pPr>
        <w:rPr>
          <w:rFonts w:ascii="Times New Roman" w:hAnsi="Times New Roman" w:cs="Times New Roman" w:hint="eastAsia"/>
          <w:i/>
          <w:iCs/>
          <w:color w:val="44546A" w:themeColor="text2"/>
          <w:sz w:val="18"/>
          <w:szCs w:val="18"/>
        </w:rPr>
      </w:pPr>
    </w:p>
    <w:p w14:paraId="3ECB3CAB" w14:textId="3A518AE0" w:rsidR="00A4534E" w:rsidRPr="00A4534E" w:rsidRDefault="00A4534E" w:rsidP="00A4534E">
      <w:pPr>
        <w:rPr>
          <w:rFonts w:ascii="Times New Roman" w:hAnsi="Times New Roman" w:cs="Times New Roman"/>
          <w:b/>
          <w:bCs/>
        </w:rPr>
      </w:pPr>
      <w:r w:rsidRPr="00A4534E">
        <w:rPr>
          <w:rFonts w:ascii="Times New Roman" w:hAnsi="Times New Roman" w:cs="Times New Roman"/>
          <w:b/>
          <w:bCs/>
        </w:rPr>
        <w:lastRenderedPageBreak/>
        <w:t>Appendix B3</w:t>
      </w:r>
    </w:p>
    <w:p w14:paraId="6549771C" w14:textId="7B22F420" w:rsidR="00A4534E" w:rsidRPr="005A5070" w:rsidRDefault="005A5070" w:rsidP="00A4534E">
      <w:pPr>
        <w:rPr>
          <w:rFonts w:ascii="Times New Roman" w:hAnsi="Times New Roman" w:cs="Times New Roman"/>
        </w:rPr>
      </w:pPr>
      <w:r w:rsidRPr="005A5070">
        <w:rPr>
          <w:rFonts w:ascii="Times New Roman" w:hAnsi="Times New Roman" w:cs="Times New Roman"/>
        </w:rPr>
        <w:t>Slab dip negatively correlates with crustal thickness, especially for frontal arcs</w:t>
      </w:r>
      <w:r>
        <w:rPr>
          <w:rFonts w:ascii="Times New Roman" w:hAnsi="Times New Roman" w:cs="Times New Roman"/>
        </w:rPr>
        <w:t xml:space="preserve"> (</w:t>
      </w:r>
      <w:r w:rsidR="009C1C6B">
        <w:rPr>
          <w:rFonts w:ascii="Times New Roman" w:hAnsi="Times New Roman" w:cs="Times New Roman"/>
        </w:rPr>
        <w:t>Fig. B3</w:t>
      </w:r>
      <w:r>
        <w:rPr>
          <w:rFonts w:ascii="Times New Roman" w:hAnsi="Times New Roman" w:cs="Times New Roman"/>
        </w:rPr>
        <w:t>)</w:t>
      </w:r>
      <w:r w:rsidRPr="005A5070">
        <w:rPr>
          <w:rFonts w:ascii="Times New Roman" w:hAnsi="Times New Roman" w:cs="Times New Roman"/>
        </w:rPr>
        <w:t xml:space="preserve">. </w:t>
      </w:r>
    </w:p>
    <w:p w14:paraId="24212D81" w14:textId="5EAAB06C" w:rsidR="00AC3DD4" w:rsidRDefault="00A4534E" w:rsidP="00AC3DD4">
      <w:pPr>
        <w:rPr>
          <w:rFonts w:ascii="Times New Roman" w:hAnsi="Times New Roman" w:cs="Times New Roman"/>
        </w:rPr>
      </w:pPr>
      <w:r>
        <w:rPr>
          <w:rFonts w:ascii="Times New Roman" w:hAnsi="Times New Roman" w:cs="Times New Roman"/>
          <w:noProof/>
        </w:rPr>
        <w:drawing>
          <wp:inline distT="0" distB="0" distL="0" distR="0" wp14:anchorId="0275CE55" wp14:editId="59D47110">
            <wp:extent cx="3408045" cy="281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810510"/>
                    </a:xfrm>
                    <a:prstGeom prst="rect">
                      <a:avLst/>
                    </a:prstGeom>
                    <a:noFill/>
                  </pic:spPr>
                </pic:pic>
              </a:graphicData>
            </a:graphic>
          </wp:inline>
        </w:drawing>
      </w:r>
    </w:p>
    <w:p w14:paraId="553F0549" w14:textId="5F52754D" w:rsidR="005A5070" w:rsidRPr="005A5070" w:rsidRDefault="005A5070" w:rsidP="00AC3DD4">
      <w:pPr>
        <w:rPr>
          <w:rFonts w:ascii="Times New Roman" w:hAnsi="Times New Roman" w:cs="Times New Roman"/>
          <w:i/>
          <w:iCs/>
          <w:color w:val="44546A" w:themeColor="text2"/>
          <w:sz w:val="18"/>
          <w:szCs w:val="18"/>
        </w:rPr>
      </w:pPr>
      <w:r w:rsidRPr="005A5070">
        <w:rPr>
          <w:rFonts w:ascii="Times New Roman" w:hAnsi="Times New Roman" w:cs="Times New Roman"/>
          <w:i/>
          <w:iCs/>
          <w:color w:val="44546A" w:themeColor="text2"/>
          <w:sz w:val="18"/>
          <w:szCs w:val="18"/>
        </w:rPr>
        <w:t>Fig. B3 The correlation between crustal thickness and slab dip.</w:t>
      </w:r>
    </w:p>
    <w:p w14:paraId="6D25DAA2" w14:textId="77777777" w:rsidR="005A5070" w:rsidRPr="00E61233" w:rsidRDefault="005A5070" w:rsidP="00AC3DD4">
      <w:pPr>
        <w:rPr>
          <w:rFonts w:ascii="Times New Roman" w:hAnsi="Times New Roman" w:cs="Times New Roman"/>
        </w:rPr>
      </w:pPr>
    </w:p>
    <w:p w14:paraId="262978AB" w14:textId="24B79E2E" w:rsidR="00AC3DD4" w:rsidRPr="00E61233" w:rsidRDefault="001545DF" w:rsidP="00AC3DD4">
      <w:pPr>
        <w:rPr>
          <w:rFonts w:ascii="Times New Roman" w:hAnsi="Times New Roman" w:cs="Times New Roman"/>
        </w:rPr>
      </w:pPr>
      <w:r w:rsidRPr="00E61233">
        <w:rPr>
          <w:rFonts w:ascii="Times New Roman" w:hAnsi="Times New Roman" w:cs="Times New Roman"/>
        </w:rPr>
        <w:t>Reference:</w:t>
      </w:r>
    </w:p>
    <w:p w14:paraId="4F91FA30" w14:textId="0F798471" w:rsidR="00162707" w:rsidRPr="00E61233" w:rsidRDefault="00162707" w:rsidP="00162707">
      <w:pPr>
        <w:widowControl w:val="0"/>
        <w:autoSpaceDE w:val="0"/>
        <w:autoSpaceDN w:val="0"/>
        <w:adjustRightInd w:val="0"/>
        <w:spacing w:line="240" w:lineRule="auto"/>
        <w:ind w:left="480" w:hanging="480"/>
        <w:rPr>
          <w:rFonts w:ascii="Times New Roman" w:hAnsi="Times New Roman" w:cs="Times New Roman"/>
          <w:noProof/>
        </w:rPr>
      </w:pPr>
      <w:r w:rsidRPr="00E61233">
        <w:rPr>
          <w:rFonts w:ascii="Times New Roman" w:hAnsi="Times New Roman" w:cs="Times New Roman"/>
        </w:rPr>
        <w:fldChar w:fldCharType="begin" w:fldLock="1"/>
      </w:r>
      <w:r w:rsidRPr="00E61233">
        <w:rPr>
          <w:rFonts w:ascii="Times New Roman" w:hAnsi="Times New Roman" w:cs="Times New Roman"/>
        </w:rPr>
        <w:instrText xml:space="preserve">ADDIN Mendeley Bibliography CSL_BIBLIOGRAPHY </w:instrText>
      </w:r>
      <w:r w:rsidRPr="00E61233">
        <w:rPr>
          <w:rFonts w:ascii="Times New Roman" w:hAnsi="Times New Roman" w:cs="Times New Roman"/>
        </w:rPr>
        <w:fldChar w:fldCharType="separate"/>
      </w:r>
      <w:r w:rsidRPr="00E61233">
        <w:rPr>
          <w:rFonts w:ascii="Times New Roman" w:hAnsi="Times New Roman" w:cs="Times New Roman"/>
          <w:noProof/>
          <w:szCs w:val="24"/>
        </w:rPr>
        <w:t>Plank, T., 2013. The Chemical Composition of Subducting Sediments, 2nd ed, Treatise on Geochemistry: Second Edition. Elsevier Ltd. https://doi.org/10.1016/B978-0-08-095975-7.00319-3</w:t>
      </w:r>
    </w:p>
    <w:p w14:paraId="2F4B97A3" w14:textId="05BF1AF3" w:rsidR="00162707" w:rsidRPr="00162707" w:rsidRDefault="00162707" w:rsidP="00162707">
      <w:r w:rsidRPr="00E61233">
        <w:rPr>
          <w:rFonts w:ascii="Times New Roman" w:hAnsi="Times New Roman" w:cs="Times New Roman"/>
        </w:rPr>
        <w:fldChar w:fldCharType="end"/>
      </w:r>
    </w:p>
    <w:sectPr w:rsidR="00162707" w:rsidRPr="001627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7888" w14:textId="77777777" w:rsidR="00D123F8" w:rsidRDefault="00D123F8" w:rsidP="00617D2D">
      <w:pPr>
        <w:spacing w:after="0" w:line="240" w:lineRule="auto"/>
      </w:pPr>
      <w:r>
        <w:separator/>
      </w:r>
    </w:p>
  </w:endnote>
  <w:endnote w:type="continuationSeparator" w:id="0">
    <w:p w14:paraId="05D45F9F" w14:textId="77777777" w:rsidR="00D123F8" w:rsidRDefault="00D123F8" w:rsidP="0061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6453" w14:textId="77777777" w:rsidR="00D123F8" w:rsidRDefault="00D123F8" w:rsidP="00617D2D">
      <w:pPr>
        <w:spacing w:after="0" w:line="240" w:lineRule="auto"/>
      </w:pPr>
      <w:r>
        <w:separator/>
      </w:r>
    </w:p>
  </w:footnote>
  <w:footnote w:type="continuationSeparator" w:id="0">
    <w:p w14:paraId="3D5FEDF0" w14:textId="77777777" w:rsidR="00D123F8" w:rsidRDefault="00D123F8" w:rsidP="0061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0A61" w14:textId="05B6343F" w:rsidR="00617D2D" w:rsidRDefault="00617D2D" w:rsidP="00617D2D">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2513"/>
    <w:rsid w:val="000021F8"/>
    <w:rsid w:val="000D1E3E"/>
    <w:rsid w:val="000F6F64"/>
    <w:rsid w:val="001545DF"/>
    <w:rsid w:val="00162707"/>
    <w:rsid w:val="00197B45"/>
    <w:rsid w:val="00215D63"/>
    <w:rsid w:val="00250D71"/>
    <w:rsid w:val="00266389"/>
    <w:rsid w:val="003573D2"/>
    <w:rsid w:val="003A2523"/>
    <w:rsid w:val="003B0081"/>
    <w:rsid w:val="003B640C"/>
    <w:rsid w:val="003C6D60"/>
    <w:rsid w:val="004579A5"/>
    <w:rsid w:val="0054671F"/>
    <w:rsid w:val="00551C86"/>
    <w:rsid w:val="00583E3A"/>
    <w:rsid w:val="005A5070"/>
    <w:rsid w:val="00617D2D"/>
    <w:rsid w:val="00672066"/>
    <w:rsid w:val="006823B6"/>
    <w:rsid w:val="006A3E74"/>
    <w:rsid w:val="006D12B9"/>
    <w:rsid w:val="006D66B7"/>
    <w:rsid w:val="00715073"/>
    <w:rsid w:val="007B2513"/>
    <w:rsid w:val="007D4005"/>
    <w:rsid w:val="007E71BF"/>
    <w:rsid w:val="008158DC"/>
    <w:rsid w:val="0082233C"/>
    <w:rsid w:val="00847837"/>
    <w:rsid w:val="00855508"/>
    <w:rsid w:val="00885737"/>
    <w:rsid w:val="008B02E7"/>
    <w:rsid w:val="008B309D"/>
    <w:rsid w:val="008C4FF2"/>
    <w:rsid w:val="00982C0B"/>
    <w:rsid w:val="009B259F"/>
    <w:rsid w:val="009C1C6B"/>
    <w:rsid w:val="009D1A35"/>
    <w:rsid w:val="00A4534E"/>
    <w:rsid w:val="00A5324F"/>
    <w:rsid w:val="00AA3CBD"/>
    <w:rsid w:val="00AC3DD4"/>
    <w:rsid w:val="00B30816"/>
    <w:rsid w:val="00C63BF3"/>
    <w:rsid w:val="00C970DB"/>
    <w:rsid w:val="00D123F8"/>
    <w:rsid w:val="00DF320C"/>
    <w:rsid w:val="00E61233"/>
    <w:rsid w:val="00F51ADE"/>
    <w:rsid w:val="00F77A78"/>
    <w:rsid w:val="00FC0F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2087"/>
  <w15:chartTrackingRefBased/>
  <w15:docId w15:val="{CA9CF385-447A-4030-BF4F-48B78374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2707"/>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C0F33"/>
    <w:pPr>
      <w:spacing w:after="200" w:line="240" w:lineRule="auto"/>
    </w:pPr>
    <w:rPr>
      <w:i/>
      <w:iCs/>
      <w:color w:val="44546A" w:themeColor="text2"/>
      <w:sz w:val="18"/>
      <w:szCs w:val="18"/>
    </w:rPr>
  </w:style>
  <w:style w:type="character" w:customStyle="1" w:styleId="10">
    <w:name w:val="标题 1 字符"/>
    <w:basedOn w:val="a0"/>
    <w:link w:val="1"/>
    <w:uiPriority w:val="9"/>
    <w:rsid w:val="00162707"/>
    <w:rPr>
      <w:rFonts w:asciiTheme="majorHAnsi" w:eastAsiaTheme="majorEastAsia" w:hAnsiTheme="majorHAnsi" w:cstheme="majorBidi"/>
      <w:color w:val="2F5496" w:themeColor="accent1" w:themeShade="BF"/>
      <w:sz w:val="32"/>
      <w:szCs w:val="32"/>
      <w:lang w:val="en-US" w:eastAsia="en-US"/>
    </w:rPr>
  </w:style>
  <w:style w:type="paragraph" w:styleId="a4">
    <w:name w:val="header"/>
    <w:basedOn w:val="a"/>
    <w:link w:val="a5"/>
    <w:uiPriority w:val="99"/>
    <w:unhideWhenUsed/>
    <w:rsid w:val="00617D2D"/>
    <w:pPr>
      <w:tabs>
        <w:tab w:val="center" w:pos="4513"/>
        <w:tab w:val="right" w:pos="9026"/>
      </w:tabs>
      <w:spacing w:after="0" w:line="240" w:lineRule="auto"/>
    </w:pPr>
  </w:style>
  <w:style w:type="character" w:customStyle="1" w:styleId="a5">
    <w:name w:val="页眉 字符"/>
    <w:basedOn w:val="a0"/>
    <w:link w:val="a4"/>
    <w:uiPriority w:val="99"/>
    <w:rsid w:val="00617D2D"/>
  </w:style>
  <w:style w:type="paragraph" w:styleId="a6">
    <w:name w:val="footer"/>
    <w:basedOn w:val="a"/>
    <w:link w:val="a7"/>
    <w:uiPriority w:val="99"/>
    <w:unhideWhenUsed/>
    <w:rsid w:val="00617D2D"/>
    <w:pPr>
      <w:tabs>
        <w:tab w:val="center" w:pos="4513"/>
        <w:tab w:val="right" w:pos="9026"/>
      </w:tabs>
      <w:spacing w:after="0" w:line="240" w:lineRule="auto"/>
    </w:pPr>
  </w:style>
  <w:style w:type="character" w:customStyle="1" w:styleId="a7">
    <w:name w:val="页脚 字符"/>
    <w:basedOn w:val="a0"/>
    <w:link w:val="a6"/>
    <w:uiPriority w:val="99"/>
    <w:rsid w:val="0061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8D0C-48EA-4C2D-823B-71F3E129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Wang</dc:creator>
  <cp:keywords/>
  <dc:description/>
  <cp:lastModifiedBy>王 建</cp:lastModifiedBy>
  <cp:revision>24</cp:revision>
  <dcterms:created xsi:type="dcterms:W3CDTF">2022-06-21T02:11:00Z</dcterms:created>
  <dcterms:modified xsi:type="dcterms:W3CDTF">2022-12-17T07:20:00Z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37c40486-10a6-3fc9-93a1-697563549883</vt:lpwstr>
  </property>
  <property fmtid="{D5CDD505-2E9C-101B-9397-08002B2CF9AE}" pid="4" name="Mendeley Citation Style_1">
    <vt:lpwstr>http://www.zotero.org/styles/lithos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17th edition (full note)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http://www.zotero.org/styles/frontiers-in-earth-science</vt:lpwstr>
  </property>
  <property fmtid="{D5CDD505-2E9C-101B-9397-08002B2CF9AE}" pid="12" name="Mendeley Recent Style Name 3_1">
    <vt:lpwstr>Frontiers in Earth Science</vt:lpwstr>
  </property>
  <property fmtid="{D5CDD505-2E9C-101B-9397-08002B2CF9AE}" pid="13" name="Mendeley Recent Style Id 4_1">
    <vt:lpwstr>http://www.zotero.org/styles/gondwana-research</vt:lpwstr>
  </property>
  <property fmtid="{D5CDD505-2E9C-101B-9397-08002B2CF9AE}" pid="14" name="Mendeley Recent Style Name 4_1">
    <vt:lpwstr>Gondwana Research</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http://www.zotero.org/styles/lithos</vt:lpwstr>
  </property>
  <property fmtid="{D5CDD505-2E9C-101B-9397-08002B2CF9AE}" pid="18" name="Mendeley Recent Style Name 6_1">
    <vt:lpwstr>LITHOS</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http://www.zotero.org/styles/science-china-earth-sciences</vt:lpwstr>
  </property>
  <property fmtid="{D5CDD505-2E9C-101B-9397-08002B2CF9AE}" pid="22" name="Mendeley Recent Style Name 8_1">
    <vt:lpwstr>SCIENCE CHINA Earth Sciences</vt:lpwstr>
  </property>
  <property fmtid="{D5CDD505-2E9C-101B-9397-08002B2CF9AE}" pid="23" name="Mendeley Recent Style Id 9_1">
    <vt:lpwstr>http://www.zotero.org/styles/science-bulletin</vt:lpwstr>
  </property>
  <property fmtid="{D5CDD505-2E9C-101B-9397-08002B2CF9AE}" pid="24" name="Mendeley Recent Style Name 9_1">
    <vt:lpwstr>Science Bulletin</vt:lpwstr>
  </property>
  <property fmtid="{D5CDD505-2E9C-101B-9397-08002B2CF9AE}" pid="25" name="GrammarlyDocumentId">
    <vt:lpwstr>9d41e41a3e0043dd71687f0fe62e63d9ea2586afbf87ec037fa7d1966da70b64</vt:lpwstr>
  </property>
</Properties>
</file>