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23A3F" w14:textId="2AD28F81" w:rsidR="001366B3" w:rsidRDefault="002016D8" w:rsidP="00426A76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 xml:space="preserve">Table </w:t>
      </w:r>
      <w:r w:rsidR="00BB1D64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S2</w:t>
      </w:r>
      <w:r w:rsidR="00426A76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. </w:t>
      </w:r>
      <w:r w:rsidR="00426A76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>Alpha</w:t>
      </w:r>
      <w:r w:rsidR="00426A76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-diversity indices (Hill numbers) for the </w:t>
      </w:r>
      <w:proofErr w:type="spellStart"/>
      <w:r w:rsidR="00426A76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mycobiome</w:t>
      </w:r>
      <w:proofErr w:type="spellEnd"/>
      <w:r w:rsidR="00426A76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and </w:t>
      </w:r>
      <w:proofErr w:type="spellStart"/>
      <w:r w:rsidR="00426A76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bacteriome</w:t>
      </w:r>
      <w:proofErr w:type="spellEnd"/>
      <w:r w:rsidR="00426A76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from </w:t>
      </w:r>
      <w:proofErr w:type="spellStart"/>
      <w:r w:rsidR="00426A76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metabarcoding</w:t>
      </w:r>
      <w:proofErr w:type="spellEnd"/>
      <w:r w:rsidR="00426A76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libraries from the gut of </w:t>
      </w:r>
      <w:r w:rsidR="00426A76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 xml:space="preserve">M. </w:t>
      </w:r>
      <w:proofErr w:type="spellStart"/>
      <w:r w:rsidR="00426A76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>subhyalinus</w:t>
      </w:r>
      <w:proofErr w:type="spellEnd"/>
      <w:r w:rsidR="00426A76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26A76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reproductives</w:t>
      </w:r>
      <w:proofErr w:type="spellEnd"/>
      <w:r w:rsidR="00426A76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over colony foundation, in </w:t>
      </w:r>
      <w:bookmarkStart w:id="0" w:name="_GoBack"/>
      <w:bookmarkEnd w:id="0"/>
      <w:r w:rsidR="00426A76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comparison with the </w:t>
      </w:r>
      <w:proofErr w:type="spellStart"/>
      <w:r w:rsidR="00426A76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copularium</w:t>
      </w:r>
      <w:proofErr w:type="spellEnd"/>
      <w:r w:rsidR="00426A76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samples at day 120. Day 0 to Day 120 refer to gut samples at the corresponding sampling time points</w:t>
      </w:r>
      <w:r w:rsidR="00426A76" w:rsidRPr="000A438A"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  <w:r w:rsidR="007115C6" w:rsidRPr="000A438A">
        <w:rPr>
          <w:rFonts w:ascii="Times New Roman" w:hAnsi="Times New Roman"/>
          <w:bCs/>
          <w:sz w:val="24"/>
          <w:szCs w:val="24"/>
          <w:lang w:val="en-GB"/>
        </w:rPr>
        <w:t>The</w:t>
      </w:r>
      <w:r w:rsidR="00426A76" w:rsidRPr="000A438A">
        <w:rPr>
          <w:rFonts w:ascii="Times New Roman" w:hAnsi="Times New Roman"/>
          <w:bCs/>
          <w:sz w:val="24"/>
          <w:szCs w:val="24"/>
          <w:lang w:val="en-GB"/>
        </w:rPr>
        <w:t xml:space="preserve"> displayed </w:t>
      </w:r>
      <w:r w:rsidR="007115C6" w:rsidRPr="000A438A">
        <w:rPr>
          <w:rFonts w:ascii="Times New Roman" w:hAnsi="Times New Roman"/>
          <w:bCs/>
          <w:sz w:val="24"/>
          <w:szCs w:val="24"/>
          <w:lang w:val="en-GB"/>
        </w:rPr>
        <w:t xml:space="preserve">values </w:t>
      </w:r>
      <w:r w:rsidR="00426A76" w:rsidRPr="000A438A">
        <w:rPr>
          <w:rFonts w:ascii="Times New Roman" w:hAnsi="Times New Roman"/>
          <w:bCs/>
          <w:sz w:val="24"/>
          <w:szCs w:val="24"/>
          <w:lang w:val="en-GB"/>
        </w:rPr>
        <w:t xml:space="preserve">refer to </w:t>
      </w:r>
      <w:r w:rsidR="007115C6" w:rsidRPr="000A438A">
        <w:rPr>
          <w:rFonts w:ascii="Times New Roman" w:hAnsi="Times New Roman"/>
          <w:bCs/>
          <w:sz w:val="24"/>
          <w:szCs w:val="24"/>
          <w:lang w:val="en-GB"/>
        </w:rPr>
        <w:t xml:space="preserve">arithmetic </w:t>
      </w:r>
      <w:r w:rsidR="00C05E62" w:rsidRPr="000A438A">
        <w:rPr>
          <w:rFonts w:ascii="Times New Roman" w:hAnsi="Times New Roman"/>
          <w:bCs/>
          <w:sz w:val="24"/>
          <w:szCs w:val="24"/>
          <w:lang w:val="en-GB"/>
        </w:rPr>
        <w:t>average</w:t>
      </w:r>
      <w:r w:rsidR="007115C6" w:rsidRPr="000A438A">
        <w:rPr>
          <w:rFonts w:ascii="Times New Roman" w:hAnsi="Times New Roman"/>
          <w:bCs/>
          <w:sz w:val="24"/>
          <w:szCs w:val="24"/>
          <w:lang w:val="en-GB"/>
        </w:rPr>
        <w:t>s</w:t>
      </w:r>
      <w:r w:rsidR="00C05E62" w:rsidRPr="000A438A">
        <w:rPr>
          <w:rFonts w:ascii="Times New Roman" w:hAnsi="Times New Roman"/>
          <w:bCs/>
          <w:sz w:val="24"/>
          <w:szCs w:val="24"/>
          <w:lang w:val="en-GB"/>
        </w:rPr>
        <w:t xml:space="preserve"> followed by the standard deviation (in brackets).</w:t>
      </w:r>
      <w:r w:rsidR="00426A76" w:rsidRPr="000A438A">
        <w:rPr>
          <w:rFonts w:ascii="Times New Roman" w:hAnsi="Times New Roman"/>
          <w:bCs/>
          <w:sz w:val="24"/>
          <w:szCs w:val="24"/>
          <w:lang w:val="en-GB"/>
        </w:rPr>
        <w:t xml:space="preserve"> The letters refer to statistical classes distinguished according to the One-way ANOVA with the F</w:t>
      </w:r>
      <w:r w:rsidR="00426A76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isher’s LSD Post Hoc Test, at p&lt;0.05. † There was two repetitions for gut samples at day 120, they were not included in the statistical analysis and</w:t>
      </w:r>
      <w:r w:rsidR="007115C6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values in brackets for this date </w:t>
      </w:r>
      <w:r w:rsidR="001366B3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are deviations from the mean values.</w:t>
      </w:r>
    </w:p>
    <w:p w14:paraId="40E1FEF6" w14:textId="77777777" w:rsidR="001366B3" w:rsidRDefault="001366B3" w:rsidP="00426A76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14:paraId="55B54E27" w14:textId="77777777" w:rsidR="001366B3" w:rsidRDefault="001366B3" w:rsidP="00426A76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tbl>
      <w:tblPr>
        <w:tblStyle w:val="Grilledetableauclaire"/>
        <w:tblpPr w:leftFromText="141" w:rightFromText="141" w:vertAnchor="page" w:horzAnchor="margin" w:tblpY="4411"/>
        <w:tblW w:w="9319" w:type="dxa"/>
        <w:tblLook w:val="04A0" w:firstRow="1" w:lastRow="0" w:firstColumn="1" w:lastColumn="0" w:noHBand="0" w:noVBand="1"/>
      </w:tblPr>
      <w:tblGrid>
        <w:gridCol w:w="2516"/>
        <w:gridCol w:w="2918"/>
        <w:gridCol w:w="1942"/>
        <w:gridCol w:w="1943"/>
      </w:tblGrid>
      <w:tr w:rsidR="00661EA1" w:rsidRPr="001366B3" w14:paraId="096E62F7" w14:textId="77777777" w:rsidTr="001366B3">
        <w:trPr>
          <w:trHeight w:val="523"/>
        </w:trPr>
        <w:tc>
          <w:tcPr>
            <w:tcW w:w="2516" w:type="dxa"/>
            <w:shd w:val="clear" w:color="auto" w:fill="F2F2F2" w:themeFill="background1" w:themeFillShade="F2"/>
            <w:vAlign w:val="center"/>
          </w:tcPr>
          <w:p w14:paraId="3476FC06" w14:textId="77777777" w:rsidR="00661EA1" w:rsidRPr="001366B3" w:rsidRDefault="00661EA1" w:rsidP="001366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366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FUNGI</w:t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14:paraId="53AF5323" w14:textId="77777777" w:rsidR="00661EA1" w:rsidRPr="001366B3" w:rsidRDefault="00661EA1" w:rsidP="001366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 = 0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08154135" w14:textId="77777777" w:rsidR="00661EA1" w:rsidRPr="001366B3" w:rsidRDefault="00661EA1" w:rsidP="001366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 = 1</w:t>
            </w:r>
          </w:p>
        </w:tc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3273396A" w14:textId="77777777" w:rsidR="00661EA1" w:rsidRPr="001366B3" w:rsidRDefault="00661EA1" w:rsidP="001366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 = 2</w:t>
            </w:r>
          </w:p>
        </w:tc>
      </w:tr>
      <w:tr w:rsidR="00661EA1" w:rsidRPr="001366B3" w14:paraId="78EA7C40" w14:textId="77777777" w:rsidTr="001366B3">
        <w:trPr>
          <w:trHeight w:val="523"/>
        </w:trPr>
        <w:tc>
          <w:tcPr>
            <w:tcW w:w="2516" w:type="dxa"/>
            <w:vAlign w:val="center"/>
          </w:tcPr>
          <w:p w14:paraId="6AD74DD5" w14:textId="77777777" w:rsidR="00661EA1" w:rsidRPr="001366B3" w:rsidRDefault="00661EA1" w:rsidP="0013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6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Day 0 (N=6)</w:t>
            </w:r>
          </w:p>
        </w:tc>
        <w:tc>
          <w:tcPr>
            <w:tcW w:w="2918" w:type="dxa"/>
            <w:vAlign w:val="center"/>
          </w:tcPr>
          <w:p w14:paraId="60D1D5BE" w14:textId="31D5CC99" w:rsidR="00661EA1" w:rsidRPr="001366B3" w:rsidRDefault="00661EA1" w:rsidP="001366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 (30) A</w:t>
            </w:r>
          </w:p>
        </w:tc>
        <w:tc>
          <w:tcPr>
            <w:tcW w:w="1942" w:type="dxa"/>
            <w:vAlign w:val="center"/>
          </w:tcPr>
          <w:p w14:paraId="6D01D37B" w14:textId="77777777" w:rsidR="00661EA1" w:rsidRPr="001366B3" w:rsidRDefault="00661EA1" w:rsidP="001366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25.75 (11.55) AB</w:t>
            </w:r>
          </w:p>
        </w:tc>
        <w:tc>
          <w:tcPr>
            <w:tcW w:w="1943" w:type="dxa"/>
            <w:vAlign w:val="center"/>
          </w:tcPr>
          <w:p w14:paraId="7A1B0061" w14:textId="77777777" w:rsidR="00661EA1" w:rsidRPr="001366B3" w:rsidRDefault="00661EA1" w:rsidP="001366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9.93 (4.52) AB</w:t>
            </w:r>
          </w:p>
        </w:tc>
      </w:tr>
      <w:tr w:rsidR="00661EA1" w:rsidRPr="00376239" w14:paraId="6AD956A7" w14:textId="77777777" w:rsidTr="001366B3">
        <w:trPr>
          <w:trHeight w:val="523"/>
        </w:trPr>
        <w:tc>
          <w:tcPr>
            <w:tcW w:w="2516" w:type="dxa"/>
            <w:vAlign w:val="center"/>
          </w:tcPr>
          <w:p w14:paraId="56AD9C8F" w14:textId="77777777" w:rsidR="00661EA1" w:rsidRPr="001366B3" w:rsidRDefault="00661EA1" w:rsidP="0013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6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Day 10 (N=5)</w:t>
            </w:r>
          </w:p>
        </w:tc>
        <w:tc>
          <w:tcPr>
            <w:tcW w:w="2918" w:type="dxa"/>
            <w:vAlign w:val="center"/>
          </w:tcPr>
          <w:p w14:paraId="5D5BF6C9" w14:textId="07DE2378" w:rsidR="00661EA1" w:rsidRPr="00B14B7D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sz w:val="24"/>
                <w:szCs w:val="24"/>
              </w:rPr>
              <w:t>150 (46) A</w:t>
            </w:r>
          </w:p>
        </w:tc>
        <w:tc>
          <w:tcPr>
            <w:tcW w:w="1942" w:type="dxa"/>
            <w:vAlign w:val="center"/>
          </w:tcPr>
          <w:p w14:paraId="2C1758E2" w14:textId="77777777" w:rsidR="00661EA1" w:rsidRPr="00B14B7D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sz w:val="24"/>
                <w:szCs w:val="24"/>
              </w:rPr>
              <w:t>21.98 (3.92) A</w:t>
            </w:r>
          </w:p>
        </w:tc>
        <w:tc>
          <w:tcPr>
            <w:tcW w:w="1943" w:type="dxa"/>
            <w:vAlign w:val="center"/>
          </w:tcPr>
          <w:p w14:paraId="16B9A41B" w14:textId="77777777" w:rsidR="00661EA1" w:rsidRPr="00B14B7D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sz w:val="24"/>
                <w:szCs w:val="24"/>
              </w:rPr>
              <w:t>10.08 (4.30) AB</w:t>
            </w:r>
          </w:p>
        </w:tc>
      </w:tr>
      <w:tr w:rsidR="00661EA1" w:rsidRPr="00376239" w14:paraId="439BBE94" w14:textId="77777777" w:rsidTr="001366B3">
        <w:trPr>
          <w:trHeight w:val="523"/>
        </w:trPr>
        <w:tc>
          <w:tcPr>
            <w:tcW w:w="2516" w:type="dxa"/>
            <w:vAlign w:val="center"/>
          </w:tcPr>
          <w:p w14:paraId="2EDE4360" w14:textId="77777777" w:rsidR="00661EA1" w:rsidRPr="00B14B7D" w:rsidRDefault="00661EA1" w:rsidP="0013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 30 (N=5)</w:t>
            </w:r>
          </w:p>
        </w:tc>
        <w:tc>
          <w:tcPr>
            <w:tcW w:w="2918" w:type="dxa"/>
            <w:vAlign w:val="center"/>
          </w:tcPr>
          <w:p w14:paraId="1FCB7359" w14:textId="3B5F0731" w:rsidR="00661EA1" w:rsidRPr="00B14B7D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sz w:val="24"/>
                <w:szCs w:val="24"/>
              </w:rPr>
              <w:t>134 (59) A</w:t>
            </w:r>
          </w:p>
        </w:tc>
        <w:tc>
          <w:tcPr>
            <w:tcW w:w="1942" w:type="dxa"/>
            <w:vAlign w:val="center"/>
          </w:tcPr>
          <w:p w14:paraId="5B14DD05" w14:textId="77777777" w:rsidR="00661EA1" w:rsidRPr="00B14B7D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sz w:val="24"/>
                <w:szCs w:val="24"/>
              </w:rPr>
              <w:t>13.91 (10.81) A</w:t>
            </w:r>
          </w:p>
        </w:tc>
        <w:tc>
          <w:tcPr>
            <w:tcW w:w="1943" w:type="dxa"/>
            <w:vAlign w:val="center"/>
          </w:tcPr>
          <w:p w14:paraId="4A6FF1CA" w14:textId="77777777" w:rsidR="00661EA1" w:rsidRPr="00B14B7D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sz w:val="24"/>
                <w:szCs w:val="24"/>
              </w:rPr>
              <w:t>5.51 (4.77) A</w:t>
            </w:r>
          </w:p>
        </w:tc>
      </w:tr>
      <w:tr w:rsidR="00661EA1" w:rsidRPr="00376239" w14:paraId="189329BA" w14:textId="77777777" w:rsidTr="001366B3">
        <w:trPr>
          <w:trHeight w:val="523"/>
        </w:trPr>
        <w:tc>
          <w:tcPr>
            <w:tcW w:w="2516" w:type="dxa"/>
            <w:vAlign w:val="center"/>
          </w:tcPr>
          <w:p w14:paraId="48EB18B2" w14:textId="77777777" w:rsidR="00661EA1" w:rsidRPr="00B14B7D" w:rsidRDefault="00661EA1" w:rsidP="0013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 45 (N=6)</w:t>
            </w:r>
          </w:p>
        </w:tc>
        <w:tc>
          <w:tcPr>
            <w:tcW w:w="2918" w:type="dxa"/>
            <w:vAlign w:val="center"/>
          </w:tcPr>
          <w:p w14:paraId="7E1F31D6" w14:textId="647CE90D" w:rsidR="00661EA1" w:rsidRPr="00B14B7D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sz w:val="24"/>
                <w:szCs w:val="24"/>
              </w:rPr>
              <w:t>218 (51) B</w:t>
            </w:r>
          </w:p>
        </w:tc>
        <w:tc>
          <w:tcPr>
            <w:tcW w:w="1942" w:type="dxa"/>
            <w:vAlign w:val="center"/>
          </w:tcPr>
          <w:p w14:paraId="0DC7E265" w14:textId="77777777" w:rsidR="00661EA1" w:rsidRPr="00B14B7D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sz w:val="24"/>
                <w:szCs w:val="24"/>
              </w:rPr>
              <w:t>30.29 (7.67) B</w:t>
            </w:r>
          </w:p>
        </w:tc>
        <w:tc>
          <w:tcPr>
            <w:tcW w:w="1943" w:type="dxa"/>
            <w:vAlign w:val="center"/>
          </w:tcPr>
          <w:p w14:paraId="4844F5B6" w14:textId="77777777" w:rsidR="00661EA1" w:rsidRPr="00B14B7D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sz w:val="24"/>
                <w:szCs w:val="24"/>
              </w:rPr>
              <w:t>9.54 (4.23) AB</w:t>
            </w:r>
          </w:p>
        </w:tc>
      </w:tr>
      <w:tr w:rsidR="00661EA1" w:rsidRPr="00376239" w14:paraId="5C07F7E0" w14:textId="77777777" w:rsidTr="001366B3">
        <w:trPr>
          <w:trHeight w:val="523"/>
        </w:trPr>
        <w:tc>
          <w:tcPr>
            <w:tcW w:w="2516" w:type="dxa"/>
            <w:vAlign w:val="center"/>
          </w:tcPr>
          <w:p w14:paraId="60B4798B" w14:textId="77777777" w:rsidR="00661EA1" w:rsidRPr="00B14B7D" w:rsidRDefault="00661EA1" w:rsidP="0013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 60 (N=5)</w:t>
            </w:r>
          </w:p>
        </w:tc>
        <w:tc>
          <w:tcPr>
            <w:tcW w:w="2918" w:type="dxa"/>
            <w:vAlign w:val="center"/>
          </w:tcPr>
          <w:p w14:paraId="06A7B373" w14:textId="5CB9C251" w:rsidR="00661EA1" w:rsidRPr="00B14B7D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sz w:val="24"/>
                <w:szCs w:val="24"/>
              </w:rPr>
              <w:t>188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4B7D">
              <w:rPr>
                <w:rFonts w:ascii="Times New Roman" w:hAnsi="Times New Roman" w:cs="Times New Roman"/>
                <w:sz w:val="24"/>
                <w:szCs w:val="24"/>
              </w:rPr>
              <w:t>) B</w:t>
            </w:r>
          </w:p>
        </w:tc>
        <w:tc>
          <w:tcPr>
            <w:tcW w:w="1942" w:type="dxa"/>
            <w:vAlign w:val="center"/>
          </w:tcPr>
          <w:p w14:paraId="6A9BF01B" w14:textId="77777777" w:rsidR="00661EA1" w:rsidRPr="00B14B7D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sz w:val="24"/>
                <w:szCs w:val="24"/>
              </w:rPr>
              <w:t>28.13 (8.32) B</w:t>
            </w:r>
          </w:p>
        </w:tc>
        <w:tc>
          <w:tcPr>
            <w:tcW w:w="1943" w:type="dxa"/>
            <w:vAlign w:val="center"/>
          </w:tcPr>
          <w:p w14:paraId="7B5737E3" w14:textId="77777777" w:rsidR="00661EA1" w:rsidRPr="00B14B7D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sz w:val="24"/>
                <w:szCs w:val="24"/>
              </w:rPr>
              <w:t>8.06 (3.30) AB</w:t>
            </w:r>
          </w:p>
        </w:tc>
      </w:tr>
      <w:tr w:rsidR="00661EA1" w:rsidRPr="00376239" w14:paraId="3ED4E36A" w14:textId="77777777" w:rsidTr="001366B3">
        <w:trPr>
          <w:trHeight w:val="523"/>
        </w:trPr>
        <w:tc>
          <w:tcPr>
            <w:tcW w:w="2516" w:type="dxa"/>
            <w:vAlign w:val="center"/>
          </w:tcPr>
          <w:p w14:paraId="38BD2252" w14:textId="77777777" w:rsidR="00661EA1" w:rsidRPr="00B14B7D" w:rsidRDefault="00661EA1" w:rsidP="0013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4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Copularium</w:t>
            </w:r>
            <w:proofErr w:type="spellEnd"/>
            <w:r w:rsidRPr="00B14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120 (N=3)</w:t>
            </w:r>
          </w:p>
        </w:tc>
        <w:tc>
          <w:tcPr>
            <w:tcW w:w="2918" w:type="dxa"/>
            <w:vAlign w:val="center"/>
          </w:tcPr>
          <w:p w14:paraId="4ADA6460" w14:textId="1F2997C9" w:rsidR="00661EA1" w:rsidRPr="00B14B7D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sz w:val="24"/>
                <w:szCs w:val="24"/>
              </w:rPr>
              <w:t>289 (27) C</w:t>
            </w:r>
          </w:p>
        </w:tc>
        <w:tc>
          <w:tcPr>
            <w:tcW w:w="1942" w:type="dxa"/>
            <w:vAlign w:val="center"/>
          </w:tcPr>
          <w:p w14:paraId="3749A6BE" w14:textId="77777777" w:rsidR="00661EA1" w:rsidRPr="00B14B7D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sz w:val="24"/>
                <w:szCs w:val="24"/>
              </w:rPr>
              <w:t>55.73 (17.47) C</w:t>
            </w:r>
          </w:p>
        </w:tc>
        <w:tc>
          <w:tcPr>
            <w:tcW w:w="1943" w:type="dxa"/>
            <w:vAlign w:val="center"/>
          </w:tcPr>
          <w:p w14:paraId="1F8EA822" w14:textId="77777777" w:rsidR="00661EA1" w:rsidRPr="00B14B7D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7D">
              <w:rPr>
                <w:rFonts w:ascii="Times New Roman" w:hAnsi="Times New Roman" w:cs="Times New Roman"/>
                <w:sz w:val="24"/>
                <w:szCs w:val="24"/>
              </w:rPr>
              <w:t>13.07 (2.23) B</w:t>
            </w:r>
          </w:p>
        </w:tc>
      </w:tr>
      <w:tr w:rsidR="00661EA1" w:rsidRPr="00376239" w14:paraId="75221CCF" w14:textId="77777777" w:rsidTr="001366B3">
        <w:trPr>
          <w:trHeight w:val="523"/>
        </w:trPr>
        <w:tc>
          <w:tcPr>
            <w:tcW w:w="2516" w:type="dxa"/>
            <w:shd w:val="clear" w:color="auto" w:fill="F2F2F2" w:themeFill="background1" w:themeFillShade="F2"/>
            <w:vAlign w:val="center"/>
          </w:tcPr>
          <w:p w14:paraId="082522CB" w14:textId="77777777" w:rsidR="00661EA1" w:rsidRPr="003256BB" w:rsidRDefault="00661EA1" w:rsidP="001366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BACTERIA</w:t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14:paraId="13B46B97" w14:textId="77777777" w:rsidR="00661EA1" w:rsidRPr="003256BB" w:rsidRDefault="00661EA1" w:rsidP="00136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0B9028EB" w14:textId="77777777" w:rsidR="00661EA1" w:rsidRPr="003256BB" w:rsidRDefault="00661EA1" w:rsidP="00136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347E8787" w14:textId="77777777" w:rsidR="00661EA1" w:rsidRPr="003256BB" w:rsidRDefault="00661EA1" w:rsidP="00136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EA1" w:rsidRPr="00376239" w14:paraId="55E50A45" w14:textId="77777777" w:rsidTr="001366B3">
        <w:trPr>
          <w:trHeight w:val="523"/>
        </w:trPr>
        <w:tc>
          <w:tcPr>
            <w:tcW w:w="2516" w:type="dxa"/>
            <w:vAlign w:val="center"/>
          </w:tcPr>
          <w:p w14:paraId="38B81814" w14:textId="77777777" w:rsidR="00661EA1" w:rsidRPr="006175D0" w:rsidRDefault="00661EA1" w:rsidP="0013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 0 (N=6)</w:t>
            </w:r>
          </w:p>
        </w:tc>
        <w:tc>
          <w:tcPr>
            <w:tcW w:w="2918" w:type="dxa"/>
            <w:vAlign w:val="center"/>
          </w:tcPr>
          <w:p w14:paraId="098079E1" w14:textId="0059B489" w:rsidR="00661EA1" w:rsidRPr="006175D0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609 (57) A</w:t>
            </w:r>
          </w:p>
        </w:tc>
        <w:tc>
          <w:tcPr>
            <w:tcW w:w="1942" w:type="dxa"/>
            <w:vAlign w:val="center"/>
          </w:tcPr>
          <w:p w14:paraId="20D07293" w14:textId="77777777" w:rsidR="00661EA1" w:rsidRPr="006175D0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181.36 (41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39) B</w:t>
            </w:r>
          </w:p>
        </w:tc>
        <w:tc>
          <w:tcPr>
            <w:tcW w:w="1943" w:type="dxa"/>
            <w:vAlign w:val="center"/>
          </w:tcPr>
          <w:p w14:paraId="77C82FF7" w14:textId="77777777" w:rsidR="00661EA1" w:rsidRPr="006175D0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47.47 (18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26) B</w:t>
            </w:r>
          </w:p>
        </w:tc>
      </w:tr>
      <w:tr w:rsidR="00661EA1" w:rsidRPr="00376239" w14:paraId="267B37D1" w14:textId="77777777" w:rsidTr="001366B3">
        <w:trPr>
          <w:trHeight w:val="523"/>
        </w:trPr>
        <w:tc>
          <w:tcPr>
            <w:tcW w:w="2516" w:type="dxa"/>
            <w:vAlign w:val="center"/>
          </w:tcPr>
          <w:p w14:paraId="4EC7D680" w14:textId="77777777" w:rsidR="00661EA1" w:rsidRPr="006175D0" w:rsidRDefault="00661EA1" w:rsidP="0013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 10 (N=5)</w:t>
            </w:r>
          </w:p>
        </w:tc>
        <w:tc>
          <w:tcPr>
            <w:tcW w:w="2918" w:type="dxa"/>
            <w:vAlign w:val="center"/>
          </w:tcPr>
          <w:p w14:paraId="637CD9BE" w14:textId="0C550D70" w:rsidR="00661EA1" w:rsidRPr="006175D0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609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942" w:type="dxa"/>
            <w:vAlign w:val="center"/>
          </w:tcPr>
          <w:p w14:paraId="47BA47C8" w14:textId="77777777" w:rsidR="00661EA1" w:rsidRPr="006175D0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172.59 (27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72) B</w:t>
            </w:r>
          </w:p>
        </w:tc>
        <w:tc>
          <w:tcPr>
            <w:tcW w:w="1943" w:type="dxa"/>
            <w:vAlign w:val="center"/>
          </w:tcPr>
          <w:p w14:paraId="5060A3DD" w14:textId="77777777" w:rsidR="00661EA1" w:rsidRPr="006175D0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53.08 (15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84) B</w:t>
            </w:r>
          </w:p>
        </w:tc>
      </w:tr>
      <w:tr w:rsidR="00661EA1" w:rsidRPr="00376239" w14:paraId="6A1866C6" w14:textId="77777777" w:rsidTr="001366B3">
        <w:trPr>
          <w:trHeight w:val="523"/>
        </w:trPr>
        <w:tc>
          <w:tcPr>
            <w:tcW w:w="2516" w:type="dxa"/>
            <w:vAlign w:val="center"/>
          </w:tcPr>
          <w:p w14:paraId="6019214B" w14:textId="77777777" w:rsidR="00661EA1" w:rsidRPr="006175D0" w:rsidRDefault="00661EA1" w:rsidP="0013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 30 (N=5)</w:t>
            </w:r>
          </w:p>
        </w:tc>
        <w:tc>
          <w:tcPr>
            <w:tcW w:w="2918" w:type="dxa"/>
            <w:vAlign w:val="center"/>
          </w:tcPr>
          <w:p w14:paraId="3F1F2851" w14:textId="7BBFD403" w:rsidR="00661EA1" w:rsidRPr="006175D0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591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)  A</w:t>
            </w:r>
          </w:p>
        </w:tc>
        <w:tc>
          <w:tcPr>
            <w:tcW w:w="1942" w:type="dxa"/>
            <w:vAlign w:val="center"/>
          </w:tcPr>
          <w:p w14:paraId="295A7EBF" w14:textId="77777777" w:rsidR="00661EA1" w:rsidRPr="006175D0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117.45 (29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26) A</w:t>
            </w:r>
          </w:p>
        </w:tc>
        <w:tc>
          <w:tcPr>
            <w:tcW w:w="1943" w:type="dxa"/>
            <w:vAlign w:val="center"/>
          </w:tcPr>
          <w:p w14:paraId="0FBD3EA1" w14:textId="77777777" w:rsidR="00661EA1" w:rsidRPr="006175D0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26.73 (11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18) A</w:t>
            </w:r>
          </w:p>
        </w:tc>
      </w:tr>
      <w:tr w:rsidR="00661EA1" w:rsidRPr="00376239" w14:paraId="312953AD" w14:textId="77777777" w:rsidTr="001366B3">
        <w:trPr>
          <w:trHeight w:val="523"/>
        </w:trPr>
        <w:tc>
          <w:tcPr>
            <w:tcW w:w="2516" w:type="dxa"/>
            <w:vAlign w:val="center"/>
          </w:tcPr>
          <w:p w14:paraId="452BB44A" w14:textId="77777777" w:rsidR="00661EA1" w:rsidRPr="006175D0" w:rsidRDefault="00661EA1" w:rsidP="0013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 45 (N=6)</w:t>
            </w:r>
          </w:p>
        </w:tc>
        <w:tc>
          <w:tcPr>
            <w:tcW w:w="2918" w:type="dxa"/>
            <w:vAlign w:val="center"/>
          </w:tcPr>
          <w:p w14:paraId="38B0461D" w14:textId="720031FF" w:rsidR="00661EA1" w:rsidRPr="006175D0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601 (57) A</w:t>
            </w:r>
          </w:p>
        </w:tc>
        <w:tc>
          <w:tcPr>
            <w:tcW w:w="1942" w:type="dxa"/>
            <w:vAlign w:val="center"/>
          </w:tcPr>
          <w:p w14:paraId="5D7E8819" w14:textId="77777777" w:rsidR="00661EA1" w:rsidRPr="006175D0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113.35 (40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09) A</w:t>
            </w:r>
          </w:p>
        </w:tc>
        <w:tc>
          <w:tcPr>
            <w:tcW w:w="1943" w:type="dxa"/>
            <w:vAlign w:val="center"/>
          </w:tcPr>
          <w:p w14:paraId="5A37FE72" w14:textId="77777777" w:rsidR="00661EA1" w:rsidRPr="006175D0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23.19 (11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31) A</w:t>
            </w:r>
          </w:p>
        </w:tc>
      </w:tr>
      <w:tr w:rsidR="00661EA1" w:rsidRPr="00376239" w14:paraId="28FA1A32" w14:textId="77777777" w:rsidTr="001366B3">
        <w:trPr>
          <w:trHeight w:val="523"/>
        </w:trPr>
        <w:tc>
          <w:tcPr>
            <w:tcW w:w="2516" w:type="dxa"/>
            <w:vAlign w:val="center"/>
          </w:tcPr>
          <w:p w14:paraId="197BDBC8" w14:textId="77777777" w:rsidR="00661EA1" w:rsidRPr="006175D0" w:rsidRDefault="00661EA1" w:rsidP="0013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 60 (N=6)</w:t>
            </w:r>
          </w:p>
        </w:tc>
        <w:tc>
          <w:tcPr>
            <w:tcW w:w="2918" w:type="dxa"/>
            <w:vAlign w:val="center"/>
          </w:tcPr>
          <w:p w14:paraId="3FAB4985" w14:textId="65C52A53" w:rsidR="00661EA1" w:rsidRPr="006175D0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634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) A</w:t>
            </w:r>
          </w:p>
        </w:tc>
        <w:tc>
          <w:tcPr>
            <w:tcW w:w="1942" w:type="dxa"/>
            <w:vAlign w:val="center"/>
          </w:tcPr>
          <w:p w14:paraId="29304032" w14:textId="77777777" w:rsidR="00661EA1" w:rsidRPr="006175D0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179.96 (31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11) B</w:t>
            </w:r>
          </w:p>
        </w:tc>
        <w:tc>
          <w:tcPr>
            <w:tcW w:w="1943" w:type="dxa"/>
            <w:vAlign w:val="center"/>
          </w:tcPr>
          <w:p w14:paraId="3B1B7F94" w14:textId="77777777" w:rsidR="00661EA1" w:rsidRPr="006175D0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51.80 (14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5D0">
              <w:rPr>
                <w:rFonts w:ascii="Times New Roman" w:hAnsi="Times New Roman" w:cs="Times New Roman"/>
                <w:sz w:val="24"/>
                <w:szCs w:val="24"/>
              </w:rPr>
              <w:t>43) B</w:t>
            </w:r>
          </w:p>
        </w:tc>
      </w:tr>
      <w:tr w:rsidR="00661EA1" w:rsidRPr="001366B3" w14:paraId="651DFDFD" w14:textId="77777777" w:rsidTr="001366B3">
        <w:trPr>
          <w:trHeight w:val="523"/>
        </w:trPr>
        <w:tc>
          <w:tcPr>
            <w:tcW w:w="2516" w:type="dxa"/>
            <w:vAlign w:val="center"/>
          </w:tcPr>
          <w:p w14:paraId="1DCBCA4E" w14:textId="77777777" w:rsidR="00661EA1" w:rsidRPr="006175D0" w:rsidRDefault="00661EA1" w:rsidP="0013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 120 (N=2)</w:t>
            </w:r>
          </w:p>
        </w:tc>
        <w:tc>
          <w:tcPr>
            <w:tcW w:w="2918" w:type="dxa"/>
            <w:vAlign w:val="center"/>
          </w:tcPr>
          <w:p w14:paraId="2E1CD985" w14:textId="7221F237" w:rsidR="00661EA1" w:rsidRPr="000A438A" w:rsidRDefault="00661EA1" w:rsidP="001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8A">
              <w:rPr>
                <w:rFonts w:ascii="Times New Roman" w:hAnsi="Times New Roman" w:cs="Times New Roman"/>
                <w:sz w:val="24"/>
                <w:szCs w:val="24"/>
              </w:rPr>
              <w:t>334 (9)†</w:t>
            </w:r>
          </w:p>
        </w:tc>
        <w:tc>
          <w:tcPr>
            <w:tcW w:w="1942" w:type="dxa"/>
            <w:vAlign w:val="center"/>
          </w:tcPr>
          <w:p w14:paraId="23D18C39" w14:textId="42E6ABBA" w:rsidR="00661EA1" w:rsidRPr="000A438A" w:rsidRDefault="00661EA1" w:rsidP="001366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82.52 (6.83) †</w:t>
            </w:r>
          </w:p>
        </w:tc>
        <w:tc>
          <w:tcPr>
            <w:tcW w:w="1943" w:type="dxa"/>
            <w:vAlign w:val="center"/>
          </w:tcPr>
          <w:p w14:paraId="38FD366E" w14:textId="31CEA618" w:rsidR="00661EA1" w:rsidRPr="000A438A" w:rsidRDefault="00661EA1" w:rsidP="001366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28.97 (1.15) †</w:t>
            </w:r>
          </w:p>
        </w:tc>
      </w:tr>
      <w:tr w:rsidR="00661EA1" w:rsidRPr="001366B3" w14:paraId="31CAC111" w14:textId="77777777" w:rsidTr="001366B3">
        <w:trPr>
          <w:trHeight w:val="523"/>
        </w:trPr>
        <w:tc>
          <w:tcPr>
            <w:tcW w:w="2516" w:type="dxa"/>
            <w:vAlign w:val="center"/>
          </w:tcPr>
          <w:p w14:paraId="4AA5BF8E" w14:textId="77777777" w:rsidR="00661EA1" w:rsidRPr="001366B3" w:rsidRDefault="00661EA1" w:rsidP="0013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36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Copularium</w:t>
            </w:r>
            <w:proofErr w:type="spellEnd"/>
            <w:r w:rsidRPr="00136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120 (N=3)</w:t>
            </w:r>
          </w:p>
        </w:tc>
        <w:tc>
          <w:tcPr>
            <w:tcW w:w="2918" w:type="dxa"/>
            <w:vAlign w:val="center"/>
          </w:tcPr>
          <w:p w14:paraId="53B292F6" w14:textId="77777777" w:rsidR="00661EA1" w:rsidRPr="001366B3" w:rsidRDefault="00661EA1" w:rsidP="001366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1182 (47.63) B</w:t>
            </w:r>
          </w:p>
        </w:tc>
        <w:tc>
          <w:tcPr>
            <w:tcW w:w="1942" w:type="dxa"/>
            <w:vAlign w:val="center"/>
          </w:tcPr>
          <w:p w14:paraId="04BCC22F" w14:textId="77777777" w:rsidR="00661EA1" w:rsidRPr="001366B3" w:rsidRDefault="00661EA1" w:rsidP="001366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734.51 (60.34) C</w:t>
            </w:r>
          </w:p>
        </w:tc>
        <w:tc>
          <w:tcPr>
            <w:tcW w:w="1943" w:type="dxa"/>
            <w:vAlign w:val="center"/>
          </w:tcPr>
          <w:p w14:paraId="58723E3E" w14:textId="77777777" w:rsidR="00661EA1" w:rsidRPr="001366B3" w:rsidRDefault="00661EA1" w:rsidP="001366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270.20 (28.11) C</w:t>
            </w:r>
          </w:p>
        </w:tc>
      </w:tr>
    </w:tbl>
    <w:p w14:paraId="2B12BDE3" w14:textId="4E83D507" w:rsidR="00B65EE9" w:rsidRPr="001366B3" w:rsidRDefault="00B65EE9" w:rsidP="001366B3">
      <w:pPr>
        <w:rPr>
          <w:color w:val="FF0000"/>
          <w:lang w:val="en-US"/>
        </w:rPr>
      </w:pPr>
    </w:p>
    <w:sectPr w:rsidR="00B65EE9" w:rsidRPr="001366B3" w:rsidSect="00EE4BAE">
      <w:pgSz w:w="12240" w:h="15840" w:code="1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485E"/>
    <w:multiLevelType w:val="hybridMultilevel"/>
    <w:tmpl w:val="0C707288"/>
    <w:lvl w:ilvl="0" w:tplc="6012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608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002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0C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09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CE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4D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CC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E3A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AE"/>
    <w:rsid w:val="00086728"/>
    <w:rsid w:val="000A438A"/>
    <w:rsid w:val="000B1AAE"/>
    <w:rsid w:val="001366B3"/>
    <w:rsid w:val="00164A5D"/>
    <w:rsid w:val="002016D8"/>
    <w:rsid w:val="002E2513"/>
    <w:rsid w:val="00312799"/>
    <w:rsid w:val="003256BB"/>
    <w:rsid w:val="00345556"/>
    <w:rsid w:val="00376239"/>
    <w:rsid w:val="003B4B32"/>
    <w:rsid w:val="00401C89"/>
    <w:rsid w:val="00426A76"/>
    <w:rsid w:val="005312F3"/>
    <w:rsid w:val="006175D0"/>
    <w:rsid w:val="00661EA1"/>
    <w:rsid w:val="006B29D8"/>
    <w:rsid w:val="007115C6"/>
    <w:rsid w:val="0072439C"/>
    <w:rsid w:val="007A6882"/>
    <w:rsid w:val="00AC2130"/>
    <w:rsid w:val="00B14B7D"/>
    <w:rsid w:val="00B152CA"/>
    <w:rsid w:val="00B65EE9"/>
    <w:rsid w:val="00B925EA"/>
    <w:rsid w:val="00BB1D64"/>
    <w:rsid w:val="00C05E62"/>
    <w:rsid w:val="00D414A0"/>
    <w:rsid w:val="00D5088B"/>
    <w:rsid w:val="00E57B7F"/>
    <w:rsid w:val="00E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CE2C"/>
  <w15:chartTrackingRefBased/>
  <w15:docId w15:val="{1A3A65AB-0C7A-422A-8EA3-FDDBE14F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EE4BAE"/>
  </w:style>
  <w:style w:type="table" w:styleId="Grilledutableau">
    <w:name w:val="Table Grid"/>
    <w:basedOn w:val="TableauNormal"/>
    <w:uiPriority w:val="39"/>
    <w:rsid w:val="002E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6B29D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6B29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B7F"/>
    <w:rPr>
      <w:rFonts w:ascii="Segoe UI" w:hAnsi="Segoe UI" w:cs="Segoe UI"/>
      <w:sz w:val="18"/>
      <w:szCs w:val="18"/>
    </w:rPr>
  </w:style>
  <w:style w:type="table" w:styleId="Tableausimple1">
    <w:name w:val="Plain Table 1"/>
    <w:basedOn w:val="TableauNormal"/>
    <w:uiPriority w:val="41"/>
    <w:rsid w:val="00401C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E214CBDA9C044A928A0698D75F5C9" ma:contentTypeVersion="13" ma:contentTypeDescription="Crée un document." ma:contentTypeScope="" ma:versionID="d5f2f98c1870ca988cefd78ed04874d7">
  <xsd:schema xmlns:xsd="http://www.w3.org/2001/XMLSchema" xmlns:xs="http://www.w3.org/2001/XMLSchema" xmlns:p="http://schemas.microsoft.com/office/2006/metadata/properties" xmlns:ns3="d4c6659c-9d6f-4b46-9e67-265e0f02b719" xmlns:ns4="a047be3b-052d-4637-aef6-c5cfd4e50799" targetNamespace="http://schemas.microsoft.com/office/2006/metadata/properties" ma:root="true" ma:fieldsID="5d60167eb28efd7acfd1af658a7fbb2f" ns3:_="" ns4:_="">
    <xsd:import namespace="d4c6659c-9d6f-4b46-9e67-265e0f02b719"/>
    <xsd:import namespace="a047be3b-052d-4637-aef6-c5cfd4e50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6659c-9d6f-4b46-9e67-265e0f02b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7be3b-052d-4637-aef6-c5cfd4e50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4CE3A-DC29-4BDC-BD3B-C7710175F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2F015B-922D-482E-8B73-0EE12EFE1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6659c-9d6f-4b46-9e67-265e0f02b719"/>
    <ds:schemaRef ds:uri="a047be3b-052d-4637-aef6-c5cfd4e5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5AAC2-0BB2-4977-B319-75DF0AAD6F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2079A-F9C5-44FC-9B70-57B2AB23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Diouf</dc:creator>
  <cp:keywords/>
  <dc:description/>
  <cp:lastModifiedBy>Michel Diouf</cp:lastModifiedBy>
  <cp:revision>10</cp:revision>
  <cp:lastPrinted>2022-11-23T08:54:00Z</cp:lastPrinted>
  <dcterms:created xsi:type="dcterms:W3CDTF">2022-11-23T10:31:00Z</dcterms:created>
  <dcterms:modified xsi:type="dcterms:W3CDTF">2022-12-26T17:11:00Z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0x0101009A7E214CBDA9C044A928A0698D75F5C9</vt:lpwstr>
  </property>
</Properties>
</file>