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2"/>
        <w:rPr>
          <w:b w:val="0"/>
        </w:rPr>
      </w:pPr>
      <w:r>
        <w:t>Supplementary Material</w:t>
      </w:r>
    </w:p>
    <w:p>
      <w:pPr>
        <w:pStyle w:val="2"/>
      </w:pPr>
      <w:r>
        <w:rPr>
          <w:rFonts w:hint="eastAsia"/>
          <w:lang w:eastAsia="zh-CN"/>
        </w:rPr>
        <w:t>Supplementary Table</w:t>
      </w:r>
    </w:p>
    <w:p>
      <w:r>
        <w:rPr>
          <w:rFonts w:hint="eastAsia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Table </w:t>
      </w:r>
      <w:r>
        <w:rPr>
          <w:rFonts w:hint="eastAsia" w:cs="Times New Roman"/>
          <w:b/>
          <w:bCs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eastAsia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1</w:t>
      </w:r>
      <w:r>
        <w:rPr>
          <w:rFonts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gene expression data for 60 OSCC and 112 normal tissues from GEO database</w:t>
      </w:r>
    </w:p>
    <w:tbl>
      <w:tblPr>
        <w:tblStyle w:val="20"/>
        <w:tblpPr w:leftFromText="180" w:rightFromText="180" w:vertAnchor="page" w:horzAnchor="page" w:tblpXSpec="center" w:tblpY="4019"/>
        <w:tblOverlap w:val="never"/>
        <w:tblW w:w="0" w:type="auto"/>
        <w:jc w:val="center"/>
        <w:tblBorders>
          <w:top w:val="single" w:color="auto" w:sz="12" w:space="0"/>
          <w:left w:val="none" w:color="auto" w:sz="0" w:space="0"/>
          <w:bottom w:val="single" w:color="auto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8"/>
        <w:gridCol w:w="1659"/>
        <w:gridCol w:w="1503"/>
        <w:gridCol w:w="1783"/>
        <w:gridCol w:w="2593"/>
        <w:gridCol w:w="2160"/>
      </w:tblGrid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8" w:type="dxa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bookmarkStart w:id="0" w:name="_GoBack"/>
            <w:bookmarkEnd w:id="0"/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GSE</w:t>
            </w:r>
          </w:p>
        </w:tc>
        <w:tc>
          <w:tcPr>
            <w:tcW w:w="1659" w:type="dxa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Total differentially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expressed genes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Up-regulated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Down-regulated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Technology/Platform</w:t>
            </w:r>
          </w:p>
        </w:tc>
        <w:tc>
          <w:tcPr>
            <w:tcW w:w="0" w:type="auto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Sample size for each group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8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GSE138206</w:t>
            </w:r>
          </w:p>
        </w:tc>
        <w:tc>
          <w:tcPr>
            <w:tcW w:w="1659" w:type="dxa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1756</w:t>
            </w:r>
          </w:p>
        </w:tc>
        <w:tc>
          <w:tcPr>
            <w:tcW w:w="0" w:type="auto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972</w:t>
            </w:r>
          </w:p>
        </w:tc>
        <w:tc>
          <w:tcPr>
            <w:tcW w:w="0" w:type="auto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784</w:t>
            </w:r>
          </w:p>
        </w:tc>
        <w:tc>
          <w:tcPr>
            <w:tcW w:w="0" w:type="auto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[HG-U133_Plus_2]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Affymetrix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Human Genome U133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Plus 2.0 Array</w:t>
            </w:r>
          </w:p>
        </w:tc>
        <w:tc>
          <w:tcPr>
            <w:tcW w:w="0" w:type="auto"/>
            <w:tcBorders>
              <w:top w:val="single" w:color="auto" w:sz="12" w:space="0"/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6 cancer tissues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6 contralateral normal tissues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6 tissues adjacant to cancer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GSE13601</w:t>
            </w: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4230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1437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2793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[HG_U95Av2] Affymetrix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Human Genome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U95 Version 2 Array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31 cancer tissues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27 normal tissues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GSE31056</w:t>
            </w: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2459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1180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1279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[HG-U133_Plus_2] Affymetrix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GeneChip Human Genome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 xml:space="preserve">HG-U133 Plus 2 Array 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[Brainarray Version 12]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23 cancer tissues</w:t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br w:type="textWrapping"/>
            </w: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73 margin normal tissues</w:t>
            </w:r>
          </w:p>
        </w:tc>
      </w:tr>
      <w:tr>
        <w:tblPrEx>
          <w:tblBorders>
            <w:top w:val="single" w:color="auto" w:sz="12" w:space="0"/>
            <w:left w:val="none" w:color="auto" w:sz="0" w:space="0"/>
            <w:bottom w:val="single" w:color="auto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18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Intersection</w:t>
            </w:r>
          </w:p>
        </w:tc>
        <w:tc>
          <w:tcPr>
            <w:tcW w:w="1659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416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238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textAlignment w:val="center"/>
              <w:rPr>
                <w:rFonts w:ascii="等线" w:hAnsi="等线" w:eastAsia="等线" w:cs="等线"/>
                <w:color w:val="000000"/>
                <w:sz w:val="22"/>
              </w:rPr>
            </w:pPr>
            <w:r>
              <w:rPr>
                <w:rFonts w:hint="eastAsia" w:ascii="等线" w:hAnsi="等线" w:eastAsia="等线" w:cs="等线"/>
                <w:color w:val="000000"/>
                <w:sz w:val="22"/>
                <w:lang w:eastAsia="zh-CN" w:bidi="ar"/>
              </w:rPr>
              <w:t>178</w:t>
            </w: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  <w:tc>
          <w:tcPr>
            <w:tcW w:w="0" w:type="auto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ascii="等线" w:hAnsi="等线" w:eastAsia="等线" w:cs="等线"/>
                <w:color w:val="000000"/>
                <w:sz w:val="22"/>
              </w:rPr>
            </w:pPr>
          </w:p>
        </w:tc>
      </w:tr>
    </w:tbl>
    <w:p/>
    <w:p/>
    <w:p/>
    <w:p/>
    <w:p/>
    <w:p/>
    <w:p/>
    <w:p>
      <w:pPr>
        <w:rPr>
          <w:rFonts w:hint="default" w:eastAsiaTheme="minorEastAsia"/>
          <w:lang w:val="en-US" w:eastAsia="zh-CN"/>
        </w:rPr>
      </w:pPr>
      <w:r>
        <w:rPr>
          <w:rFonts w:hint="eastAsia"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 xml:space="preserve"> Table </w:t>
      </w:r>
      <w:r>
        <w:rPr>
          <w:rFonts w:hint="eastAsia" w:cs="Times New Roman"/>
          <w:b/>
          <w:bCs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S2</w:t>
      </w:r>
      <w:r>
        <w:rPr>
          <w:rFonts w:cs="Times New Roman"/>
          <w:b/>
          <w:bCs/>
          <w:color w:val="000000" w:themeColor="text1"/>
          <w:szCs w:val="24"/>
          <w14:textFill>
            <w14:solidFill>
              <w14:schemeClr w14:val="tx1"/>
            </w14:solidFill>
          </w14:textFill>
        </w:rPr>
        <w:t>.</w:t>
      </w:r>
      <w:r>
        <w:rPr>
          <w:rFonts w:hint="eastAsia" w:cs="Times New Roman"/>
          <w:b/>
          <w:bCs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/>
          <w:b w:val="0"/>
          <w:bCs w:val="0"/>
          <w:color w:val="000000" w:themeColor="text1"/>
          <w:szCs w:val="24"/>
          <w:lang w:val="en-US" w:eastAsia="zh-CN"/>
          <w14:textFill>
            <w14:solidFill>
              <w14:schemeClr w14:val="tx1"/>
            </w14:solidFill>
          </w14:textFill>
        </w:rPr>
        <w:t>Expression results of the final screened five differential genes in different data sets</w:t>
      </w:r>
    </w:p>
    <w:tbl>
      <w:tblPr>
        <w:tblStyle w:val="20"/>
        <w:tblW w:w="10776" w:type="dxa"/>
        <w:tblInd w:w="96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0"/>
        <w:gridCol w:w="1681"/>
        <w:gridCol w:w="1681"/>
        <w:gridCol w:w="1681"/>
        <w:gridCol w:w="1561"/>
        <w:gridCol w:w="1561"/>
        <w:gridCol w:w="1561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50" w:type="dxa"/>
            <w:vMerge w:val="restart"/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Gene</w:t>
            </w:r>
          </w:p>
        </w:tc>
        <w:tc>
          <w:tcPr>
            <w:tcW w:w="168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Log2FC</w:t>
            </w:r>
          </w:p>
        </w:tc>
        <w:tc>
          <w:tcPr>
            <w:tcW w:w="168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56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adj.P.Val</w:t>
            </w:r>
          </w:p>
        </w:tc>
        <w:tc>
          <w:tcPr>
            <w:tcW w:w="1561" w:type="dxa"/>
            <w:tcBorders>
              <w:bottom w:val="dashSmallGap" w:color="auto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2" w:hRule="atLeast"/>
        </w:trPr>
        <w:tc>
          <w:tcPr>
            <w:tcW w:w="1050" w:type="dxa"/>
            <w:vMerge w:val="continue"/>
            <w:tcBorders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68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GSE138206</w:t>
            </w:r>
          </w:p>
        </w:tc>
        <w:tc>
          <w:tcPr>
            <w:tcW w:w="168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GSE13601</w:t>
            </w:r>
          </w:p>
        </w:tc>
        <w:tc>
          <w:tcPr>
            <w:tcW w:w="168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GSE78060</w:t>
            </w:r>
          </w:p>
        </w:tc>
        <w:tc>
          <w:tcPr>
            <w:tcW w:w="156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GSE138206</w:t>
            </w:r>
          </w:p>
        </w:tc>
        <w:tc>
          <w:tcPr>
            <w:tcW w:w="156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GSE13601</w:t>
            </w:r>
          </w:p>
        </w:tc>
        <w:tc>
          <w:tcPr>
            <w:tcW w:w="1561" w:type="dxa"/>
            <w:tcBorders>
              <w:top w:val="dashSmallGap" w:color="auto" w:sz="4" w:space="0"/>
              <w:bottom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GSE78060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50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CFD</w:t>
            </w:r>
          </w:p>
        </w:tc>
        <w:tc>
          <w:tcPr>
            <w:tcW w:w="168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-2.788600111</w:t>
            </w:r>
          </w:p>
        </w:tc>
        <w:tc>
          <w:tcPr>
            <w:tcW w:w="168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-2.055809071</w:t>
            </w:r>
          </w:p>
        </w:tc>
        <w:tc>
          <w:tcPr>
            <w:tcW w:w="168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-2.201918982</w:t>
            </w:r>
          </w:p>
        </w:tc>
        <w:tc>
          <w:tcPr>
            <w:tcW w:w="15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0.000187085</w:t>
            </w:r>
          </w:p>
        </w:tc>
        <w:tc>
          <w:tcPr>
            <w:tcW w:w="15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2.14E-09</w:t>
            </w:r>
          </w:p>
        </w:tc>
        <w:tc>
          <w:tcPr>
            <w:tcW w:w="1561" w:type="dxa"/>
            <w:tcBorders>
              <w:top w:val="single" w:color="auto" w:sz="8" w:space="0"/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0.009358046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0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CLU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-2.260752461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-1.727585949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-3.768587542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0.000275858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0.000407028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0.011503766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0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ABCA8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-2.516874171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-2.710794019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-2.552601713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0.000571622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2.41E-07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0.04431405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0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ADH1B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-2.844443838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-3.16653475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-3.702646599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0.002304717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3.82E-08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0.000672318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</w:trPr>
        <w:tc>
          <w:tcPr>
            <w:tcW w:w="1050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CRISP3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-4.87188203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-2.625730345</w:t>
            </w:r>
          </w:p>
        </w:tc>
        <w:tc>
          <w:tcPr>
            <w:tcW w:w="168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-5.767466592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0.006802578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9.80E-06</w:t>
            </w:r>
          </w:p>
        </w:tc>
        <w:tc>
          <w:tcPr>
            <w:tcW w:w="1561" w:type="dxa"/>
            <w:tcBorders>
              <w:tl2br w:val="nil"/>
              <w:tr2bl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等线" w:hAnsi="等线" w:eastAsia="等线" w:cs="等线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等线" w:hAnsi="等线" w:eastAsia="等线" w:cs="等线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0.030553507</w:t>
            </w:r>
          </w:p>
        </w:tc>
      </w:tr>
    </w:tbl>
    <w:p>
      <w:pPr>
        <w:pStyle w:val="2"/>
      </w:pPr>
      <w:r>
        <w:rPr>
          <w:rFonts w:hint="eastAsia" w:ascii="等线" w:hAnsi="等线" w:eastAsia="等线" w:cs="等线"/>
        </w:rPr>
        <w:br w:type="column"/>
      </w:r>
      <w:r>
        <w:rPr>
          <w:rFonts w:hint="eastAsia"/>
          <w:lang w:eastAsia="zh-CN"/>
        </w:rPr>
        <w:t xml:space="preserve">Supplementary Figures </w:t>
      </w: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cs="Times New Roman"/>
          <w:szCs w:val="24"/>
          <w:lang w:eastAsia="zh-CN"/>
        </w:rPr>
        <w:drawing>
          <wp:inline distT="0" distB="0" distL="114300" distR="114300">
            <wp:extent cx="6847205" cy="3195320"/>
            <wp:effectExtent l="0" t="0" r="10795" b="5080"/>
            <wp:docPr id="2" name="图片 2" descr="genede_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enede_plo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47205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cs="Times New Roman"/>
          <w:b/>
          <w:bCs/>
          <w:szCs w:val="24"/>
          <w:lang w:eastAsia="zh-CN"/>
        </w:rPr>
        <w:t>Fig</w:t>
      </w:r>
      <w:r>
        <w:rPr>
          <w:rFonts w:hint="eastAsia" w:cs="Times New Roman"/>
          <w:b/>
          <w:bCs/>
          <w:szCs w:val="24"/>
          <w:lang w:eastAsia="zh-CN"/>
        </w:rPr>
        <w:t>.</w:t>
      </w:r>
      <w:r>
        <w:rPr>
          <w:rFonts w:cs="Times New Roman"/>
          <w:b/>
          <w:bCs/>
          <w:szCs w:val="24"/>
          <w:lang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S</w:t>
      </w:r>
      <w:r>
        <w:rPr>
          <w:rFonts w:cs="Times New Roman"/>
          <w:b/>
          <w:bCs/>
          <w:szCs w:val="24"/>
          <w:lang w:eastAsia="zh-CN"/>
        </w:rPr>
        <w:t>1.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/>
          <w:bCs/>
          <w:i/>
          <w:iCs/>
          <w:sz w:val="24"/>
          <w:szCs w:val="24"/>
        </w:rPr>
        <w:t>CRISP3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expression levels in various tumor tissues and stages</w:t>
      </w:r>
      <w:r>
        <w:rPr>
          <w:rFonts w:hint="eastAsia" w:cs="Times New Roman"/>
          <w:b/>
          <w:bCs/>
          <w:sz w:val="24"/>
          <w:szCs w:val="24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>TIMER2 was utilized to examine</w:t>
      </w:r>
      <w:r>
        <w:rPr>
          <w:rFonts w:hint="eastAsia"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CRISP3</w:t>
      </w:r>
      <w:r>
        <w:rPr>
          <w:rFonts w:hint="eastAsia" w:ascii="Times New Roman" w:hAnsi="Times New Roman" w:cs="Times New Roman"/>
          <w:b w:val="0"/>
          <w:bCs w:val="0"/>
          <w:sz w:val="24"/>
          <w:szCs w:val="24"/>
        </w:rPr>
        <w:t xml:space="preserve"> gene expression differences in different malignancies or tumor subtype tissues and nearby non-tumor tissues in the TCGA experiment. </w:t>
      </w:r>
      <w:r>
        <w:rPr>
          <w:rFonts w:hint="eastAsia" w:ascii="Times New Roman" w:hAnsi="Times New Roman" w:cs="Times New Roman"/>
          <w:sz w:val="24"/>
          <w:szCs w:val="24"/>
        </w:rPr>
        <w:t>(*</w:t>
      </w:r>
      <w:r>
        <w:rPr>
          <w:rFonts w:ascii="Times New Roman" w:hAnsi="Times New Roman" w:cs="Times New Roman"/>
          <w:i/>
          <w:sz w:val="24"/>
          <w:szCs w:val="24"/>
        </w:rPr>
        <w:t xml:space="preserve">P &lt; </w:t>
      </w:r>
      <w:r>
        <w:rPr>
          <w:rFonts w:hint="eastAsia" w:ascii="Times New Roman" w:hAnsi="Times New Roman" w:cs="Times New Roman"/>
          <w:sz w:val="24"/>
          <w:szCs w:val="24"/>
        </w:rPr>
        <w:t>0.05; **</w:t>
      </w:r>
      <w:r>
        <w:rPr>
          <w:rFonts w:ascii="Times New Roman" w:hAnsi="Times New Roman" w:cs="Times New Roman"/>
          <w:i/>
          <w:sz w:val="24"/>
          <w:szCs w:val="24"/>
        </w:rPr>
        <w:t xml:space="preserve">P &lt; </w:t>
      </w:r>
      <w:r>
        <w:rPr>
          <w:rFonts w:hint="eastAsia" w:ascii="Times New Roman" w:hAnsi="Times New Roman" w:cs="Times New Roman"/>
          <w:sz w:val="24"/>
          <w:szCs w:val="24"/>
        </w:rPr>
        <w:t>0.01; ***</w:t>
      </w:r>
      <w:r>
        <w:rPr>
          <w:rFonts w:ascii="Times New Roman" w:hAnsi="Times New Roman" w:cs="Times New Roman"/>
          <w:i/>
          <w:sz w:val="24"/>
          <w:szCs w:val="24"/>
        </w:rPr>
        <w:t xml:space="preserve">P &lt; </w:t>
      </w:r>
      <w:r>
        <w:rPr>
          <w:rFonts w:hint="eastAsia" w:ascii="Times New Roman" w:hAnsi="Times New Roman" w:cs="Times New Roman"/>
          <w:sz w:val="24"/>
          <w:szCs w:val="24"/>
        </w:rPr>
        <w:t>0.001)</w:t>
      </w: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cs="Times New Roman"/>
          <w:sz w:val="28"/>
          <w:szCs w:val="28"/>
          <w:lang w:eastAsia="zh-CN"/>
        </w:rPr>
      </w:pPr>
    </w:p>
    <w:p>
      <w:pPr>
        <w:rPr>
          <w:rFonts w:cs="Times New Roman"/>
          <w:sz w:val="28"/>
          <w:szCs w:val="28"/>
          <w:lang w:eastAsia="zh-CN"/>
        </w:rPr>
      </w:pPr>
    </w:p>
    <w:p>
      <w:pPr>
        <w:rPr>
          <w:rFonts w:cs="Times New Roman"/>
          <w:sz w:val="28"/>
          <w:szCs w:val="28"/>
          <w:lang w:eastAsia="zh-CN"/>
        </w:rPr>
      </w:pPr>
      <w: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6842760" cy="5186045"/>
            <wp:effectExtent l="0" t="0" r="0" b="10795"/>
            <wp:docPr id="9" name="图片 9" descr="1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 w:val="28"/>
          <w:szCs w:val="28"/>
          <w:lang w:eastAsia="zh-CN"/>
        </w:rPr>
      </w:pPr>
    </w:p>
    <w:p>
      <w:pPr>
        <w:rPr>
          <w:rFonts w:cs="Times New Roman"/>
          <w:b/>
          <w:bCs/>
          <w:color w:val="000000" w:themeColor="text1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jc w:val="both"/>
        <w:rPr>
          <w:rFonts w:cs="Times New Roman"/>
          <w:szCs w:val="24"/>
        </w:rPr>
      </w:pPr>
      <w:r>
        <w:rPr>
          <w:rFonts w:cs="Times New Roman"/>
          <w:b/>
          <w:bCs/>
          <w:szCs w:val="24"/>
          <w:lang w:eastAsia="zh-CN"/>
        </w:rPr>
        <w:t>Fig</w:t>
      </w:r>
      <w:r>
        <w:rPr>
          <w:rFonts w:hint="eastAsia" w:cs="Times New Roman"/>
          <w:b/>
          <w:bCs/>
          <w:szCs w:val="24"/>
          <w:lang w:eastAsia="zh-CN"/>
        </w:rPr>
        <w:t>.</w:t>
      </w:r>
      <w:r>
        <w:rPr>
          <w:rFonts w:cs="Times New Roman"/>
          <w:b/>
          <w:bCs/>
          <w:szCs w:val="24"/>
          <w:lang w:eastAsia="zh-CN"/>
        </w:rPr>
        <w:t xml:space="preserve"> </w:t>
      </w:r>
      <w:r>
        <w:rPr>
          <w:rFonts w:hint="eastAsia" w:cs="Times New Roman"/>
          <w:b/>
          <w:bCs/>
          <w:szCs w:val="24"/>
          <w:lang w:val="en-US" w:eastAsia="zh-CN"/>
        </w:rPr>
        <w:t>S2</w:t>
      </w:r>
      <w:r>
        <w:rPr>
          <w:rFonts w:cs="Times New Roman"/>
          <w:b/>
          <w:bCs/>
          <w:szCs w:val="24"/>
          <w:lang w:eastAsia="zh-CN"/>
        </w:rPr>
        <w:t>.</w:t>
      </w:r>
      <w:r>
        <w:rPr>
          <w:rFonts w:hint="eastAsia" w:cs="Times New Roman"/>
          <w:b/>
          <w:bCs/>
          <w:szCs w:val="24"/>
        </w:rPr>
        <w:t xml:space="preserve"> </w:t>
      </w:r>
      <w:r>
        <w:rPr>
          <w:rFonts w:cs="Times New Roman"/>
          <w:b/>
          <w:bCs/>
          <w:i/>
          <w:iCs/>
          <w:szCs w:val="24"/>
        </w:rPr>
        <w:t>CLU</w:t>
      </w:r>
      <w:r>
        <w:rPr>
          <w:rFonts w:cs="Times New Roman"/>
          <w:b/>
          <w:bCs/>
          <w:szCs w:val="24"/>
        </w:rPr>
        <w:t xml:space="preserve"> expression levels in human tissues were obtained by analysis of HUMAN PROTEIN ATLAS tool</w:t>
      </w:r>
      <w:r>
        <w:rPr>
          <w:rFonts w:hint="eastAsia" w:cs="Times New Roman"/>
          <w:b/>
          <w:bCs/>
          <w:szCs w:val="24"/>
        </w:rPr>
        <w:t xml:space="preserve"> </w:t>
      </w:r>
      <w:r>
        <w:rPr>
          <w:rFonts w:hint="eastAsia" w:cs="Times New Roman"/>
          <w:szCs w:val="24"/>
        </w:rPr>
        <w:t>(</w:t>
      </w:r>
      <w:r>
        <w:rPr>
          <w:rFonts w:hint="eastAsia" w:cs="Times New Roman"/>
          <w:szCs w:val="24"/>
          <w:lang w:val="en-US" w:eastAsia="zh-CN"/>
        </w:rPr>
        <w:t>A</w:t>
      </w:r>
      <w:r>
        <w:rPr>
          <w:rFonts w:hint="eastAsia" w:cs="Times New Roman"/>
          <w:szCs w:val="24"/>
        </w:rPr>
        <w:t xml:space="preserve">)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 xml:space="preserve"> </w:t>
      </w:r>
      <w:r>
        <w:rPr>
          <w:rFonts w:cs="Times New Roman"/>
          <w:szCs w:val="24"/>
        </w:rPr>
        <w:t>p</w:t>
      </w:r>
      <w:r>
        <w:rPr>
          <w:rFonts w:hint="eastAsia" w:cs="Times New Roman"/>
          <w:szCs w:val="24"/>
        </w:rPr>
        <w:t>rotein expression in various human tissues</w:t>
      </w:r>
      <w:r>
        <w:rPr>
          <w:rFonts w:cs="Times New Roman"/>
          <w:szCs w:val="24"/>
        </w:rPr>
        <w:t>;</w:t>
      </w:r>
      <w:r>
        <w:rPr>
          <w:rFonts w:hint="eastAsia" w:cs="Times New Roman"/>
          <w:szCs w:val="24"/>
        </w:rPr>
        <w:t xml:space="preserve"> (</w:t>
      </w:r>
      <w:r>
        <w:rPr>
          <w:rFonts w:hint="eastAsia" w:cs="Times New Roman"/>
          <w:szCs w:val="24"/>
          <w:lang w:val="en-US" w:eastAsia="zh-CN"/>
        </w:rPr>
        <w:t>B</w:t>
      </w:r>
      <w:r>
        <w:rPr>
          <w:rFonts w:hint="eastAsia" w:cs="Times New Roman"/>
          <w:szCs w:val="24"/>
        </w:rPr>
        <w:t xml:space="preserve">) RNA expression of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 xml:space="preserve"> in </w:t>
      </w:r>
      <w:r>
        <w:rPr>
          <w:rFonts w:cs="Times New Roman"/>
          <w:szCs w:val="24"/>
        </w:rPr>
        <w:t>numerous</w:t>
      </w:r>
      <w:r>
        <w:rPr>
          <w:rFonts w:hint="eastAsia" w:cs="Times New Roman"/>
          <w:szCs w:val="24"/>
        </w:rPr>
        <w:t xml:space="preserve"> human tissues.</w:t>
      </w:r>
    </w:p>
    <w:p>
      <w:pPr>
        <w:rPr>
          <w:rFonts w:hint="eastAsia" w:cs="Times New Roman"/>
          <w:szCs w:val="24"/>
          <w:lang w:eastAsia="zh-CN"/>
        </w:rPr>
      </w:pPr>
    </w:p>
    <w:p>
      <w:pPr>
        <w:rPr>
          <w:rFonts w:hint="eastAsia" w:cs="Times New Roman"/>
          <w:szCs w:val="24"/>
          <w:lang w:eastAsia="zh-CN"/>
        </w:rPr>
      </w:pPr>
    </w:p>
    <w:p>
      <w:pPr>
        <w:ind w:left="960" w:hanging="960" w:hangingChars="40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drawing>
          <wp:inline distT="0" distB="0" distL="114300" distR="114300">
            <wp:extent cx="6852920" cy="4586605"/>
            <wp:effectExtent l="0" t="0" r="5080" b="635"/>
            <wp:docPr id="10" name="图片 10" descr="2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副本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292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b/>
          <w:bCs/>
          <w:szCs w:val="24"/>
          <w:lang w:eastAsia="zh-CN"/>
        </w:rPr>
        <w:t xml:space="preserve">Fig. </w:t>
      </w:r>
      <w:r>
        <w:rPr>
          <w:rFonts w:hint="eastAsia" w:cs="Times New Roman"/>
          <w:b/>
          <w:bCs/>
          <w:szCs w:val="24"/>
          <w:lang w:val="en-US" w:eastAsia="zh-CN"/>
        </w:rPr>
        <w:t>S3</w:t>
      </w:r>
      <w:r>
        <w:rPr>
          <w:rFonts w:cs="Times New Roman"/>
          <w:b/>
          <w:bCs/>
          <w:szCs w:val="24"/>
          <w:lang w:eastAsia="zh-CN"/>
        </w:rPr>
        <w:t xml:space="preserve">. </w:t>
      </w:r>
      <w:r>
        <w:rPr>
          <w:rFonts w:cs="Times New Roman"/>
          <w:b/>
          <w:bCs/>
          <w:i/>
          <w:iCs/>
          <w:szCs w:val="24"/>
          <w:lang w:eastAsia="zh-CN"/>
        </w:rPr>
        <w:t>CLU</w:t>
      </w:r>
      <w:r>
        <w:rPr>
          <w:rFonts w:cs="Times New Roman"/>
          <w:b/>
          <w:bCs/>
          <w:szCs w:val="24"/>
          <w:lang w:eastAsia="zh-CN"/>
        </w:rPr>
        <w:t xml:space="preserve"> gene expression levels in several types of cancers and pathological stages</w:t>
      </w:r>
      <w:r>
        <w:rPr>
          <w:rFonts w:cs="Times New Roman"/>
          <w:szCs w:val="24"/>
          <w:lang w:eastAsia="zh-CN"/>
        </w:rPr>
        <w:t xml:space="preserve"> (</w:t>
      </w:r>
      <w:r>
        <w:rPr>
          <w:rFonts w:hint="eastAsia" w:cs="Times New Roman"/>
          <w:szCs w:val="24"/>
          <w:lang w:val="en-US" w:eastAsia="zh-CN"/>
        </w:rPr>
        <w:t>A</w:t>
      </w:r>
      <w:r>
        <w:rPr>
          <w:rFonts w:cs="Times New Roman"/>
          <w:szCs w:val="24"/>
          <w:lang w:eastAsia="zh-CN"/>
        </w:rPr>
        <w:t xml:space="preserve">) GTEx database's equivalent normal tissues were employed as controls, and GEPIA2 was utilized to examine the </w:t>
      </w:r>
      <w:r>
        <w:rPr>
          <w:rFonts w:cs="Times New Roman"/>
          <w:i/>
          <w:iCs/>
          <w:szCs w:val="24"/>
          <w:lang w:eastAsia="zh-CN"/>
        </w:rPr>
        <w:t>CLU</w:t>
      </w:r>
      <w:r>
        <w:rPr>
          <w:rFonts w:cs="Times New Roman"/>
          <w:szCs w:val="24"/>
          <w:lang w:eastAsia="zh-CN"/>
        </w:rPr>
        <w:t xml:space="preserve"> gene expression status in ACC and SARC; (</w:t>
      </w:r>
      <w:r>
        <w:rPr>
          <w:rFonts w:hint="eastAsia" w:cs="Times New Roman"/>
          <w:szCs w:val="24"/>
          <w:lang w:val="en-US" w:eastAsia="zh-CN"/>
        </w:rPr>
        <w:t>B</w:t>
      </w:r>
      <w:r>
        <w:rPr>
          <w:rFonts w:cs="Times New Roman"/>
          <w:szCs w:val="24"/>
          <w:lang w:eastAsia="zh-CN"/>
        </w:rPr>
        <w:t>)</w:t>
      </w:r>
      <w:r>
        <w:rPr>
          <w:rFonts w:cs="Times New Roman"/>
          <w:i/>
          <w:iCs/>
          <w:szCs w:val="24"/>
          <w:lang w:eastAsia="zh-CN"/>
        </w:rPr>
        <w:t xml:space="preserve"> CLU</w:t>
      </w:r>
      <w:r>
        <w:rPr>
          <w:rFonts w:cs="Times New Roman"/>
          <w:szCs w:val="24"/>
          <w:lang w:eastAsia="zh-CN"/>
        </w:rPr>
        <w:t xml:space="preserve"> expression levels by numerous pathological staging of BLCA, BRCA, CESC, CHOL, COAD, DLBC, ESCA, HNSC, KIRP, LUSC, OV, PAAD, READ, STAD, TGCT, and</w:t>
      </w:r>
      <w:r>
        <w:rPr>
          <w:rFonts w:hint="eastAsia" w:cs="Times New Roman"/>
          <w:szCs w:val="24"/>
          <w:lang w:eastAsia="zh-CN"/>
        </w:rPr>
        <w:t xml:space="preserve"> </w:t>
      </w:r>
      <w:r>
        <w:rPr>
          <w:rFonts w:cs="Times New Roman"/>
          <w:szCs w:val="24"/>
          <w:lang w:eastAsia="zh-CN"/>
        </w:rPr>
        <w:t>UCEC</w:t>
      </w:r>
    </w:p>
    <w:p>
      <w:pPr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column"/>
      </w:r>
    </w:p>
    <w:p>
      <w:pPr>
        <w:jc w:val="both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drawing>
          <wp:inline distT="0" distB="0" distL="114300" distR="114300">
            <wp:extent cx="6837680" cy="6475095"/>
            <wp:effectExtent l="0" t="0" r="5080" b="1905"/>
            <wp:docPr id="12" name="图片 12" descr="3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  <w:lang w:eastAsia="zh-CN"/>
        </w:rPr>
      </w:pPr>
      <w:r>
        <w:rPr>
          <w:rFonts w:hint="eastAsia" w:cs="Times New Roman"/>
          <w:b/>
          <w:bCs/>
          <w:szCs w:val="24"/>
          <w:lang w:eastAsia="zh-CN"/>
        </w:rPr>
        <w:t xml:space="preserve">Fig. </w:t>
      </w:r>
      <w:r>
        <w:rPr>
          <w:rFonts w:hint="eastAsia" w:cs="Times New Roman"/>
          <w:b/>
          <w:bCs/>
          <w:szCs w:val="24"/>
          <w:lang w:val="en-US" w:eastAsia="zh-CN"/>
        </w:rPr>
        <w:t>S4</w:t>
      </w:r>
      <w:r>
        <w:rPr>
          <w:rFonts w:hint="eastAsia" w:cs="Times New Roman"/>
          <w:b/>
          <w:bCs/>
          <w:szCs w:val="24"/>
          <w:lang w:eastAsia="zh-CN"/>
        </w:rPr>
        <w:t xml:space="preserve">. The link between </w:t>
      </w:r>
      <w:r>
        <w:rPr>
          <w:rFonts w:hint="eastAsia" w:cs="Times New Roman"/>
          <w:b/>
          <w:bCs/>
          <w:i/>
          <w:iCs/>
          <w:szCs w:val="24"/>
          <w:lang w:eastAsia="zh-CN"/>
        </w:rPr>
        <w:t>CLU</w:t>
      </w:r>
      <w:r>
        <w:rPr>
          <w:rFonts w:hint="eastAsia" w:cs="Times New Roman"/>
          <w:b/>
          <w:bCs/>
          <w:szCs w:val="24"/>
          <w:lang w:eastAsia="zh-CN"/>
        </w:rPr>
        <w:t xml:space="preserve"> gene expression and cancer prognosis was investigated utilizing the Kaplan-Meier plotter.</w:t>
      </w:r>
      <w:r>
        <w:rPr>
          <w:rFonts w:hint="eastAsia" w:cs="Times New Roman"/>
          <w:szCs w:val="24"/>
          <w:lang w:eastAsia="zh-CN"/>
        </w:rPr>
        <w:t xml:space="preserve"> We carried out a series of survival analyses utilizing Kaplan-Meier plotter depending on </w:t>
      </w:r>
      <w:r>
        <w:rPr>
          <w:rFonts w:hint="eastAsia" w:cs="Times New Roman"/>
          <w:i/>
          <w:iCs/>
          <w:szCs w:val="24"/>
          <w:lang w:eastAsia="zh-CN"/>
        </w:rPr>
        <w:t>CLU</w:t>
      </w:r>
      <w:r>
        <w:rPr>
          <w:rFonts w:hint="eastAsia" w:cs="Times New Roman"/>
          <w:szCs w:val="24"/>
          <w:lang w:eastAsia="zh-CN"/>
        </w:rPr>
        <w:t xml:space="preserve"> expression level in ovarian cancer (</w:t>
      </w:r>
      <w:r>
        <w:rPr>
          <w:rFonts w:hint="eastAsia" w:cs="Times New Roman"/>
          <w:szCs w:val="24"/>
          <w:lang w:val="en-US" w:eastAsia="zh-CN"/>
        </w:rPr>
        <w:t>A</w:t>
      </w:r>
      <w:r>
        <w:rPr>
          <w:rFonts w:hint="eastAsia" w:cs="Times New Roman"/>
          <w:szCs w:val="24"/>
          <w:lang w:eastAsia="zh-CN"/>
        </w:rPr>
        <w:t>) lung cancer; (</w:t>
      </w:r>
      <w:r>
        <w:rPr>
          <w:rFonts w:hint="eastAsia" w:cs="Times New Roman"/>
          <w:szCs w:val="24"/>
          <w:lang w:val="en-US" w:eastAsia="zh-CN"/>
        </w:rPr>
        <w:t>B</w:t>
      </w:r>
      <w:r>
        <w:rPr>
          <w:rFonts w:hint="eastAsia" w:cs="Times New Roman"/>
          <w:szCs w:val="24"/>
          <w:lang w:eastAsia="zh-CN"/>
        </w:rPr>
        <w:t>) gastric cancer; (</w:t>
      </w:r>
      <w:r>
        <w:rPr>
          <w:rFonts w:hint="eastAsia" w:cs="Times New Roman"/>
          <w:szCs w:val="24"/>
          <w:lang w:val="en-US" w:eastAsia="zh-CN"/>
        </w:rPr>
        <w:t>C</w:t>
      </w:r>
      <w:r>
        <w:rPr>
          <w:rFonts w:hint="eastAsia" w:cs="Times New Roman"/>
          <w:szCs w:val="24"/>
          <w:lang w:eastAsia="zh-CN"/>
        </w:rPr>
        <w:t>) liver cancer (</w:t>
      </w:r>
      <w:r>
        <w:rPr>
          <w:rFonts w:hint="eastAsia" w:cs="Times New Roman"/>
          <w:szCs w:val="24"/>
          <w:lang w:val="en-US" w:eastAsia="zh-CN"/>
        </w:rPr>
        <w:t>D</w:t>
      </w:r>
      <w:r>
        <w:rPr>
          <w:rFonts w:hint="eastAsia" w:cs="Times New Roman"/>
          <w:szCs w:val="24"/>
          <w:lang w:eastAsia="zh-CN"/>
        </w:rPr>
        <w:t>); and BC; (</w:t>
      </w:r>
      <w:r>
        <w:rPr>
          <w:rFonts w:hint="eastAsia" w:cs="Times New Roman"/>
          <w:szCs w:val="24"/>
          <w:lang w:val="en-US" w:eastAsia="zh-CN"/>
        </w:rPr>
        <w:t>E</w:t>
      </w:r>
      <w:r>
        <w:rPr>
          <w:rFonts w:hint="eastAsia" w:cs="Times New Roman"/>
          <w:szCs w:val="24"/>
          <w:lang w:eastAsia="zh-CN"/>
        </w:rPr>
        <w:t>) cases, including OS, DMFS (Distant metastasis-free survival), RFS, PFS, PPS, and FP.</w:t>
      </w:r>
    </w:p>
    <w:p>
      <w:pPr>
        <w:ind w:left="960" w:hanging="960" w:hangingChars="400"/>
        <w:rPr>
          <w:rFonts w:cs="Times New Roman"/>
          <w:szCs w:val="24"/>
          <w:lang w:eastAsia="zh-CN"/>
        </w:rPr>
      </w:pPr>
      <w:r>
        <w:rPr>
          <w:rFonts w:hint="eastAsia" w:cs="Times New Roman"/>
          <w:szCs w:val="24"/>
          <w:lang w:eastAsia="zh-CN"/>
        </w:rPr>
        <w:br w:type="column"/>
      </w:r>
    </w:p>
    <w:p>
      <w:pPr>
        <w:ind w:left="960" w:hanging="960" w:hangingChars="400"/>
        <w:rPr>
          <w:rFonts w:cs="Times New Roman"/>
          <w:szCs w:val="24"/>
          <w:lang w:eastAsia="zh-CN"/>
        </w:rPr>
      </w:pPr>
    </w:p>
    <w:p>
      <w:pPr>
        <w:ind w:left="960" w:hanging="960" w:hangingChars="40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drawing>
          <wp:inline distT="0" distB="0" distL="114300" distR="114300">
            <wp:extent cx="6851650" cy="5982970"/>
            <wp:effectExtent l="0" t="0" r="6350" b="6350"/>
            <wp:docPr id="14" name="图片 14" descr="4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副本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598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eastAsia="等线" w:cs="Times New Roman"/>
          <w:szCs w:val="24"/>
        </w:rPr>
      </w:pPr>
      <w:r>
        <w:rPr>
          <w:rFonts w:eastAsia="等线" w:cs="Times New Roman"/>
          <w:b/>
          <w:bCs/>
          <w:szCs w:val="24"/>
        </w:rPr>
        <w:t xml:space="preserve">Fig. </w:t>
      </w:r>
      <w:r>
        <w:rPr>
          <w:rFonts w:hint="eastAsia" w:eastAsia="等线" w:cs="Times New Roman"/>
          <w:b/>
          <w:bCs/>
          <w:szCs w:val="24"/>
          <w:lang w:val="en-US" w:eastAsia="zh-CN"/>
        </w:rPr>
        <w:t>S5</w:t>
      </w:r>
      <w:r>
        <w:rPr>
          <w:rFonts w:hint="eastAsia" w:eastAsia="等线" w:cs="Times New Roman"/>
          <w:b/>
          <w:bCs/>
          <w:szCs w:val="24"/>
        </w:rPr>
        <w:t xml:space="preserve">. Correlation investigation of </w:t>
      </w:r>
      <w:r>
        <w:rPr>
          <w:rFonts w:hint="eastAsia" w:eastAsia="等线" w:cs="Times New Roman"/>
          <w:b/>
          <w:bCs/>
          <w:i/>
          <w:iCs/>
          <w:szCs w:val="24"/>
        </w:rPr>
        <w:t>CLU</w:t>
      </w:r>
      <w:r>
        <w:rPr>
          <w:rFonts w:hint="eastAsia" w:eastAsia="等线" w:cs="Times New Roman"/>
          <w:b/>
          <w:bCs/>
          <w:szCs w:val="24"/>
        </w:rPr>
        <w:t xml:space="preserve"> gene expression with CD8+ T-cell immunological infiltration </w:t>
      </w:r>
      <w:r>
        <w:rPr>
          <w:rFonts w:hint="eastAsia" w:eastAsia="等线" w:cs="Times New Roman"/>
          <w:szCs w:val="24"/>
        </w:rPr>
        <w:t>(</w:t>
      </w:r>
      <w:r>
        <w:rPr>
          <w:rFonts w:hint="eastAsia" w:eastAsia="等线" w:cs="Times New Roman"/>
          <w:szCs w:val="24"/>
          <w:lang w:val="en-US" w:eastAsia="zh-CN"/>
        </w:rPr>
        <w:t>A</w:t>
      </w:r>
      <w:r>
        <w:rPr>
          <w:rFonts w:hint="eastAsia" w:eastAsia="等线" w:cs="Times New Roman"/>
          <w:szCs w:val="24"/>
        </w:rPr>
        <w:t xml:space="preserve">) For all TCGA tumors, several algorithms (TIMER, EPIC, MCPCOUNTER, CIBERSORT, CIBERSORT-ABS, QUANTISEQ, and XCELL) were used to assess the connection </w:t>
      </w:r>
      <w:r>
        <w:rPr>
          <w:rFonts w:eastAsia="等线" w:cs="Times New Roman"/>
          <w:szCs w:val="24"/>
        </w:rPr>
        <w:t>between</w:t>
      </w:r>
      <w:r>
        <w:rPr>
          <w:rFonts w:hint="eastAsia" w:eastAsia="等线" w:cs="Times New Roman"/>
          <w:szCs w:val="24"/>
        </w:rPr>
        <w:t xml:space="preserve"> </w:t>
      </w:r>
      <w:r>
        <w:rPr>
          <w:rFonts w:hint="eastAsia" w:eastAsia="等线" w:cs="Times New Roman"/>
          <w:i/>
          <w:iCs/>
          <w:szCs w:val="24"/>
        </w:rPr>
        <w:t>CLU</w:t>
      </w:r>
      <w:r>
        <w:rPr>
          <w:rFonts w:hint="eastAsia" w:eastAsia="等线" w:cs="Times New Roman"/>
          <w:szCs w:val="24"/>
        </w:rPr>
        <w:t xml:space="preserve"> expression and the amount of immunological infiltration of CD8+ T-cells</w:t>
      </w:r>
      <w:r>
        <w:rPr>
          <w:rFonts w:eastAsia="等线" w:cs="Times New Roman"/>
          <w:szCs w:val="24"/>
        </w:rPr>
        <w:t>;</w:t>
      </w:r>
      <w:r>
        <w:rPr>
          <w:rFonts w:hint="eastAsia" w:eastAsia="等线" w:cs="Times New Roman"/>
          <w:szCs w:val="24"/>
        </w:rPr>
        <w:t xml:space="preserve"> (</w:t>
      </w:r>
      <w:r>
        <w:rPr>
          <w:rFonts w:hint="eastAsia" w:eastAsia="等线" w:cs="Times New Roman"/>
          <w:szCs w:val="24"/>
          <w:lang w:val="en-US" w:eastAsia="zh-CN"/>
        </w:rPr>
        <w:t>B</w:t>
      </w:r>
      <w:r>
        <w:rPr>
          <w:rFonts w:hint="eastAsia" w:eastAsia="等线" w:cs="Times New Roman"/>
          <w:szCs w:val="24"/>
        </w:rPr>
        <w:t>)</w:t>
      </w:r>
      <w:r>
        <w:rPr>
          <w:rFonts w:eastAsia="等线" w:cs="Times New Roman"/>
          <w:szCs w:val="24"/>
        </w:rPr>
        <w:t xml:space="preserve"> </w:t>
      </w:r>
      <w:r>
        <w:rPr>
          <w:rFonts w:hint="eastAsia" w:eastAsia="等线" w:cs="Times New Roman"/>
          <w:szCs w:val="24"/>
        </w:rPr>
        <w:t>scatterplot data of the selected tumor was provided, which was created using one of the methods.</w:t>
      </w:r>
    </w:p>
    <w:p>
      <w:pPr>
        <w:rPr>
          <w:rFonts w:eastAsia="等线" w:cs="Times New Roman"/>
          <w:szCs w:val="24"/>
        </w:rPr>
      </w:pPr>
    </w:p>
    <w:p>
      <w:pPr>
        <w:rPr>
          <w:rFonts w:eastAsia="等线" w:cs="Times New Roman"/>
          <w:szCs w:val="24"/>
        </w:rPr>
      </w:pPr>
    </w:p>
    <w:p>
      <w:pPr>
        <w:rPr>
          <w:rFonts w:eastAsia="等线" w:cs="Times New Roman"/>
          <w:szCs w:val="24"/>
        </w:rPr>
      </w:pPr>
    </w:p>
    <w:p>
      <w:pPr>
        <w:rPr>
          <w:rFonts w:eastAsia="等线" w:cs="Times New Roman"/>
          <w:szCs w:val="24"/>
        </w:rPr>
      </w:pPr>
    </w:p>
    <w:p>
      <w:pPr>
        <w:ind w:left="960" w:hanging="960" w:hangingChars="400"/>
        <w:jc w:val="center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drawing>
          <wp:inline distT="0" distB="0" distL="114300" distR="114300">
            <wp:extent cx="6851015" cy="1438910"/>
            <wp:effectExtent l="0" t="0" r="6985" b="8890"/>
            <wp:docPr id="15" name="图片 15" descr="6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副本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1015" cy="143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cs="Times New Roman"/>
          <w:szCs w:val="24"/>
          <w:lang w:eastAsia="zh-CN"/>
        </w:rPr>
      </w:pPr>
      <w:r>
        <w:rPr>
          <w:rFonts w:cs="Times New Roman"/>
          <w:b/>
          <w:bCs/>
          <w:szCs w:val="24"/>
        </w:rPr>
        <w:t xml:space="preserve">Fig. </w:t>
      </w:r>
      <w:r>
        <w:rPr>
          <w:rFonts w:hint="eastAsia" w:cs="Times New Roman"/>
          <w:b/>
          <w:bCs/>
          <w:szCs w:val="24"/>
          <w:lang w:val="en-US" w:eastAsia="zh-CN"/>
        </w:rPr>
        <w:t>S6</w:t>
      </w:r>
      <w:r>
        <w:rPr>
          <w:rFonts w:hint="eastAsia" w:cs="Times New Roman"/>
          <w:b/>
          <w:bCs/>
          <w:szCs w:val="24"/>
        </w:rPr>
        <w:t xml:space="preserve">. GO-biological process/molecular function/cellular component analysis of </w:t>
      </w:r>
      <w:r>
        <w:rPr>
          <w:rFonts w:hint="eastAsia" w:cs="Times New Roman"/>
          <w:b/>
          <w:bCs/>
          <w:i/>
          <w:iCs/>
          <w:szCs w:val="24"/>
        </w:rPr>
        <w:t>CLU</w:t>
      </w:r>
      <w:r>
        <w:rPr>
          <w:rFonts w:hint="eastAsia" w:cs="Times New Roman"/>
          <w:b/>
          <w:bCs/>
          <w:szCs w:val="24"/>
        </w:rPr>
        <w:t xml:space="preserve">-related genes. </w:t>
      </w:r>
      <w:r>
        <w:rPr>
          <w:rFonts w:hint="eastAsia" w:cs="Times New Roman"/>
          <w:szCs w:val="24"/>
        </w:rPr>
        <w:t>(</w:t>
      </w:r>
      <w:r>
        <w:rPr>
          <w:rFonts w:hint="eastAsia" w:cs="Times New Roman"/>
          <w:szCs w:val="24"/>
          <w:lang w:val="en-US" w:eastAsia="zh-CN"/>
        </w:rPr>
        <w:t>A</w:t>
      </w:r>
      <w:r>
        <w:rPr>
          <w:rFonts w:hint="eastAsia" w:cs="Times New Roman"/>
          <w:szCs w:val="24"/>
        </w:rPr>
        <w:t xml:space="preserve">) </w:t>
      </w:r>
      <w:r>
        <w:rPr>
          <w:rFonts w:cs="Times New Roman"/>
          <w:szCs w:val="24"/>
        </w:rPr>
        <w:t>D</w:t>
      </w:r>
      <w:r>
        <w:rPr>
          <w:rFonts w:hint="eastAsia" w:cs="Times New Roman"/>
          <w:szCs w:val="24"/>
        </w:rPr>
        <w:t xml:space="preserve">ot plot for the biological process data in GO enrichment analysis is based on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 xml:space="preserve">-correlated genes and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>-</w:t>
      </w:r>
      <w:r>
        <w:rPr>
          <w:rFonts w:cs="Times New Roman"/>
          <w:szCs w:val="24"/>
        </w:rPr>
        <w:t>bound</w:t>
      </w:r>
      <w:r>
        <w:rPr>
          <w:rFonts w:hint="eastAsia" w:cs="Times New Roman"/>
          <w:szCs w:val="24"/>
        </w:rPr>
        <w:t xml:space="preserve"> proteins</w:t>
      </w:r>
      <w:r>
        <w:rPr>
          <w:rFonts w:cs="Times New Roman"/>
          <w:szCs w:val="24"/>
        </w:rPr>
        <w:t>;</w:t>
      </w:r>
      <w:r>
        <w:rPr>
          <w:rFonts w:hint="eastAsia" w:cs="Times New Roman"/>
          <w:szCs w:val="24"/>
        </w:rPr>
        <w:t xml:space="preserve"> (</w:t>
      </w:r>
      <w:r>
        <w:rPr>
          <w:rFonts w:hint="eastAsia" w:cs="Times New Roman"/>
          <w:szCs w:val="24"/>
          <w:lang w:val="en-US" w:eastAsia="zh-CN"/>
        </w:rPr>
        <w:t>B</w:t>
      </w:r>
      <w:r>
        <w:rPr>
          <w:rFonts w:hint="eastAsia" w:cs="Times New Roman"/>
          <w:szCs w:val="24"/>
        </w:rPr>
        <w:t xml:space="preserve">) dot plot for the molecular function data in GO enrichment analysis </w:t>
      </w:r>
      <w:r>
        <w:rPr>
          <w:rFonts w:cs="Times New Roman"/>
          <w:szCs w:val="24"/>
        </w:rPr>
        <w:t>depend</w:t>
      </w:r>
      <w:r>
        <w:rPr>
          <w:rFonts w:hint="eastAsia" w:cs="Times New Roman"/>
          <w:szCs w:val="24"/>
        </w:rPr>
        <w:t xml:space="preserve">s on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 xml:space="preserve">-correlated genes and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>-</w:t>
      </w:r>
      <w:r>
        <w:rPr>
          <w:rFonts w:cs="Times New Roman"/>
          <w:szCs w:val="24"/>
        </w:rPr>
        <w:t>bound</w:t>
      </w:r>
      <w:r>
        <w:rPr>
          <w:rFonts w:hint="eastAsia" w:cs="Times New Roman"/>
          <w:szCs w:val="24"/>
        </w:rPr>
        <w:t xml:space="preserve"> protein</w:t>
      </w:r>
      <w:r>
        <w:rPr>
          <w:rFonts w:cs="Times New Roman"/>
          <w:szCs w:val="24"/>
        </w:rPr>
        <w:t>;</w:t>
      </w:r>
      <w:r>
        <w:rPr>
          <w:rFonts w:hint="eastAsia" w:cs="Times New Roman"/>
          <w:szCs w:val="24"/>
        </w:rPr>
        <w:t xml:space="preserve"> (</w:t>
      </w:r>
      <w:r>
        <w:rPr>
          <w:rFonts w:hint="eastAsia" w:cs="Times New Roman"/>
          <w:szCs w:val="24"/>
          <w:lang w:val="en-US" w:eastAsia="zh-CN"/>
        </w:rPr>
        <w:t>C</w:t>
      </w:r>
      <w:r>
        <w:rPr>
          <w:rFonts w:hint="eastAsia" w:cs="Times New Roman"/>
          <w:szCs w:val="24"/>
        </w:rPr>
        <w:t xml:space="preserve">) dot plot for the cellular component data in GO analysis </w:t>
      </w:r>
      <w:r>
        <w:rPr>
          <w:rFonts w:cs="Times New Roman"/>
          <w:szCs w:val="24"/>
        </w:rPr>
        <w:t>depending</w:t>
      </w:r>
      <w:r>
        <w:rPr>
          <w:rFonts w:hint="eastAsia" w:cs="Times New Roman"/>
          <w:szCs w:val="24"/>
        </w:rPr>
        <w:t xml:space="preserve"> on </w:t>
      </w:r>
      <w:r>
        <w:rPr>
          <w:rFonts w:hint="eastAsia" w:cs="Times New Roman"/>
          <w:i/>
          <w:iCs/>
          <w:szCs w:val="24"/>
        </w:rPr>
        <w:t>CLU</w:t>
      </w:r>
      <w:r>
        <w:rPr>
          <w:rFonts w:hint="eastAsia" w:cs="Times New Roman"/>
          <w:szCs w:val="24"/>
        </w:rPr>
        <w:t>-correlated genes and</w:t>
      </w:r>
      <w:r>
        <w:rPr>
          <w:rFonts w:hint="eastAsia" w:cs="Times New Roman"/>
          <w:i/>
          <w:iCs/>
          <w:szCs w:val="24"/>
        </w:rPr>
        <w:t xml:space="preserve"> CLU</w:t>
      </w:r>
      <w:r>
        <w:rPr>
          <w:rFonts w:hint="eastAsia" w:cs="Times New Roman"/>
          <w:szCs w:val="24"/>
        </w:rPr>
        <w:t>-</w:t>
      </w:r>
      <w:r>
        <w:rPr>
          <w:rFonts w:cs="Times New Roman"/>
          <w:szCs w:val="24"/>
        </w:rPr>
        <w:t>bound</w:t>
      </w:r>
      <w:r>
        <w:rPr>
          <w:rFonts w:hint="eastAsia" w:cs="Times New Roman"/>
          <w:szCs w:val="24"/>
        </w:rPr>
        <w:t xml:space="preserve"> protein.</w:t>
      </w:r>
    </w:p>
    <w:p>
      <w:pPr>
        <w:spacing w:before="240"/>
        <w:rPr>
          <w:lang w:eastAsia="zh-CN"/>
        </w:rPr>
      </w:pPr>
    </w:p>
    <w:sectPr>
      <w:headerReference r:id="rId5" w:type="first"/>
      <w:footerReference r:id="rId6" w:type="default"/>
      <w:headerReference r:id="rId4" w:type="even"/>
      <w:footerReference r:id="rId7" w:type="even"/>
      <w:pgSz w:w="12240" w:h="15840"/>
      <w:pgMar w:top="720" w:right="720" w:bottom="720" w:left="72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b/>
        <w:sz w:val="2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3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56" o:spid="_x0000_s1026" o:spt="202" type="#_x0000_t202" style="position:absolute;left:0pt;margin-left:457.2pt;margin-top:726.5pt;height:31.15pt;width:118.8pt;mso-position-horizontal-relative:page;mso-position-vertical-relative:page;z-index:251659264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BMV0Qi0gAAAAQBAAAPAAAAAAAAAAEAIAAAACIAAABkcnMvZG93bnJldi54bWxQSwEC&#10;FAAUAAAACACHTuJARAcAODMCAAB1BAAADgAAAAAAAAABACAAAAAhAQAAZHJzL2Uyb0RvYy54bWxQ&#10;SwUGAAAAAAYABgBZAQAAxgUAAAAA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3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C00000"/>
        <w:szCs w:val="24"/>
      </w:rPr>
    </w:pPr>
    <w:r>
      <w:rPr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2</w:t>
                          </w:r>
                          <w:r>
                            <w:rPr>
                              <w:color w:val="000000" w:themeColor="text1"/>
                              <w:szCs w:val="40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457.2pt;margin-top:724.2pt;height:31.15pt;width:118.8pt;mso-position-horizontal-relative:page;mso-position-vertical-relative:page;z-index:251660288;mso-width-relative:page;mso-height-relative:page;" filled="f" stroked="f" coordsize="21600,21600" o:gfxdata="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TFdEItIAAAAEAQAADwAAAAAAAAABACAAAAAiAAAAZHJzL2Rvd25yZXYueG1sUEsBAhQA&#10;FAAAAAgAh07iQFsR1fExAgAAc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>
                    <w:pPr>
                      <w:jc w:val="right"/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Arabic  \* MERGEFORMAT </w:instrTex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2</w:t>
                    </w:r>
                    <w:r>
                      <w:rPr>
                        <w:color w:val="000000" w:themeColor="text1"/>
                        <w:szCs w:val="40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cs="Times New Roman"/>
      </w:rPr>
    </w:pPr>
    <w:r>
      <w:rPr>
        <w:rFonts w:cs="Times New Roman"/>
      </w:rPr>
      <w:ptab w:relativeTo="margin" w:alignment="center" w:leader="none"/>
    </w:r>
    <w:r>
      <w:rPr>
        <w:rFonts w:cs="Times New Roman"/>
      </w:rPr>
      <w:ptab w:relativeTo="margin" w:alignment="right" w:leader="none"/>
    </w:r>
    <w:r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b/>
        <w:color w:val="A6A6A6" w:themeColor="background1" w:themeShade="A6"/>
        <w:lang w:eastAsia="zh-CN"/>
      </w:rPr>
      <w:drawing>
        <wp:inline distT="0" distB="0" distL="0" distR="0">
          <wp:extent cx="1382395" cy="496570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C0601A"/>
    <w:multiLevelType w:val="multilevel"/>
    <w:tmpl w:val="1EC0601A"/>
    <w:lvl w:ilvl="0" w:tentative="0">
      <w:start w:val="1"/>
      <w:numFmt w:val="decimal"/>
      <w:pStyle w:val="2"/>
      <w:lvlText w:val="%1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 w:tentative="0">
      <w:start w:val="1"/>
      <w:numFmt w:val="decimal"/>
      <w:pStyle w:val="4"/>
      <w:lvlText w:val="%1.%2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2" w:tentative="0">
      <w:start w:val="1"/>
      <w:numFmt w:val="decimal"/>
      <w:pStyle w:val="5"/>
      <w:lvlText w:val="%1.%2.%3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3" w:tentative="0">
      <w:start w:val="1"/>
      <w:numFmt w:val="decimal"/>
      <w:pStyle w:val="6"/>
      <w:lvlText w:val="%1.%2.%3.%4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4" w:tentative="0">
      <w:start w:val="1"/>
      <w:numFmt w:val="decimal"/>
      <w:pStyle w:val="7"/>
      <w:lvlText w:val="%1.%2.%3.%4.%5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5" w:tentative="0">
      <w:start w:val="1"/>
      <w:numFmt w:val="lowerRoman"/>
      <w:lvlText w:val="%6."/>
      <w:lvlJc w:val="right"/>
      <w:pPr>
        <w:tabs>
          <w:tab w:val="left" w:pos="567"/>
        </w:tabs>
        <w:ind w:left="567" w:hanging="567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7" w:tentative="0">
      <w:start w:val="1"/>
      <w:numFmt w:val="lowerLetter"/>
      <w:lvlText w:val="%8.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8" w:tentative="0">
      <w:start w:val="1"/>
      <w:numFmt w:val="lowerRoman"/>
      <w:lvlText w:val="%9."/>
      <w:lvlJc w:val="right"/>
      <w:pPr>
        <w:tabs>
          <w:tab w:val="left" w:pos="567"/>
        </w:tabs>
        <w:ind w:left="567" w:hanging="567"/>
      </w:pPr>
      <w:rPr>
        <w:rFonts w:hint="default"/>
      </w:rPr>
    </w:lvl>
  </w:abstractNum>
  <w:abstractNum w:abstractNumId="1">
    <w:nsid w:val="225305B5"/>
    <w:multiLevelType w:val="multilevel"/>
    <w:tmpl w:val="225305B5"/>
    <w:lvl w:ilvl="0" w:tentative="0">
      <w:start w:val="1"/>
      <w:numFmt w:val="bullet"/>
      <w:pStyle w:val="3"/>
      <w:lvlText w:val=""/>
      <w:lvlJc w:val="left"/>
      <w:pPr>
        <w:ind w:left="144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evenAndOddHeaders w:val="1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ZjZjJlMjJkOWY1NzRiNTdhZTNjZTI3ZjYzMTFlYjQifQ=="/>
  </w:docVars>
  <w:rsids>
    <w:rsidRoot w:val="00ED20B5"/>
    <w:rsid w:val="0001436A"/>
    <w:rsid w:val="00034304"/>
    <w:rsid w:val="00035434"/>
    <w:rsid w:val="000362BD"/>
    <w:rsid w:val="00052A14"/>
    <w:rsid w:val="00077D53"/>
    <w:rsid w:val="000E72E9"/>
    <w:rsid w:val="00105FD9"/>
    <w:rsid w:val="00116CF2"/>
    <w:rsid w:val="00117666"/>
    <w:rsid w:val="001549D3"/>
    <w:rsid w:val="00160065"/>
    <w:rsid w:val="00177D84"/>
    <w:rsid w:val="001F528B"/>
    <w:rsid w:val="00234E23"/>
    <w:rsid w:val="00236241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A58D5"/>
    <w:rsid w:val="003B431B"/>
    <w:rsid w:val="003D2F2D"/>
    <w:rsid w:val="00401590"/>
    <w:rsid w:val="00425956"/>
    <w:rsid w:val="00447801"/>
    <w:rsid w:val="00452E9C"/>
    <w:rsid w:val="004735C8"/>
    <w:rsid w:val="004947A6"/>
    <w:rsid w:val="004961FF"/>
    <w:rsid w:val="004F3D89"/>
    <w:rsid w:val="00517A89"/>
    <w:rsid w:val="005250F2"/>
    <w:rsid w:val="0052547A"/>
    <w:rsid w:val="0053661A"/>
    <w:rsid w:val="00593EEA"/>
    <w:rsid w:val="00596AA0"/>
    <w:rsid w:val="005A5EEE"/>
    <w:rsid w:val="005C39F3"/>
    <w:rsid w:val="006375C7"/>
    <w:rsid w:val="00654E8F"/>
    <w:rsid w:val="00660D05"/>
    <w:rsid w:val="006820B1"/>
    <w:rsid w:val="006B77BB"/>
    <w:rsid w:val="006B7D14"/>
    <w:rsid w:val="00701727"/>
    <w:rsid w:val="0070566C"/>
    <w:rsid w:val="00714C50"/>
    <w:rsid w:val="00725A7D"/>
    <w:rsid w:val="007501BE"/>
    <w:rsid w:val="00760B23"/>
    <w:rsid w:val="00790BB3"/>
    <w:rsid w:val="007C206C"/>
    <w:rsid w:val="007D1FB8"/>
    <w:rsid w:val="00817DD6"/>
    <w:rsid w:val="008347E0"/>
    <w:rsid w:val="0083759F"/>
    <w:rsid w:val="0084299E"/>
    <w:rsid w:val="008806F1"/>
    <w:rsid w:val="00885156"/>
    <w:rsid w:val="008B6D72"/>
    <w:rsid w:val="009151AA"/>
    <w:rsid w:val="0093429D"/>
    <w:rsid w:val="00943573"/>
    <w:rsid w:val="00964134"/>
    <w:rsid w:val="00970F7D"/>
    <w:rsid w:val="00994A3D"/>
    <w:rsid w:val="009C2B12"/>
    <w:rsid w:val="00A174D9"/>
    <w:rsid w:val="00A3375F"/>
    <w:rsid w:val="00AA4D24"/>
    <w:rsid w:val="00AB6715"/>
    <w:rsid w:val="00B05911"/>
    <w:rsid w:val="00B1671E"/>
    <w:rsid w:val="00B25EB8"/>
    <w:rsid w:val="00B37F4D"/>
    <w:rsid w:val="00B52E8C"/>
    <w:rsid w:val="00B65AEB"/>
    <w:rsid w:val="00B84782"/>
    <w:rsid w:val="00BF1CB3"/>
    <w:rsid w:val="00C52A7B"/>
    <w:rsid w:val="00C52FFD"/>
    <w:rsid w:val="00C56BAF"/>
    <w:rsid w:val="00C679AA"/>
    <w:rsid w:val="00C75972"/>
    <w:rsid w:val="00CD066B"/>
    <w:rsid w:val="00CE4FEE"/>
    <w:rsid w:val="00D060CF"/>
    <w:rsid w:val="00D658CA"/>
    <w:rsid w:val="00D8664A"/>
    <w:rsid w:val="00DB59C3"/>
    <w:rsid w:val="00DC259A"/>
    <w:rsid w:val="00DE23E8"/>
    <w:rsid w:val="00E26062"/>
    <w:rsid w:val="00E52377"/>
    <w:rsid w:val="00E537AD"/>
    <w:rsid w:val="00E62A4A"/>
    <w:rsid w:val="00E64E17"/>
    <w:rsid w:val="00E7338D"/>
    <w:rsid w:val="00E866C9"/>
    <w:rsid w:val="00EA3D3C"/>
    <w:rsid w:val="00EC0220"/>
    <w:rsid w:val="00EC090A"/>
    <w:rsid w:val="00ED20B5"/>
    <w:rsid w:val="00ED68E3"/>
    <w:rsid w:val="00F36146"/>
    <w:rsid w:val="00F46900"/>
    <w:rsid w:val="00F61D89"/>
    <w:rsid w:val="151D3E0E"/>
    <w:rsid w:val="35CE5B5D"/>
    <w:rsid w:val="36BB213F"/>
    <w:rsid w:val="511D4410"/>
    <w:rsid w:val="62A948CF"/>
    <w:rsid w:val="63155F18"/>
    <w:rsid w:val="6A7E24A6"/>
    <w:rsid w:val="7DFA69C9"/>
    <w:rsid w:val="FE3F8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2" w:semiHidden="0" w:name="heading 1"/>
    <w:lsdException w:qFormat="1" w:unhideWhenUsed="0" w:uiPriority="2" w:semiHidden="0" w:name="heading 2"/>
    <w:lsdException w:qFormat="1" w:unhideWhenUsed="0" w:uiPriority="2" w:semiHidden="0" w:name="heading 3"/>
    <w:lsdException w:qFormat="1" w:unhideWhenUsed="0" w:uiPriority="2" w:semiHidden="0" w:name="heading 4"/>
    <w:lsdException w:qFormat="1" w:unhideWhenUsed="0" w:uiPriority="2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semiHidden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semiHidden="0" w:name="footnote reference"/>
    <w:lsdException w:qFormat="1" w:uiPriority="99" w:semiHidden="0" w:name="annotation reference"/>
    <w:lsdException w:qFormat="1" w:uiPriority="99" w:semiHidden="0" w:name="line number"/>
    <w:lsdException w:uiPriority="99" w:name="page number"/>
    <w:lsdException w:qFormat="1" w:uiPriority="99" w:semiHidden="0" w:name="endnote reference"/>
    <w:lsdException w:qFormat="1" w:uiPriority="99" w:semiHidden="0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99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</w:pPr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2">
    <w:name w:val="heading 1"/>
    <w:basedOn w:val="3"/>
    <w:next w:val="1"/>
    <w:link w:val="31"/>
    <w:qFormat/>
    <w:uiPriority w:val="2"/>
    <w:pPr>
      <w:numPr>
        <w:ilvl w:val="0"/>
        <w:numId w:val="1"/>
      </w:numPr>
      <w:spacing w:before="240"/>
      <w:contextualSpacing w:val="0"/>
      <w:outlineLvl w:val="0"/>
    </w:pPr>
    <w:rPr>
      <w:b/>
    </w:rPr>
  </w:style>
  <w:style w:type="paragraph" w:styleId="4">
    <w:name w:val="heading 2"/>
    <w:basedOn w:val="2"/>
    <w:next w:val="1"/>
    <w:link w:val="32"/>
    <w:qFormat/>
    <w:uiPriority w:val="2"/>
    <w:pPr>
      <w:numPr>
        <w:ilvl w:val="1"/>
      </w:numPr>
      <w:spacing w:after="200"/>
      <w:outlineLvl w:val="1"/>
    </w:pPr>
  </w:style>
  <w:style w:type="paragraph" w:styleId="5">
    <w:name w:val="heading 3"/>
    <w:basedOn w:val="1"/>
    <w:next w:val="1"/>
    <w:link w:val="45"/>
    <w:qFormat/>
    <w:uiPriority w:val="2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6">
    <w:name w:val="heading 4"/>
    <w:basedOn w:val="5"/>
    <w:next w:val="1"/>
    <w:link w:val="46"/>
    <w:qFormat/>
    <w:uiPriority w:val="2"/>
    <w:pPr>
      <w:numPr>
        <w:ilvl w:val="3"/>
      </w:numPr>
      <w:outlineLvl w:val="3"/>
    </w:pPr>
    <w:rPr>
      <w:iCs/>
    </w:rPr>
  </w:style>
  <w:style w:type="paragraph" w:styleId="7">
    <w:name w:val="heading 5"/>
    <w:basedOn w:val="6"/>
    <w:next w:val="1"/>
    <w:link w:val="47"/>
    <w:qFormat/>
    <w:uiPriority w:val="2"/>
    <w:pPr>
      <w:numPr>
        <w:ilvl w:val="4"/>
      </w:numPr>
      <w:outlineLvl w:val="4"/>
    </w:p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表段落1"/>
    <w:basedOn w:val="1"/>
    <w:qFormat/>
    <w:uiPriority w:val="3"/>
    <w:pPr>
      <w:numPr>
        <w:ilvl w:val="0"/>
        <w:numId w:val="2"/>
      </w:numPr>
      <w:contextualSpacing/>
    </w:pPr>
    <w:rPr>
      <w:rFonts w:eastAsia="Cambria" w:cs="Times New Roman"/>
      <w:szCs w:val="24"/>
    </w:rPr>
  </w:style>
  <w:style w:type="paragraph" w:styleId="8">
    <w:name w:val="caption"/>
    <w:basedOn w:val="1"/>
    <w:next w:val="9"/>
    <w:unhideWhenUsed/>
    <w:qFormat/>
    <w:uiPriority w:val="35"/>
    <w:pPr>
      <w:keepNext/>
    </w:pPr>
    <w:rPr>
      <w:rFonts w:cs="Times New Roman"/>
      <w:b/>
      <w:bCs/>
      <w:szCs w:val="24"/>
    </w:rPr>
  </w:style>
  <w:style w:type="paragraph" w:customStyle="1" w:styleId="9">
    <w:name w:val="无间隔1"/>
    <w:unhideWhenUsed/>
    <w:qFormat/>
    <w:uiPriority w:val="99"/>
    <w:rPr>
      <w:rFonts w:ascii="Times New Roman" w:hAnsi="Times New Roman" w:eastAsiaTheme="minorEastAsia" w:cstheme="minorBidi"/>
      <w:sz w:val="24"/>
      <w:szCs w:val="22"/>
      <w:lang w:val="en-US" w:eastAsia="en-US" w:bidi="ar-SA"/>
    </w:rPr>
  </w:style>
  <w:style w:type="paragraph" w:styleId="10">
    <w:name w:val="annotation text"/>
    <w:basedOn w:val="1"/>
    <w:link w:val="37"/>
    <w:unhideWhenUsed/>
    <w:qFormat/>
    <w:uiPriority w:val="99"/>
    <w:rPr>
      <w:sz w:val="20"/>
      <w:szCs w:val="20"/>
    </w:rPr>
  </w:style>
  <w:style w:type="paragraph" w:styleId="11">
    <w:name w:val="endnote text"/>
    <w:basedOn w:val="1"/>
    <w:link w:val="39"/>
    <w:unhideWhenUsed/>
    <w:qFormat/>
    <w:uiPriority w:val="99"/>
    <w:pPr>
      <w:spacing w:after="0"/>
    </w:pPr>
    <w:rPr>
      <w:sz w:val="20"/>
      <w:szCs w:val="20"/>
    </w:rPr>
  </w:style>
  <w:style w:type="paragraph" w:styleId="12">
    <w:name w:val="Balloon Text"/>
    <w:basedOn w:val="1"/>
    <w:link w:val="35"/>
    <w:unhideWhenUsed/>
    <w:qFormat/>
    <w:uiPriority w:val="99"/>
    <w:pPr>
      <w:spacing w:after="0"/>
    </w:pPr>
    <w:rPr>
      <w:rFonts w:ascii="Tahoma" w:hAnsi="Tahoma" w:cs="Tahoma"/>
      <w:sz w:val="16"/>
      <w:szCs w:val="16"/>
    </w:rPr>
  </w:style>
  <w:style w:type="paragraph" w:styleId="13">
    <w:name w:val="footer"/>
    <w:basedOn w:val="1"/>
    <w:link w:val="40"/>
    <w:unhideWhenUsed/>
    <w:qFormat/>
    <w:uiPriority w:val="99"/>
    <w:pPr>
      <w:tabs>
        <w:tab w:val="center" w:pos="4844"/>
        <w:tab w:val="right" w:pos="9689"/>
      </w:tabs>
      <w:spacing w:after="0"/>
    </w:pPr>
  </w:style>
  <w:style w:type="paragraph" w:styleId="14">
    <w:name w:val="header"/>
    <w:basedOn w:val="1"/>
    <w:link w:val="42"/>
    <w:unhideWhenUsed/>
    <w:qFormat/>
    <w:uiPriority w:val="99"/>
    <w:pPr>
      <w:tabs>
        <w:tab w:val="center" w:pos="4844"/>
        <w:tab w:val="right" w:pos="9689"/>
      </w:tabs>
    </w:pPr>
    <w:rPr>
      <w:b/>
    </w:rPr>
  </w:style>
  <w:style w:type="paragraph" w:styleId="15">
    <w:name w:val="Subtitle"/>
    <w:basedOn w:val="1"/>
    <w:next w:val="1"/>
    <w:link w:val="33"/>
    <w:unhideWhenUsed/>
    <w:qFormat/>
    <w:uiPriority w:val="99"/>
    <w:pPr>
      <w:spacing w:before="240"/>
    </w:pPr>
    <w:rPr>
      <w:rFonts w:cs="Times New Roman"/>
      <w:b/>
      <w:szCs w:val="24"/>
    </w:rPr>
  </w:style>
  <w:style w:type="paragraph" w:styleId="16">
    <w:name w:val="footnote text"/>
    <w:basedOn w:val="1"/>
    <w:link w:val="41"/>
    <w:unhideWhenUsed/>
    <w:qFormat/>
    <w:uiPriority w:val="99"/>
    <w:pPr>
      <w:spacing w:after="0"/>
    </w:pPr>
    <w:rPr>
      <w:sz w:val="20"/>
      <w:szCs w:val="20"/>
    </w:r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18">
    <w:name w:val="Title"/>
    <w:basedOn w:val="1"/>
    <w:next w:val="1"/>
    <w:link w:val="51"/>
    <w:qFormat/>
    <w:uiPriority w:val="0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paragraph" w:styleId="19">
    <w:name w:val="annotation subject"/>
    <w:basedOn w:val="10"/>
    <w:next w:val="10"/>
    <w:link w:val="38"/>
    <w:unhideWhenUsed/>
    <w:qFormat/>
    <w:uiPriority w:val="99"/>
    <w:rPr>
      <w:b/>
      <w:bCs/>
    </w:rPr>
  </w:style>
  <w:style w:type="table" w:styleId="21">
    <w:name w:val="Table Grid"/>
    <w:basedOn w:val="20"/>
    <w:qFormat/>
    <w:uiPriority w:val="59"/>
    <w:rPr>
      <w:rFonts w:asciiTheme="majorHAnsi" w:hAnsiTheme="majorHAns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3">
    <w:name w:val="Strong"/>
    <w:basedOn w:val="22"/>
    <w:qFormat/>
    <w:uiPriority w:val="22"/>
    <w:rPr>
      <w:rFonts w:ascii="Times New Roman" w:hAnsi="Times New Roman"/>
      <w:b/>
      <w:bCs/>
    </w:rPr>
  </w:style>
  <w:style w:type="character" w:styleId="24">
    <w:name w:val="endnote reference"/>
    <w:basedOn w:val="22"/>
    <w:unhideWhenUsed/>
    <w:qFormat/>
    <w:uiPriority w:val="99"/>
    <w:rPr>
      <w:vertAlign w:val="superscript"/>
    </w:rPr>
  </w:style>
  <w:style w:type="character" w:styleId="25">
    <w:name w:val="FollowedHyperlink"/>
    <w:basedOn w:val="22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6">
    <w:name w:val="Emphasis"/>
    <w:basedOn w:val="22"/>
    <w:qFormat/>
    <w:uiPriority w:val="20"/>
    <w:rPr>
      <w:rFonts w:ascii="Times New Roman" w:hAnsi="Times New Roman"/>
      <w:i/>
      <w:iCs/>
    </w:rPr>
  </w:style>
  <w:style w:type="character" w:styleId="27">
    <w:name w:val="line number"/>
    <w:basedOn w:val="22"/>
    <w:unhideWhenUsed/>
    <w:qFormat/>
    <w:uiPriority w:val="99"/>
  </w:style>
  <w:style w:type="character" w:styleId="28">
    <w:name w:val="Hyperlink"/>
    <w:basedOn w:val="22"/>
    <w:unhideWhenUsed/>
    <w:qFormat/>
    <w:uiPriority w:val="99"/>
    <w:rPr>
      <w:color w:val="0000FF"/>
      <w:u w:val="single"/>
    </w:rPr>
  </w:style>
  <w:style w:type="character" w:styleId="29">
    <w:name w:val="annotation reference"/>
    <w:basedOn w:val="22"/>
    <w:unhideWhenUsed/>
    <w:qFormat/>
    <w:uiPriority w:val="99"/>
    <w:rPr>
      <w:sz w:val="16"/>
      <w:szCs w:val="16"/>
    </w:rPr>
  </w:style>
  <w:style w:type="character" w:styleId="30">
    <w:name w:val="footnote reference"/>
    <w:basedOn w:val="22"/>
    <w:unhideWhenUsed/>
    <w:qFormat/>
    <w:uiPriority w:val="99"/>
    <w:rPr>
      <w:vertAlign w:val="superscript"/>
    </w:rPr>
  </w:style>
  <w:style w:type="character" w:customStyle="1" w:styleId="31">
    <w:name w:val="标题 1 字符"/>
    <w:basedOn w:val="22"/>
    <w:link w:val="2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2">
    <w:name w:val="标题 2 字符"/>
    <w:basedOn w:val="22"/>
    <w:link w:val="4"/>
    <w:qFormat/>
    <w:uiPriority w:val="2"/>
    <w:rPr>
      <w:rFonts w:ascii="Times New Roman" w:hAnsi="Times New Roman" w:eastAsia="Cambria" w:cs="Times New Roman"/>
      <w:b/>
      <w:sz w:val="24"/>
      <w:szCs w:val="24"/>
    </w:rPr>
  </w:style>
  <w:style w:type="character" w:customStyle="1" w:styleId="33">
    <w:name w:val="副标题 字符"/>
    <w:basedOn w:val="22"/>
    <w:link w:val="15"/>
    <w:qFormat/>
    <w:uiPriority w:val="99"/>
    <w:rPr>
      <w:rFonts w:ascii="Times New Roman" w:hAnsi="Times New Roman" w:cs="Times New Roman"/>
      <w:b/>
      <w:sz w:val="24"/>
      <w:szCs w:val="24"/>
    </w:rPr>
  </w:style>
  <w:style w:type="paragraph" w:customStyle="1" w:styleId="34">
    <w:name w:val="Author List"/>
    <w:basedOn w:val="15"/>
    <w:next w:val="1"/>
    <w:qFormat/>
    <w:uiPriority w:val="1"/>
  </w:style>
  <w:style w:type="character" w:customStyle="1" w:styleId="35">
    <w:name w:val="批注框文本 字符"/>
    <w:basedOn w:val="22"/>
    <w:link w:val="12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36">
    <w:name w:val="书籍标题1"/>
    <w:basedOn w:val="22"/>
    <w:qFormat/>
    <w:uiPriority w:val="33"/>
    <w:rPr>
      <w:rFonts w:ascii="Times New Roman" w:hAnsi="Times New Roman"/>
      <w:b/>
      <w:bCs/>
      <w:i/>
      <w:iCs/>
      <w:spacing w:val="5"/>
    </w:rPr>
  </w:style>
  <w:style w:type="character" w:customStyle="1" w:styleId="37">
    <w:name w:val="批注文字 字符"/>
    <w:basedOn w:val="22"/>
    <w:link w:val="10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38">
    <w:name w:val="批注主题 字符"/>
    <w:basedOn w:val="37"/>
    <w:link w:val="19"/>
    <w:semiHidden/>
    <w:qFormat/>
    <w:uiPriority w:val="99"/>
    <w:rPr>
      <w:rFonts w:ascii="Times New Roman" w:hAnsi="Times New Roman"/>
      <w:b/>
      <w:bCs/>
      <w:sz w:val="20"/>
      <w:szCs w:val="20"/>
    </w:rPr>
  </w:style>
  <w:style w:type="character" w:customStyle="1" w:styleId="39">
    <w:name w:val="尾注文本 字符"/>
    <w:basedOn w:val="22"/>
    <w:link w:val="11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0">
    <w:name w:val="页脚 字符"/>
    <w:basedOn w:val="22"/>
    <w:link w:val="13"/>
    <w:qFormat/>
    <w:uiPriority w:val="99"/>
    <w:rPr>
      <w:rFonts w:ascii="Times New Roman" w:hAnsi="Times New Roman"/>
      <w:sz w:val="24"/>
    </w:rPr>
  </w:style>
  <w:style w:type="character" w:customStyle="1" w:styleId="41">
    <w:name w:val="脚注文本 字符"/>
    <w:basedOn w:val="22"/>
    <w:link w:val="16"/>
    <w:semiHidden/>
    <w:qFormat/>
    <w:uiPriority w:val="99"/>
    <w:rPr>
      <w:rFonts w:ascii="Times New Roman" w:hAnsi="Times New Roman"/>
      <w:sz w:val="20"/>
      <w:szCs w:val="20"/>
    </w:rPr>
  </w:style>
  <w:style w:type="character" w:customStyle="1" w:styleId="42">
    <w:name w:val="页眉 字符"/>
    <w:basedOn w:val="22"/>
    <w:link w:val="14"/>
    <w:qFormat/>
    <w:uiPriority w:val="99"/>
    <w:rPr>
      <w:rFonts w:ascii="Times New Roman" w:hAnsi="Times New Roman"/>
      <w:b/>
      <w:sz w:val="24"/>
    </w:rPr>
  </w:style>
  <w:style w:type="character" w:customStyle="1" w:styleId="43">
    <w:name w:val="明显强调1"/>
    <w:basedOn w:val="22"/>
    <w:unhideWhenUsed/>
    <w:qFormat/>
    <w:uiPriority w:val="21"/>
    <w:rPr>
      <w:rFonts w:ascii="Times New Roman" w:hAnsi="Times New Roman"/>
      <w:i/>
      <w:iCs/>
      <w:color w:val="auto"/>
    </w:rPr>
  </w:style>
  <w:style w:type="character" w:customStyle="1" w:styleId="44">
    <w:name w:val="明显参考1"/>
    <w:basedOn w:val="22"/>
    <w:qFormat/>
    <w:uiPriority w:val="32"/>
    <w:rPr>
      <w:b/>
      <w:bCs/>
      <w:smallCaps/>
      <w:color w:val="auto"/>
      <w:spacing w:val="5"/>
    </w:rPr>
  </w:style>
  <w:style w:type="character" w:customStyle="1" w:styleId="45">
    <w:name w:val="标题 3 字符"/>
    <w:basedOn w:val="22"/>
    <w:link w:val="5"/>
    <w:qFormat/>
    <w:uiPriority w:val="2"/>
    <w:rPr>
      <w:rFonts w:ascii="Times New Roman" w:hAnsi="Times New Roman" w:eastAsiaTheme="majorEastAsia" w:cstheme="majorBidi"/>
      <w:b/>
      <w:sz w:val="24"/>
      <w:szCs w:val="24"/>
    </w:rPr>
  </w:style>
  <w:style w:type="character" w:customStyle="1" w:styleId="46">
    <w:name w:val="标题 4 字符"/>
    <w:basedOn w:val="22"/>
    <w:link w:val="6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character" w:customStyle="1" w:styleId="47">
    <w:name w:val="标题 5 字符"/>
    <w:basedOn w:val="22"/>
    <w:link w:val="7"/>
    <w:qFormat/>
    <w:uiPriority w:val="2"/>
    <w:rPr>
      <w:rFonts w:ascii="Times New Roman" w:hAnsi="Times New Roman" w:eastAsiaTheme="majorEastAsia" w:cstheme="majorBidi"/>
      <w:b/>
      <w:iCs/>
      <w:sz w:val="24"/>
      <w:szCs w:val="24"/>
    </w:rPr>
  </w:style>
  <w:style w:type="paragraph" w:customStyle="1" w:styleId="48">
    <w:name w:val="引用1"/>
    <w:basedOn w:val="1"/>
    <w:next w:val="1"/>
    <w:link w:val="49"/>
    <w:qFormat/>
    <w:uiPriority w:val="29"/>
    <w:pPr>
      <w:spacing w:before="200" w:after="160"/>
      <w:ind w:left="864" w:right="864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9">
    <w:name w:val="引用 字符"/>
    <w:basedOn w:val="22"/>
    <w:link w:val="48"/>
    <w:qFormat/>
    <w:uiPriority w:val="29"/>
    <w:rPr>
      <w:rFonts w:ascii="Times New Roman" w:hAnsi="Times New Roman"/>
      <w:i/>
      <w:iCs/>
      <w:color w:val="404040" w:themeColor="text1" w:themeTint="BF"/>
      <w:sz w:val="24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0">
    <w:name w:val="不明显强调1"/>
    <w:basedOn w:val="22"/>
    <w:qFormat/>
    <w:uiPriority w:val="19"/>
    <w:rPr>
      <w:rFonts w:ascii="Times New Roman" w:hAnsi="Times New Roman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51">
    <w:name w:val="标题 字符"/>
    <w:basedOn w:val="22"/>
    <w:link w:val="18"/>
    <w:qFormat/>
    <w:uiPriority w:val="0"/>
    <w:rPr>
      <w:rFonts w:ascii="Times New Roman" w:hAnsi="Times New Roman" w:cs="Times New Roman"/>
      <w:b/>
      <w:sz w:val="32"/>
      <w:szCs w:val="32"/>
    </w:rPr>
  </w:style>
  <w:style w:type="paragraph" w:customStyle="1" w:styleId="52">
    <w:name w:val="Supplementary Material"/>
    <w:basedOn w:val="18"/>
    <w:next w:val="18"/>
    <w:qFormat/>
    <w:uiPriority w:val="0"/>
    <w:pPr>
      <w:spacing w:after="120"/>
    </w:pPr>
    <w:rPr>
      <w:i/>
    </w:rPr>
  </w:style>
  <w:style w:type="paragraph" w:customStyle="1" w:styleId="53">
    <w:name w:val="书目1"/>
    <w:basedOn w:val="1"/>
    <w:link w:val="54"/>
    <w:qFormat/>
    <w:uiPriority w:val="0"/>
    <w:pPr>
      <w:tabs>
        <w:tab w:val="left" w:pos="380"/>
      </w:tabs>
      <w:spacing w:before="240"/>
      <w:ind w:left="384" w:hanging="384"/>
    </w:pPr>
  </w:style>
  <w:style w:type="character" w:customStyle="1" w:styleId="54">
    <w:name w:val="Bibliography 字符"/>
    <w:basedOn w:val="22"/>
    <w:link w:val="53"/>
    <w:qFormat/>
    <w:uiPriority w:val="0"/>
    <w:rPr>
      <w:rFonts w:ascii="Times New Roman" w:hAnsi="Times New Roman"/>
      <w:sz w:val="24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7.tiff"/><Relationship Id="rId13" Type="http://schemas.openxmlformats.org/officeDocument/2006/relationships/image" Target="media/image6.tiff"/><Relationship Id="rId12" Type="http://schemas.openxmlformats.org/officeDocument/2006/relationships/image" Target="media/image5.tiff"/><Relationship Id="rId11" Type="http://schemas.openxmlformats.org/officeDocument/2006/relationships/image" Target="media/image4.tiff"/><Relationship Id="rId10" Type="http://schemas.openxmlformats.org/officeDocument/2006/relationships/image" Target="media/image3.tiff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495</Words>
  <Characters>2998</Characters>
  <Lines>19</Lines>
  <Paragraphs>5</Paragraphs>
  <TotalTime>15</TotalTime>
  <ScaleCrop>false</ScaleCrop>
  <LinksUpToDate>false</LinksUpToDate>
  <CharactersWithSpaces>3410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2022-09-27T10:06:00Z</dcterms:created>
  <dc:creator>Frontiers Media SA</dc:creator>
  <cp:lastModifiedBy>傅家子弟。</cp:lastModifiedBy>
  <cp:lastPrinted>2022-04-01T15:59:00Z</cp:lastPrinted>
  <dcterms:modified xsi:type="dcterms:W3CDTF">2022-11-12T03:15:56Z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143AA72C6B074A008644A135DFC4C48A</vt:lpwstr>
  </property>
  <property fmtid="{D5CDD505-2E9C-101B-9397-08002B2CF9AE}" pid="4" name="ZOTERO_PREF_1">
    <vt:lpwstr>&lt;data data-version="3" zotero-version="6.0.4"&gt;&lt;session id="sVjx4bxs"/&gt;&lt;style id="http://www.zotero.org/styles/jama" hasBibliography="1" bibliographyStyleHasBeenSet="1"/&gt;&lt;prefs&gt;&lt;pref name="fieldType" value="Field"/&gt;&lt;/prefs&gt;&lt;/data&gt;</vt:lpwstr>
  </property>
  <property fmtid="{D5CDD505-2E9C-101B-9397-08002B2CF9AE}" pid="5" name="_DocHome">
    <vt:i4>-1963112585</vt:i4>
  </property>
</Properties>
</file>