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B30F" w14:textId="310C23C8" w:rsidR="005746DB" w:rsidRPr="005746DB" w:rsidRDefault="00654E8F" w:rsidP="005746DB">
      <w:pPr>
        <w:pStyle w:val="SupplementaryMaterial"/>
        <w:rPr>
          <w:b w:val="0"/>
        </w:rPr>
      </w:pPr>
      <w:r w:rsidRPr="001549D3">
        <w:t>Supplementary Material</w:t>
      </w:r>
    </w:p>
    <w:p w14:paraId="14E22F6D" w14:textId="099CBBBB" w:rsidR="005746DB" w:rsidRPr="007A6373" w:rsidRDefault="005746DB" w:rsidP="005746DB">
      <w:pPr>
        <w:jc w:val="center"/>
        <w:rPr>
          <w:color w:val="000000"/>
          <w:sz w:val="22"/>
        </w:rPr>
      </w:pPr>
      <w:r w:rsidRPr="005746DB">
        <w:rPr>
          <w:rFonts w:hint="eastAsia"/>
          <w:b/>
          <w:bCs/>
          <w:color w:val="000000"/>
          <w:sz w:val="22"/>
        </w:rPr>
        <w:t>T</w:t>
      </w:r>
      <w:r w:rsidRPr="005746DB">
        <w:rPr>
          <w:b/>
          <w:bCs/>
          <w:color w:val="000000"/>
          <w:sz w:val="22"/>
        </w:rPr>
        <w:t xml:space="preserve">able </w:t>
      </w:r>
      <w:r w:rsidRPr="005746DB">
        <w:rPr>
          <w:rFonts w:hint="eastAsia"/>
          <w:b/>
          <w:bCs/>
          <w:color w:val="000000"/>
          <w:sz w:val="22"/>
          <w:lang w:eastAsia="zh-CN"/>
        </w:rPr>
        <w:t>S</w:t>
      </w:r>
      <w:r w:rsidRPr="005746DB">
        <w:rPr>
          <w:b/>
          <w:bCs/>
          <w:color w:val="000000"/>
          <w:sz w:val="22"/>
          <w:lang w:eastAsia="zh-CN"/>
        </w:rPr>
        <w:t>1</w:t>
      </w:r>
      <w:r w:rsidRPr="007A6373">
        <w:rPr>
          <w:color w:val="000000"/>
          <w:sz w:val="22"/>
        </w:rPr>
        <w:t xml:space="preserve"> The top 10 institutions involved in microglia research field</w:t>
      </w:r>
    </w:p>
    <w:tbl>
      <w:tblPr>
        <w:tblStyle w:val="6"/>
        <w:tblW w:w="990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68"/>
        <w:gridCol w:w="1284"/>
        <w:gridCol w:w="174"/>
        <w:gridCol w:w="2094"/>
        <w:gridCol w:w="127"/>
        <w:gridCol w:w="1984"/>
      </w:tblGrid>
      <w:tr w:rsidR="005746DB" w:rsidRPr="007A6373" w14:paraId="155C3195" w14:textId="77777777" w:rsidTr="00AD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422E81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Organization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FEF6C3" w14:textId="77777777" w:rsidR="005746DB" w:rsidRPr="007A6373" w:rsidRDefault="005746DB" w:rsidP="00AD6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Documents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4D5FE6" w14:textId="77777777" w:rsidR="005746DB" w:rsidRPr="007A6373" w:rsidRDefault="005746DB" w:rsidP="00AD6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Centrality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64B1DB" w14:textId="77777777" w:rsidR="005746DB" w:rsidRPr="007A6373" w:rsidRDefault="005746DB" w:rsidP="00AD6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Avg. norm. citations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07D3FC" w14:textId="77777777" w:rsidR="005746DB" w:rsidRPr="007A6373" w:rsidRDefault="005746DB" w:rsidP="00AD6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Total link strength</w:t>
            </w:r>
          </w:p>
        </w:tc>
      </w:tr>
      <w:tr w:rsidR="005746DB" w:rsidRPr="007A6373" w14:paraId="777CBF24" w14:textId="77777777" w:rsidTr="00A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CE6DC1A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Harvard Univ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F96830D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267</w:t>
            </w:r>
            <w:r w:rsidRPr="007A6373">
              <w:rPr>
                <w:rFonts w:cs="Times New Roman"/>
                <w:sz w:val="18"/>
                <w:szCs w:val="18"/>
              </w:rPr>
              <w:t>(2.08%)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C2E46A4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0.15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658CEE8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bookmarkStart w:id="0" w:name="_Hlk113981776"/>
            <w:r w:rsidRPr="007A6373">
              <w:rPr>
                <w:rFonts w:cs="Times New Roman" w:hint="eastAsia"/>
                <w:sz w:val="18"/>
                <w:szCs w:val="18"/>
              </w:rPr>
              <w:t>2.6</w:t>
            </w:r>
            <w:r w:rsidRPr="007A6373">
              <w:rPr>
                <w:rFonts w:cs="Times New Roman"/>
                <w:sz w:val="18"/>
                <w:szCs w:val="18"/>
              </w:rPr>
              <w:t>7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8065F25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600</w:t>
            </w:r>
          </w:p>
        </w:tc>
      </w:tr>
      <w:tr w:rsidR="005746DB" w:rsidRPr="007A6373" w14:paraId="744910D9" w14:textId="77777777" w:rsidTr="00AD6BA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07BDCAD5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Kyushu Univ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171AFF82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204</w:t>
            </w:r>
            <w:r w:rsidRPr="007A6373">
              <w:rPr>
                <w:rFonts w:cs="Times New Roman"/>
                <w:sz w:val="18"/>
                <w:szCs w:val="18"/>
              </w:rPr>
              <w:t>(1.59%)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01C8E590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0.07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131B75CB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1.2</w:t>
            </w:r>
            <w:r w:rsidRPr="007A637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1F82B43B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237</w:t>
            </w:r>
          </w:p>
        </w:tc>
      </w:tr>
      <w:tr w:rsidR="005746DB" w:rsidRPr="007A6373" w14:paraId="43025E1E" w14:textId="77777777" w:rsidTr="00A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321857BC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Shanghai Jiao Tong Univ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6AEA875C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193</w:t>
            </w:r>
            <w:r w:rsidRPr="007A6373">
              <w:rPr>
                <w:rFonts w:cs="Times New Roman"/>
                <w:sz w:val="18"/>
                <w:szCs w:val="18"/>
              </w:rPr>
              <w:t>(1.51%)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4257B9E0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0.04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3A829E1E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0.8</w:t>
            </w:r>
            <w:r w:rsidRPr="007A637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3FF8B346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198</w:t>
            </w:r>
          </w:p>
        </w:tc>
      </w:tr>
      <w:tr w:rsidR="005746DB" w:rsidRPr="007A6373" w14:paraId="2355CCAD" w14:textId="77777777" w:rsidTr="00AD6BA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4CE18EFF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Fudan Univ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437AE46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153</w:t>
            </w:r>
            <w:r w:rsidRPr="007A6373">
              <w:rPr>
                <w:rFonts w:cs="Times New Roman"/>
                <w:sz w:val="18"/>
                <w:szCs w:val="18"/>
              </w:rPr>
              <w:t>(1.19%)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67255A8A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0.02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1F0F594B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1.09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2AE16113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183</w:t>
            </w:r>
          </w:p>
        </w:tc>
      </w:tr>
      <w:tr w:rsidR="005746DB" w:rsidRPr="007A6373" w14:paraId="693B01CF" w14:textId="77777777" w:rsidTr="00A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2D99DA39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Univ Freiburg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02557A3A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145</w:t>
            </w:r>
            <w:r w:rsidRPr="007A6373">
              <w:rPr>
                <w:rFonts w:cs="Times New Roman"/>
                <w:sz w:val="18"/>
                <w:szCs w:val="18"/>
              </w:rPr>
              <w:t>(1.13%)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243EBB6B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0.04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15A8C221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bookmarkStart w:id="1" w:name="_Hlk113981791"/>
            <w:r w:rsidRPr="007A6373">
              <w:rPr>
                <w:rFonts w:cs="Times New Roman" w:hint="eastAsia"/>
                <w:sz w:val="18"/>
                <w:szCs w:val="18"/>
              </w:rPr>
              <w:t>2.29</w:t>
            </w:r>
            <w:bookmarkEnd w:id="1"/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062C36B2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311</w:t>
            </w:r>
          </w:p>
        </w:tc>
      </w:tr>
      <w:tr w:rsidR="005746DB" w:rsidRPr="007A6373" w14:paraId="17064B39" w14:textId="77777777" w:rsidTr="00AD6BA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17C1566A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Chinese </w:t>
            </w:r>
            <w:proofErr w:type="spellStart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Acad</w:t>
            </w:r>
            <w:proofErr w:type="spellEnd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Sci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6F1CEFC8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140</w:t>
            </w:r>
            <w:r w:rsidRPr="007A6373">
              <w:rPr>
                <w:rFonts w:cs="Times New Roman"/>
                <w:sz w:val="18"/>
                <w:szCs w:val="18"/>
              </w:rPr>
              <w:t>(1.09%)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4427AC3D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0.03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41077F3F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1.0</w:t>
            </w:r>
            <w:r w:rsidRPr="007A637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57A95A9E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253</w:t>
            </w:r>
          </w:p>
        </w:tc>
      </w:tr>
      <w:tr w:rsidR="005746DB" w:rsidRPr="007A6373" w14:paraId="36155446" w14:textId="77777777" w:rsidTr="00A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67808BCB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Kyung </w:t>
            </w:r>
            <w:proofErr w:type="spellStart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Hee</w:t>
            </w:r>
            <w:proofErr w:type="spellEnd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Univ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97FCC87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138</w:t>
            </w:r>
            <w:r w:rsidRPr="007A6373">
              <w:rPr>
                <w:rFonts w:cs="Times New Roman"/>
                <w:sz w:val="18"/>
                <w:szCs w:val="18"/>
              </w:rPr>
              <w:t>(1.08%)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46D63275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0.02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225A7D0F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0.5</w:t>
            </w:r>
            <w:r w:rsidRPr="007A637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047C7807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129</w:t>
            </w:r>
          </w:p>
        </w:tc>
      </w:tr>
      <w:tr w:rsidR="005746DB" w:rsidRPr="007A6373" w14:paraId="7B447936" w14:textId="77777777" w:rsidTr="00AD6BA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6B4ECFF4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Sun </w:t>
            </w:r>
            <w:proofErr w:type="spellStart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Yat</w:t>
            </w:r>
            <w:proofErr w:type="spellEnd"/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Sen Univ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498CAB44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137</w:t>
            </w:r>
            <w:r w:rsidRPr="007A6373">
              <w:rPr>
                <w:rFonts w:cs="Times New Roman"/>
                <w:sz w:val="18"/>
                <w:szCs w:val="18"/>
              </w:rPr>
              <w:t>(1.07%)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349331A3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0.02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0DE3FD34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0.9</w:t>
            </w:r>
            <w:r w:rsidRPr="007A637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7E757633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152</w:t>
            </w:r>
          </w:p>
        </w:tc>
      </w:tr>
      <w:tr w:rsidR="005746DB" w:rsidRPr="007A6373" w14:paraId="46384043" w14:textId="77777777" w:rsidTr="00A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0CEB0209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Huazhong Univ Sci &amp; Technol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2EB9B8A9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136</w:t>
            </w:r>
            <w:r w:rsidRPr="007A6373">
              <w:rPr>
                <w:rFonts w:cs="Times New Roman"/>
                <w:sz w:val="18"/>
                <w:szCs w:val="18"/>
              </w:rPr>
              <w:t>(1.06%)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25EDF760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0.03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3537D865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0.79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3A756F36" w14:textId="77777777" w:rsidR="005746DB" w:rsidRPr="007A6373" w:rsidRDefault="005746DB" w:rsidP="00AD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161</w:t>
            </w:r>
          </w:p>
        </w:tc>
      </w:tr>
      <w:tr w:rsidR="005746DB" w:rsidRPr="007A6373" w14:paraId="227C0F3A" w14:textId="77777777" w:rsidTr="00AD6BA5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  <w:noWrap/>
            <w:hideMark/>
          </w:tcPr>
          <w:p w14:paraId="7706156A" w14:textId="77777777" w:rsidR="005746DB" w:rsidRPr="007A6373" w:rsidRDefault="005746DB" w:rsidP="00AD6BA5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A6373">
              <w:rPr>
                <w:rFonts w:cs="Times New Roman"/>
                <w:b w:val="0"/>
                <w:bCs w:val="0"/>
                <w:sz w:val="18"/>
                <w:szCs w:val="18"/>
              </w:rPr>
              <w:t>Univ British Columbia</w:t>
            </w:r>
          </w:p>
        </w:tc>
        <w:tc>
          <w:tcPr>
            <w:tcW w:w="1268" w:type="dxa"/>
            <w:shd w:val="clear" w:color="auto" w:fill="FFFFFF" w:themeFill="background1"/>
            <w:noWrap/>
            <w:hideMark/>
          </w:tcPr>
          <w:p w14:paraId="3F7083DC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134</w:t>
            </w:r>
            <w:r w:rsidRPr="007A6373">
              <w:rPr>
                <w:rFonts w:cs="Times New Roman"/>
                <w:sz w:val="18"/>
                <w:szCs w:val="18"/>
              </w:rPr>
              <w:t>(1.05%)</w:t>
            </w:r>
          </w:p>
        </w:tc>
        <w:tc>
          <w:tcPr>
            <w:tcW w:w="1458" w:type="dxa"/>
            <w:gridSpan w:val="2"/>
            <w:shd w:val="clear" w:color="auto" w:fill="FFFFFF" w:themeFill="background1"/>
            <w:noWrap/>
            <w:hideMark/>
          </w:tcPr>
          <w:p w14:paraId="5A7F6E9B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0.05</w:t>
            </w:r>
          </w:p>
        </w:tc>
        <w:tc>
          <w:tcPr>
            <w:tcW w:w="2221" w:type="dxa"/>
            <w:gridSpan w:val="2"/>
            <w:shd w:val="clear" w:color="auto" w:fill="FFFFFF" w:themeFill="background1"/>
            <w:noWrap/>
            <w:hideMark/>
          </w:tcPr>
          <w:p w14:paraId="65C3086C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1.1</w:t>
            </w:r>
            <w:r w:rsidRPr="007A637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14:paraId="06270874" w14:textId="77777777" w:rsidR="005746DB" w:rsidRPr="007A6373" w:rsidRDefault="005746DB" w:rsidP="00AD6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A6373">
              <w:rPr>
                <w:rFonts w:cs="Times New Roman" w:hint="eastAsia"/>
                <w:sz w:val="18"/>
                <w:szCs w:val="18"/>
              </w:rPr>
              <w:t>201</w:t>
            </w:r>
          </w:p>
        </w:tc>
      </w:tr>
    </w:tbl>
    <w:p w14:paraId="0C60E9AF" w14:textId="77777777" w:rsidR="005746DB" w:rsidRDefault="005746DB" w:rsidP="005746DB">
      <w:pPr>
        <w:rPr>
          <w:color w:val="000000"/>
          <w:sz w:val="18"/>
          <w:szCs w:val="18"/>
        </w:rPr>
      </w:pPr>
    </w:p>
    <w:p w14:paraId="67E59994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676C491B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12DA49D2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74B222F1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4596CC42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0022A5B8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3EE3824A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53D12700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2D045042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0532932D" w14:textId="77777777" w:rsidR="005746DB" w:rsidRDefault="005746DB" w:rsidP="005746DB">
      <w:pPr>
        <w:jc w:val="center"/>
        <w:rPr>
          <w:rFonts w:cs="Times New Roman"/>
          <w:color w:val="000000"/>
          <w:sz w:val="22"/>
        </w:rPr>
      </w:pPr>
    </w:p>
    <w:p w14:paraId="7F2D4F8A" w14:textId="1AAC4C5F" w:rsidR="005746DB" w:rsidRPr="007A6373" w:rsidRDefault="005746DB" w:rsidP="005746DB">
      <w:pPr>
        <w:jc w:val="center"/>
        <w:rPr>
          <w:rFonts w:cs="Times New Roman"/>
          <w:color w:val="000000"/>
          <w:sz w:val="22"/>
        </w:rPr>
      </w:pPr>
      <w:r w:rsidRPr="005746DB">
        <w:rPr>
          <w:rFonts w:cs="Times New Roman" w:hint="eastAsia"/>
          <w:b/>
          <w:bCs/>
          <w:color w:val="000000"/>
          <w:sz w:val="22"/>
        </w:rPr>
        <w:lastRenderedPageBreak/>
        <w:t xml:space="preserve">Table </w:t>
      </w:r>
      <w:r w:rsidRPr="005746DB">
        <w:rPr>
          <w:rFonts w:cs="Times New Roman"/>
          <w:b/>
          <w:bCs/>
          <w:color w:val="000000"/>
          <w:sz w:val="22"/>
        </w:rPr>
        <w:t>S2</w:t>
      </w:r>
      <w:r w:rsidRPr="007A6373">
        <w:rPr>
          <w:rFonts w:cs="Times New Roman" w:hint="eastAsia"/>
          <w:color w:val="000000"/>
          <w:sz w:val="22"/>
        </w:rPr>
        <w:t xml:space="preserve"> Summary of the 17 clusters</w:t>
      </w:r>
      <w:r w:rsidRPr="007A6373">
        <w:rPr>
          <w:rFonts w:cs="Times New Roman"/>
          <w:color w:val="000000"/>
          <w:sz w:val="22"/>
        </w:rPr>
        <w:t xml:space="preserve"> of co-citation networks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709"/>
        <w:gridCol w:w="1417"/>
        <w:gridCol w:w="3830"/>
        <w:gridCol w:w="1418"/>
      </w:tblGrid>
      <w:tr w:rsidR="005746DB" w:rsidRPr="007A6373" w14:paraId="2EE5D12B" w14:textId="77777777" w:rsidTr="00AD6BA5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515C6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Cluster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523A8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9C0A7C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Silhouette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4B0EC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Label (Title/ Keywords)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8329C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Average Year</w:t>
            </w:r>
          </w:p>
        </w:tc>
      </w:tr>
      <w:tr w:rsidR="005746DB" w:rsidRPr="007A6373" w14:paraId="4F41C8D9" w14:textId="77777777" w:rsidTr="00AD6BA5">
        <w:tc>
          <w:tcPr>
            <w:tcW w:w="843" w:type="dxa"/>
            <w:tcBorders>
              <w:top w:val="single" w:sz="4" w:space="0" w:color="auto"/>
            </w:tcBorders>
            <w:hideMark/>
          </w:tcPr>
          <w:p w14:paraId="4196225B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7B0DEB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175BF9C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0.762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hideMark/>
          </w:tcPr>
          <w:p w14:paraId="3E8A1A1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ischemic stroke/ stroke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14:paraId="5317B32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2012</w:t>
            </w:r>
          </w:p>
        </w:tc>
      </w:tr>
      <w:tr w:rsidR="005746DB" w:rsidRPr="007A6373" w14:paraId="7F93E9CF" w14:textId="77777777" w:rsidTr="00AD6BA5">
        <w:tc>
          <w:tcPr>
            <w:tcW w:w="843" w:type="dxa"/>
            <w:hideMark/>
          </w:tcPr>
          <w:p w14:paraId="29C2FE3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14:paraId="389EF4C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7" w:type="dxa"/>
            <w:hideMark/>
          </w:tcPr>
          <w:p w14:paraId="4521084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0.826</w:t>
            </w:r>
          </w:p>
        </w:tc>
        <w:tc>
          <w:tcPr>
            <w:tcW w:w="3830" w:type="dxa"/>
            <w:hideMark/>
          </w:tcPr>
          <w:p w14:paraId="1F47560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mhc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class ii/ chemokine</w:t>
            </w:r>
          </w:p>
        </w:tc>
        <w:tc>
          <w:tcPr>
            <w:tcW w:w="1418" w:type="dxa"/>
            <w:hideMark/>
          </w:tcPr>
          <w:p w14:paraId="0EBCE46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2003</w:t>
            </w:r>
          </w:p>
        </w:tc>
      </w:tr>
      <w:tr w:rsidR="005746DB" w:rsidRPr="007A6373" w14:paraId="7F89A95B" w14:textId="77777777" w:rsidTr="00AD6BA5">
        <w:tc>
          <w:tcPr>
            <w:tcW w:w="843" w:type="dxa"/>
            <w:hideMark/>
          </w:tcPr>
          <w:p w14:paraId="687D9D96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14:paraId="3613793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7" w:type="dxa"/>
            <w:hideMark/>
          </w:tcPr>
          <w:p w14:paraId="241DA77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3830" w:type="dxa"/>
            <w:hideMark/>
          </w:tcPr>
          <w:p w14:paraId="20AD74F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neuronal activity/ synapse</w:t>
            </w:r>
          </w:p>
        </w:tc>
        <w:tc>
          <w:tcPr>
            <w:tcW w:w="1418" w:type="dxa"/>
            <w:hideMark/>
          </w:tcPr>
          <w:p w14:paraId="396C01B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2015</w:t>
            </w:r>
          </w:p>
        </w:tc>
      </w:tr>
      <w:tr w:rsidR="005746DB" w:rsidRPr="007A6373" w14:paraId="1D8346BA" w14:textId="77777777" w:rsidTr="00AD6BA5">
        <w:tc>
          <w:tcPr>
            <w:tcW w:w="843" w:type="dxa"/>
            <w:hideMark/>
          </w:tcPr>
          <w:p w14:paraId="5F3301E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14:paraId="42DC6F2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7" w:type="dxa"/>
            <w:hideMark/>
          </w:tcPr>
          <w:p w14:paraId="1DA1178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0.867</w:t>
            </w:r>
          </w:p>
        </w:tc>
        <w:tc>
          <w:tcPr>
            <w:tcW w:w="3830" w:type="dxa"/>
            <w:hideMark/>
          </w:tcPr>
          <w:p w14:paraId="480FEF7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ischemic preconditioning/ microglial </w:t>
            </w:r>
            <w:r w:rsidRPr="007A6373">
              <w:rPr>
                <w:rFonts w:cs="Times New Roman" w:hint="eastAsia"/>
                <w:color w:val="000000"/>
                <w:sz w:val="18"/>
                <w:szCs w:val="18"/>
              </w:rPr>
              <w:t>dep</w:t>
            </w:r>
            <w:r w:rsidRPr="007A6373">
              <w:rPr>
                <w:rFonts w:cs="Times New Roman"/>
                <w:color w:val="000000"/>
                <w:sz w:val="18"/>
                <w:szCs w:val="18"/>
              </w:rPr>
              <w:t>letion</w:t>
            </w:r>
          </w:p>
        </w:tc>
        <w:tc>
          <w:tcPr>
            <w:tcW w:w="1418" w:type="dxa"/>
            <w:hideMark/>
          </w:tcPr>
          <w:p w14:paraId="2662207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5746DB" w:rsidRPr="007A6373" w14:paraId="445F4014" w14:textId="77777777" w:rsidTr="00AD6BA5">
        <w:tc>
          <w:tcPr>
            <w:tcW w:w="843" w:type="dxa"/>
            <w:hideMark/>
          </w:tcPr>
          <w:p w14:paraId="503CFF7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14:paraId="4F219DBF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17" w:type="dxa"/>
            <w:hideMark/>
          </w:tcPr>
          <w:p w14:paraId="57AD8B9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3830" w:type="dxa"/>
            <w:hideMark/>
          </w:tcPr>
          <w:p w14:paraId="37D10C9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neuropathic pain/ neuropathic pain</w:t>
            </w:r>
          </w:p>
        </w:tc>
        <w:tc>
          <w:tcPr>
            <w:tcW w:w="1418" w:type="dxa"/>
            <w:hideMark/>
          </w:tcPr>
          <w:p w14:paraId="69DC52B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2009</w:t>
            </w:r>
          </w:p>
        </w:tc>
      </w:tr>
      <w:tr w:rsidR="005746DB" w:rsidRPr="007A6373" w14:paraId="337A326C" w14:textId="77777777" w:rsidTr="00AD6BA5">
        <w:tc>
          <w:tcPr>
            <w:tcW w:w="843" w:type="dxa"/>
            <w:hideMark/>
          </w:tcPr>
          <w:p w14:paraId="152A1F2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14:paraId="0BFAC80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17" w:type="dxa"/>
            <w:hideMark/>
          </w:tcPr>
          <w:p w14:paraId="2ED7B33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0.907</w:t>
            </w:r>
          </w:p>
        </w:tc>
        <w:tc>
          <w:tcPr>
            <w:tcW w:w="3830" w:type="dxa"/>
            <w:hideMark/>
          </w:tcPr>
          <w:p w14:paraId="2403318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microglial activation/ </w:t>
            </w: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alzheimer’s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1418" w:type="dxa"/>
            <w:hideMark/>
          </w:tcPr>
          <w:p w14:paraId="2990CFA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2017</w:t>
            </w:r>
          </w:p>
        </w:tc>
      </w:tr>
      <w:tr w:rsidR="005746DB" w:rsidRPr="007A6373" w14:paraId="29091028" w14:textId="77777777" w:rsidTr="00AD6BA5">
        <w:tc>
          <w:tcPr>
            <w:tcW w:w="843" w:type="dxa"/>
            <w:hideMark/>
          </w:tcPr>
          <w:p w14:paraId="71ED386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14:paraId="3499486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17" w:type="dxa"/>
            <w:hideMark/>
          </w:tcPr>
          <w:p w14:paraId="777B0C1A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3830" w:type="dxa"/>
            <w:hideMark/>
          </w:tcPr>
          <w:p w14:paraId="468C313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dopaminergic neuron/ </w:t>
            </w: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parkinson’s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1418" w:type="dxa"/>
            <w:hideMark/>
          </w:tcPr>
          <w:p w14:paraId="0B49CB4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2005</w:t>
            </w:r>
          </w:p>
        </w:tc>
      </w:tr>
      <w:tr w:rsidR="005746DB" w:rsidRPr="007A6373" w14:paraId="38E19F1A" w14:textId="77777777" w:rsidTr="00AD6BA5">
        <w:tc>
          <w:tcPr>
            <w:tcW w:w="843" w:type="dxa"/>
            <w:hideMark/>
          </w:tcPr>
          <w:p w14:paraId="5BBD976F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14:paraId="1367736A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7" w:type="dxa"/>
            <w:hideMark/>
          </w:tcPr>
          <w:p w14:paraId="02C3672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3830" w:type="dxa"/>
            <w:hideMark/>
          </w:tcPr>
          <w:p w14:paraId="1D59EFA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amyloid beta-peptide/ beta-amyloid</w:t>
            </w:r>
          </w:p>
        </w:tc>
        <w:tc>
          <w:tcPr>
            <w:tcW w:w="1418" w:type="dxa"/>
            <w:hideMark/>
          </w:tcPr>
          <w:p w14:paraId="1E4ADBD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2004</w:t>
            </w:r>
          </w:p>
        </w:tc>
      </w:tr>
      <w:tr w:rsidR="005746DB" w:rsidRPr="007A6373" w14:paraId="05336BCD" w14:textId="77777777" w:rsidTr="00AD6BA5">
        <w:tc>
          <w:tcPr>
            <w:tcW w:w="843" w:type="dxa"/>
            <w:hideMark/>
          </w:tcPr>
          <w:p w14:paraId="42A17EEA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hideMark/>
          </w:tcPr>
          <w:p w14:paraId="488EA203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7" w:type="dxa"/>
            <w:hideMark/>
          </w:tcPr>
          <w:p w14:paraId="22EA201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0.941</w:t>
            </w:r>
          </w:p>
        </w:tc>
        <w:tc>
          <w:tcPr>
            <w:tcW w:w="3830" w:type="dxa"/>
            <w:hideMark/>
          </w:tcPr>
          <w:p w14:paraId="0ADEB5E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depressive-like behavior/ depression</w:t>
            </w:r>
          </w:p>
        </w:tc>
        <w:tc>
          <w:tcPr>
            <w:tcW w:w="1418" w:type="dxa"/>
            <w:hideMark/>
          </w:tcPr>
          <w:p w14:paraId="1CF52FB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2015</w:t>
            </w:r>
          </w:p>
        </w:tc>
      </w:tr>
      <w:tr w:rsidR="005746DB" w:rsidRPr="007A6373" w14:paraId="5F2BD77E" w14:textId="77777777" w:rsidTr="00AD6BA5">
        <w:tc>
          <w:tcPr>
            <w:tcW w:w="843" w:type="dxa"/>
            <w:hideMark/>
          </w:tcPr>
          <w:p w14:paraId="20BB4A6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hideMark/>
          </w:tcPr>
          <w:p w14:paraId="4C22FEDB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hideMark/>
          </w:tcPr>
          <w:p w14:paraId="7597E76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830" w:type="dxa"/>
            <w:hideMark/>
          </w:tcPr>
          <w:p w14:paraId="5F9658ED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tumor-associated microglia/ glioma</w:t>
            </w:r>
          </w:p>
        </w:tc>
        <w:tc>
          <w:tcPr>
            <w:tcW w:w="1418" w:type="dxa"/>
            <w:hideMark/>
          </w:tcPr>
          <w:p w14:paraId="25DE6094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5746DB" w:rsidRPr="007A6373" w14:paraId="1C64352D" w14:textId="77777777" w:rsidTr="00AD6BA5">
        <w:tc>
          <w:tcPr>
            <w:tcW w:w="843" w:type="dxa"/>
            <w:hideMark/>
          </w:tcPr>
          <w:p w14:paraId="2FF6F2C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14:paraId="2FCCE61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hideMark/>
          </w:tcPr>
          <w:p w14:paraId="62A37E0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0.984</w:t>
            </w:r>
          </w:p>
        </w:tc>
        <w:tc>
          <w:tcPr>
            <w:tcW w:w="3830" w:type="dxa"/>
            <w:hideMark/>
          </w:tcPr>
          <w:p w14:paraId="3526E0E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parkinsons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disease/ </w:t>
            </w: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parkinsons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1418" w:type="dxa"/>
            <w:hideMark/>
          </w:tcPr>
          <w:p w14:paraId="2F8F029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5746DB" w:rsidRPr="007A6373" w14:paraId="7F431E68" w14:textId="77777777" w:rsidTr="00AD6BA5">
        <w:tc>
          <w:tcPr>
            <w:tcW w:w="843" w:type="dxa"/>
            <w:hideMark/>
          </w:tcPr>
          <w:p w14:paraId="4B58C7A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14:paraId="27F03660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hideMark/>
          </w:tcPr>
          <w:p w14:paraId="4562B92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0.976</w:t>
            </w:r>
          </w:p>
        </w:tc>
        <w:tc>
          <w:tcPr>
            <w:tcW w:w="3830" w:type="dxa"/>
            <w:hideMark/>
          </w:tcPr>
          <w:p w14:paraId="7765AA16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photoreceptor degeneration/ retina</w:t>
            </w:r>
          </w:p>
        </w:tc>
        <w:tc>
          <w:tcPr>
            <w:tcW w:w="1418" w:type="dxa"/>
            <w:hideMark/>
          </w:tcPr>
          <w:p w14:paraId="123B128B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2014</w:t>
            </w:r>
          </w:p>
        </w:tc>
      </w:tr>
      <w:tr w:rsidR="005746DB" w:rsidRPr="007A6373" w14:paraId="29CBB334" w14:textId="77777777" w:rsidTr="00AD6BA5">
        <w:tc>
          <w:tcPr>
            <w:tcW w:w="843" w:type="dxa"/>
            <w:hideMark/>
          </w:tcPr>
          <w:p w14:paraId="4CF279A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14:paraId="0D32283B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hideMark/>
          </w:tcPr>
          <w:p w14:paraId="583E1F1F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3830" w:type="dxa"/>
            <w:hideMark/>
          </w:tcPr>
          <w:p w14:paraId="623CD13C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reactive astrocyte/ astrocytes</w:t>
            </w:r>
          </w:p>
        </w:tc>
        <w:tc>
          <w:tcPr>
            <w:tcW w:w="1418" w:type="dxa"/>
            <w:hideMark/>
          </w:tcPr>
          <w:p w14:paraId="5233D6F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</w:tr>
      <w:tr w:rsidR="005746DB" w:rsidRPr="007A6373" w14:paraId="545E19F0" w14:textId="77777777" w:rsidTr="00AD6BA5">
        <w:tc>
          <w:tcPr>
            <w:tcW w:w="843" w:type="dxa"/>
            <w:hideMark/>
          </w:tcPr>
          <w:p w14:paraId="06A69F1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hideMark/>
          </w:tcPr>
          <w:p w14:paraId="41312C76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hideMark/>
          </w:tcPr>
          <w:p w14:paraId="16838A2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3830" w:type="dxa"/>
            <w:hideMark/>
          </w:tcPr>
          <w:p w14:paraId="4F58BBFC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l</w:t>
            </w:r>
            <w:r w:rsidRPr="007A6373">
              <w:rPr>
                <w:rFonts w:cs="Times New Roman" w:hint="eastAsia"/>
                <w:color w:val="000000"/>
                <w:sz w:val="18"/>
                <w:szCs w:val="18"/>
              </w:rPr>
              <w:t>ps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>-induced neuroinflammation/ glycolysis</w:t>
            </w:r>
          </w:p>
        </w:tc>
        <w:tc>
          <w:tcPr>
            <w:tcW w:w="1418" w:type="dxa"/>
            <w:hideMark/>
          </w:tcPr>
          <w:p w14:paraId="1A30920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</w:tr>
      <w:tr w:rsidR="005746DB" w:rsidRPr="007A6373" w14:paraId="0555F344" w14:textId="77777777" w:rsidTr="00AD6BA5">
        <w:tc>
          <w:tcPr>
            <w:tcW w:w="843" w:type="dxa"/>
            <w:hideMark/>
          </w:tcPr>
          <w:p w14:paraId="3915E368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hideMark/>
          </w:tcPr>
          <w:p w14:paraId="17C1D0BE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hideMark/>
          </w:tcPr>
          <w:p w14:paraId="0171D933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3830" w:type="dxa"/>
            <w:hideMark/>
          </w:tcPr>
          <w:p w14:paraId="07A63AA5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transcriptional signature/ </w:t>
            </w: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dna</w:t>
            </w:r>
            <w:proofErr w:type="spellEnd"/>
            <w:r w:rsidRPr="007A637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373">
              <w:rPr>
                <w:rFonts w:cs="Times New Roman"/>
                <w:color w:val="000000"/>
                <w:sz w:val="18"/>
                <w:szCs w:val="18"/>
              </w:rPr>
              <w:t>mythylation</w:t>
            </w:r>
            <w:proofErr w:type="spellEnd"/>
          </w:p>
        </w:tc>
        <w:tc>
          <w:tcPr>
            <w:tcW w:w="1418" w:type="dxa"/>
            <w:hideMark/>
          </w:tcPr>
          <w:p w14:paraId="0F247981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</w:tr>
      <w:tr w:rsidR="005746DB" w:rsidRPr="007A6373" w14:paraId="1881A912" w14:textId="77777777" w:rsidTr="00AD6BA5">
        <w:tc>
          <w:tcPr>
            <w:tcW w:w="843" w:type="dxa"/>
            <w:hideMark/>
          </w:tcPr>
          <w:p w14:paraId="4D6225AC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hideMark/>
          </w:tcPr>
          <w:p w14:paraId="494C0EE3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hideMark/>
          </w:tcPr>
          <w:p w14:paraId="05E4031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3830" w:type="dxa"/>
            <w:hideMark/>
          </w:tcPr>
          <w:p w14:paraId="17566C8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post-cardiac arrest brain injury/ cardiac arrest</w:t>
            </w:r>
          </w:p>
        </w:tc>
        <w:tc>
          <w:tcPr>
            <w:tcW w:w="1418" w:type="dxa"/>
            <w:hideMark/>
          </w:tcPr>
          <w:p w14:paraId="698E7093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5746DB" w:rsidRPr="007A6373" w14:paraId="1779486C" w14:textId="77777777" w:rsidTr="00AD6BA5">
        <w:tc>
          <w:tcPr>
            <w:tcW w:w="843" w:type="dxa"/>
            <w:hideMark/>
          </w:tcPr>
          <w:p w14:paraId="413FE012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hideMark/>
          </w:tcPr>
          <w:p w14:paraId="4A83E5C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hideMark/>
          </w:tcPr>
          <w:p w14:paraId="4113224B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0" w:type="dxa"/>
            <w:hideMark/>
          </w:tcPr>
          <w:p w14:paraId="16175BA9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traumatic brain injury/ traumatic brain injury</w:t>
            </w:r>
          </w:p>
        </w:tc>
        <w:tc>
          <w:tcPr>
            <w:tcW w:w="1418" w:type="dxa"/>
            <w:hideMark/>
          </w:tcPr>
          <w:p w14:paraId="19240FA7" w14:textId="77777777" w:rsidR="005746DB" w:rsidRPr="007A6373" w:rsidRDefault="005746DB" w:rsidP="00AD6BA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A6373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777C" w14:textId="77777777" w:rsidR="00EE72AD" w:rsidRDefault="00EE72AD" w:rsidP="00117666">
      <w:pPr>
        <w:spacing w:after="0"/>
      </w:pPr>
      <w:r>
        <w:separator/>
      </w:r>
    </w:p>
  </w:endnote>
  <w:endnote w:type="continuationSeparator" w:id="0">
    <w:p w14:paraId="77F13A0B" w14:textId="77777777" w:rsidR="00EE72AD" w:rsidRDefault="00EE72A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ED07" w14:textId="77777777" w:rsidR="00EE72AD" w:rsidRDefault="00EE72AD" w:rsidP="00117666">
      <w:pPr>
        <w:spacing w:after="0"/>
      </w:pPr>
      <w:r>
        <w:separator/>
      </w:r>
    </w:p>
  </w:footnote>
  <w:footnote w:type="continuationSeparator" w:id="0">
    <w:p w14:paraId="79675800" w14:textId="77777777" w:rsidR="00EE72AD" w:rsidRDefault="00EE72A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59200674">
    <w:abstractNumId w:val="0"/>
  </w:num>
  <w:num w:numId="2" w16cid:durableId="1971087727">
    <w:abstractNumId w:val="4"/>
  </w:num>
  <w:num w:numId="3" w16cid:durableId="1637223512">
    <w:abstractNumId w:val="1"/>
  </w:num>
  <w:num w:numId="4" w16cid:durableId="1634167198">
    <w:abstractNumId w:val="5"/>
  </w:num>
  <w:num w:numId="5" w16cid:durableId="100495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740496">
    <w:abstractNumId w:val="3"/>
  </w:num>
  <w:num w:numId="7" w16cid:durableId="1399942109">
    <w:abstractNumId w:val="6"/>
  </w:num>
  <w:num w:numId="8" w16cid:durableId="958102158">
    <w:abstractNumId w:val="6"/>
  </w:num>
  <w:num w:numId="9" w16cid:durableId="304239296">
    <w:abstractNumId w:val="6"/>
  </w:num>
  <w:num w:numId="10" w16cid:durableId="1820612147">
    <w:abstractNumId w:val="6"/>
  </w:num>
  <w:num w:numId="11" w16cid:durableId="479805089">
    <w:abstractNumId w:val="6"/>
  </w:num>
  <w:num w:numId="12" w16cid:durableId="403065598">
    <w:abstractNumId w:val="6"/>
  </w:num>
  <w:num w:numId="13" w16cid:durableId="1959945976">
    <w:abstractNumId w:val="3"/>
  </w:num>
  <w:num w:numId="14" w16cid:durableId="1963420842">
    <w:abstractNumId w:val="2"/>
  </w:num>
  <w:num w:numId="15" w16cid:durableId="348915802">
    <w:abstractNumId w:val="2"/>
  </w:num>
  <w:num w:numId="16" w16cid:durableId="830365902">
    <w:abstractNumId w:val="2"/>
  </w:num>
  <w:num w:numId="17" w16cid:durableId="1881478565">
    <w:abstractNumId w:val="2"/>
  </w:num>
  <w:num w:numId="18" w16cid:durableId="1698891092">
    <w:abstractNumId w:val="2"/>
  </w:num>
  <w:num w:numId="19" w16cid:durableId="166882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46D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72A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styleId="6">
    <w:name w:val="List Table 6 Colorful"/>
    <w:basedOn w:val="a2"/>
    <w:uiPriority w:val="51"/>
    <w:rsid w:val="005746DB"/>
    <w:pPr>
      <w:spacing w:after="0" w:line="240" w:lineRule="auto"/>
    </w:pPr>
    <w:rPr>
      <w:color w:val="000000" w:themeColor="text1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FH282</cp:lastModifiedBy>
  <cp:revision>3</cp:revision>
  <cp:lastPrinted>2013-10-03T12:51:00Z</cp:lastPrinted>
  <dcterms:created xsi:type="dcterms:W3CDTF">2018-11-23T08:58:00Z</dcterms:created>
  <dcterms:modified xsi:type="dcterms:W3CDTF">2022-09-29T09:42:00Z</dcterms:modified>
</cp:coreProperties>
</file>