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>Supplementary Table 1</w:t>
      </w:r>
      <w:bookmarkStart w:id="2" w:name="_GoBack"/>
      <w:bookmarkEnd w:id="2"/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ascii="Times New Roman" w:hAnsi="Times New Roman" w:eastAsia="宋体" w:cs="Times New Roman"/>
          <w:b/>
          <w:bCs/>
          <w:color w:val="auto"/>
          <w:sz w:val="24"/>
        </w:rPr>
        <w:t xml:space="preserve">Dempgraphic characteristics and clinical information in patients </w:t>
      </w:r>
      <w:r>
        <w:rPr>
          <w:rFonts w:hint="eastAsia" w:ascii="Times New Roman" w:hAnsi="Times New Roman" w:eastAsia="宋体" w:cs="Times New Roman"/>
          <w:b/>
          <w:bCs/>
          <w:color w:val="auto"/>
          <w:sz w:val="24"/>
          <w:lang w:val="en-US" w:eastAsia="zh-CN"/>
        </w:rPr>
        <w:t>of two centers</w:t>
      </w:r>
    </w:p>
    <w:p>
      <w:pPr>
        <w:rPr>
          <w:rFonts w:hint="eastAsia"/>
          <w:lang w:val="en-US" w:eastAsia="zh-CN"/>
        </w:rPr>
      </w:pPr>
    </w:p>
    <w:tbl>
      <w:tblPr>
        <w:tblStyle w:val="3"/>
        <w:tblW w:w="7560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9"/>
        <w:gridCol w:w="1500"/>
        <w:gridCol w:w="1410"/>
        <w:gridCol w:w="13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3340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Characteristics</w:t>
            </w:r>
          </w:p>
        </w:tc>
        <w:tc>
          <w:tcPr>
            <w:tcW w:w="1500" w:type="dxa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Center A</w:t>
            </w:r>
          </w:p>
        </w:tc>
        <w:tc>
          <w:tcPr>
            <w:tcW w:w="1410" w:type="dxa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Center B</w:t>
            </w:r>
          </w:p>
        </w:tc>
        <w:tc>
          <w:tcPr>
            <w:tcW w:w="1310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/>
                <w:iCs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eastAsia="宋体"/>
                <w:lang w:val="en-US" w:eastAsia="zh-CN" w:bidi="ar"/>
              </w:rPr>
              <w:t>P-</w:t>
            </w:r>
            <w:r>
              <w:rPr>
                <w:rStyle w:val="6"/>
                <w:rFonts w:eastAsia="宋体"/>
                <w:lang w:val="en-US" w:eastAsia="zh-CN" w:bidi="ar"/>
              </w:rPr>
              <w:t>value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3340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(n=510)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(n=568)</w:t>
            </w:r>
          </w:p>
        </w:tc>
        <w:tc>
          <w:tcPr>
            <w:tcW w:w="1310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Maternal age(years)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30.74±3.61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30.69±4.43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0.838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OLE_LINK2" w:colFirst="1" w:colLast="2"/>
            <w:r>
              <w:rPr>
                <w:rStyle w:val="6"/>
                <w:rFonts w:eastAsia="宋体"/>
                <w:lang w:val="en-US" w:eastAsia="zh-CN" w:bidi="ar"/>
              </w:rPr>
              <w:t>Maternal BMI(kg/m²)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22.64±3.66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21.41±2.88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&lt;0.001***</w:t>
            </w:r>
          </w:p>
        </w:tc>
      </w:tr>
      <w:bookmarkEnd w:id="0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Duration of infertility(years)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3.67±2.74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3.98±3.26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Previous gestations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149(29.2%)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173(30.5%)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114(22.3%)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195(34.3%)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≥2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207(40.5%)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240(42.3%)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Previous pregnancies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441(86.5%)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467(82.2%)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57(11.2%)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83(14.6%)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≥2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12(2.3%)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18(3.2%)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Previous ART cycles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300(58.8%)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360(63.4%)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≥1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210(41.2%)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208(36.6%)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Etiology of infertility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Female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153(30.0%)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199(35.0%)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0.078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180(35.3%)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201(35.4%)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Both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106(20.7%)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103(18.1%)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Idiopathic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71(13.9%)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65(11.5%)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PCOS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55(10.8%)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71(12.5%)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0.381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455(89.2%)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497(87.5%)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Hydrosalpinx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119(30.0%)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160(28.2%)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0.070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391(70.0%)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408(71.8%)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Endometriosis(confirmed by surgery)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9(1.8%)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16(2.8%)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501(98.2%)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552(97.2%)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Fertilization method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ICSI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202(39.6%)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207(36.4%)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IVF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308(60.4%)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361(63.6%)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Cycle type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Fresh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398(78.0%)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426(75.0%)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Frozen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112(22.0%)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142(25.0%)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eastAsia="宋体"/>
                <w:lang w:val="en-US" w:eastAsia="zh-CN" w:bidi="ar"/>
              </w:rPr>
              <w:t>Stage of embryo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Cleavage-stage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490(96.1%)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537(94.5%)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0.236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Blastocyst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20(3.9%)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31(5.5%)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COS protocol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Antagonist protocol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250(49.0%)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287(50.5%)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0.621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Agonist protocol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260(51.0%)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281(49.5%)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Pregnancy outcome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Complete Spontaneous Abortion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39(7.6%)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52(9.2%)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Vanishing Twin Syndrome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114(22.4%)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132(23.2%)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Surviving Twin Pregnancy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357(70.0%)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384(67.6%)</w:t>
            </w: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p>
      <w:pPr>
        <w:spacing w:line="480" w:lineRule="auto"/>
        <w:rPr>
          <w:rFonts w:ascii="Times New Roman" w:hAnsi="Times New Roman" w:cs="Times New Roman"/>
          <w:color w:val="auto"/>
          <w:sz w:val="24"/>
        </w:rPr>
      </w:pPr>
      <w:r>
        <w:rPr>
          <w:rFonts w:hint="eastAsia" w:ascii="Times New Roman" w:hAnsi="Times New Roman" w:cs="Times New Roman"/>
          <w:color w:val="auto"/>
          <w:sz w:val="24"/>
        </w:rPr>
        <w:t xml:space="preserve">BMI=Body Mass Index, </w:t>
      </w:r>
      <w:r>
        <w:rPr>
          <w:rFonts w:ascii="Times New Roman" w:hAnsi="Times New Roman" w:cs="Times New Roman"/>
          <w:color w:val="auto"/>
          <w:sz w:val="24"/>
        </w:rPr>
        <w:t xml:space="preserve">IUH=intrauterine hematoma, ART=assisted reproductive technology, ICSI=intracytoplasmic sperm injection, IVF=in vitro fertilization, </w:t>
      </w:r>
      <w:r>
        <w:rPr>
          <w:rFonts w:hint="eastAsia" w:ascii="Times New Roman" w:hAnsi="Times New Roman" w:cs="Times New Roman"/>
          <w:color w:val="auto"/>
          <w:sz w:val="24"/>
        </w:rPr>
        <w:t>COS=Controlled Ovarian Stimulation</w:t>
      </w:r>
    </w:p>
    <w:p>
      <w:pPr>
        <w:spacing w:line="480" w:lineRule="auto"/>
        <w:rPr>
          <w:rFonts w:hint="eastAsia" w:ascii="Times New Roman" w:hAnsi="Times New Roman" w:cs="Times New Roman" w:eastAsiaTheme="minorEastAsia"/>
          <w:color w:val="auto"/>
          <w:sz w:val="24"/>
          <w:lang w:val="en-US" w:eastAsia="zh-CN"/>
        </w:rPr>
      </w:pPr>
      <w:r>
        <w:rPr>
          <w:rFonts w:ascii="Times New Roman" w:hAnsi="Times New Roman" w:cs="Times New Roman"/>
          <w:color w:val="auto"/>
          <w:sz w:val="24"/>
        </w:rPr>
        <w:t xml:space="preserve"> </w:t>
      </w:r>
      <w:r>
        <w:rPr>
          <w:rFonts w:ascii="Times New Roman" w:hAnsi="Times New Roman" w:cs="Times New Roman"/>
          <w:i/>
          <w:iCs/>
          <w:color w:val="auto"/>
          <w:sz w:val="24"/>
        </w:rPr>
        <w:t>p</w:t>
      </w:r>
      <w:r>
        <w:rPr>
          <w:rFonts w:ascii="Times New Roman" w:hAnsi="Times New Roman" w:cs="Times New Roman"/>
          <w:color w:val="auto"/>
          <w:sz w:val="24"/>
        </w:rPr>
        <w:t>&lt;0.0</w:t>
      </w:r>
      <w:r>
        <w:rPr>
          <w:rFonts w:hint="eastAsia" w:ascii="Times New Roman" w:hAnsi="Times New Roman" w:cs="Times New Roman"/>
          <w:color w:val="auto"/>
          <w:sz w:val="24"/>
          <w:lang w:val="en-US" w:eastAsia="zh-CN"/>
        </w:rPr>
        <w:t>0</w:t>
      </w:r>
      <w:r>
        <w:rPr>
          <w:rFonts w:ascii="Times New Roman" w:hAnsi="Times New Roman" w:cs="Times New Roman"/>
          <w:color w:val="auto"/>
          <w:sz w:val="24"/>
        </w:rPr>
        <w:t>1 was marked with**</w:t>
      </w:r>
      <w:r>
        <w:rPr>
          <w:rFonts w:hint="eastAsia" w:ascii="Times New Roman" w:hAnsi="Times New Roman" w:cs="Times New Roman"/>
          <w:color w:val="auto"/>
          <w:sz w:val="24"/>
          <w:lang w:val="en-US" w:eastAsia="zh-CN"/>
        </w:rPr>
        <w:t>*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rPr>
          <w:rFonts w:hint="default" w:ascii="Times New Roman" w:hAnsi="Times New Roman" w:eastAsia="黑体" w:cs="Times New Roman"/>
          <w:b/>
          <w:bCs/>
          <w:color w:val="auto"/>
          <w:sz w:val="24"/>
          <w:szCs w:val="24"/>
          <w:lang w:eastAsia="zh-CN"/>
        </w:rPr>
      </w:pP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</w:rPr>
        <w:t xml:space="preserve">Supplementary Table </w:t>
      </w:r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 xml:space="preserve">2 </w:t>
      </w: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</w:rPr>
        <w:t>Incidence and risks of pregnancy complications in pregnancies with the diagnosis of an IUH before or after the presence of fetal cardiac activities</w:t>
      </w:r>
    </w:p>
    <w:p>
      <w:pPr>
        <w:pStyle w:val="2"/>
        <w:rPr>
          <w:rFonts w:hint="default" w:eastAsia="黑体"/>
          <w:lang w:val="en-US" w:eastAsia="zh-CN"/>
        </w:rPr>
      </w:pPr>
    </w:p>
    <w:tbl>
      <w:tblPr>
        <w:tblStyle w:val="3"/>
        <w:tblpPr w:leftFromText="180" w:rightFromText="180" w:vertAnchor="text" w:horzAnchor="page" w:tblpX="1912" w:tblpY="10"/>
        <w:tblOverlap w:val="never"/>
        <w:tblW w:w="4875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5"/>
        <w:gridCol w:w="1465"/>
        <w:gridCol w:w="1640"/>
        <w:gridCol w:w="1300"/>
        <w:gridCol w:w="1350"/>
        <w:gridCol w:w="1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81" w:type="pct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IUH before fetal cardiac activities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(n=68）</w:t>
            </w:r>
          </w:p>
        </w:tc>
        <w:tc>
          <w:tcPr>
            <w:tcW w:w="986" w:type="pct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IUH after fetal cardiac activities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(n=74)</w:t>
            </w:r>
          </w:p>
        </w:tc>
        <w:tc>
          <w:tcPr>
            <w:tcW w:w="782" w:type="pct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P-value</w:t>
            </w:r>
          </w:p>
        </w:tc>
        <w:tc>
          <w:tcPr>
            <w:tcW w:w="812" w:type="pct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Crude OR</w:t>
            </w:r>
          </w:p>
        </w:tc>
        <w:tc>
          <w:tcPr>
            <w:tcW w:w="697" w:type="pct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Adjusted OR‡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Preterm Birth☨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(0.15-1.4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Cesarean Section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64.7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0.595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1.0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(0.8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-1.3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Low birth weight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0.096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Macrosomia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0.36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(0.03-2.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Pre-eclampsia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368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(0.0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2.37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Fetal distress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(2.9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1.0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7.51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Fetal growth restriction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(2.9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1.0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7.51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Placental abruption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(3.6%)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0.6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-2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3.46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PROM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0.91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1.96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Postpartum hemorrhage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.5%)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1.5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3.86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8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Threatened abortion</w:t>
            </w:r>
          </w:p>
        </w:tc>
        <w:tc>
          <w:tcPr>
            <w:tcW w:w="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%)</w:t>
            </w:r>
          </w:p>
        </w:tc>
        <w:tc>
          <w:tcPr>
            <w:tcW w:w="7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0.867</w:t>
            </w:r>
          </w:p>
        </w:tc>
        <w:tc>
          <w:tcPr>
            <w:tcW w:w="8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0.97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(0.7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-1.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</w:t>
            </w:r>
          </w:p>
        </w:tc>
      </w:tr>
    </w:tbl>
    <w:p>
      <w:pPr>
        <w:spacing w:line="480" w:lineRule="auto"/>
        <w:rPr>
          <w:rFonts w:hint="default" w:ascii="Times New Roman" w:hAnsi="Times New Roman" w:cs="Times New Roman"/>
          <w:color w:val="auto"/>
          <w:sz w:val="24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24"/>
          <w:lang w:val="en-US" w:eastAsia="zh-CN"/>
        </w:rPr>
        <w:t xml:space="preserve">IUH=Intrauterine hematoma, </w:t>
      </w:r>
      <w:r>
        <w:rPr>
          <w:rFonts w:hint="eastAsia" w:ascii="Times New Roman" w:hAnsi="Times New Roman" w:cs="Times New Roman"/>
          <w:color w:val="auto"/>
          <w:sz w:val="24"/>
          <w:lang w:val="en-US" w:eastAsia="zh-CN"/>
        </w:rPr>
        <w:t>PROM=Premature rupture of membrane, OR=Odds Ratio</w:t>
      </w:r>
      <w:r>
        <w:rPr>
          <w:rFonts w:hint="default" w:ascii="Times New Roman" w:hAnsi="Times New Roman" w:cs="Times New Roman"/>
          <w:color w:val="auto"/>
          <w:sz w:val="24"/>
          <w:lang w:val="en-US" w:eastAsia="zh-CN"/>
        </w:rPr>
        <w:t>, CI=Confidential Intervals</w:t>
      </w:r>
      <w:r>
        <w:rPr>
          <w:rFonts w:hint="eastAsia" w:ascii="Times New Roman" w:hAnsi="Times New Roman" w:cs="Times New Roman"/>
          <w:color w:val="auto"/>
          <w:sz w:val="24"/>
          <w:lang w:val="en-US" w:eastAsia="zh-CN"/>
        </w:rPr>
        <w:t>, NS=Not significant</w:t>
      </w:r>
    </w:p>
    <w:p>
      <w:pPr>
        <w:spacing w:line="480" w:lineRule="auto"/>
        <w:rPr>
          <w:rFonts w:hint="default" w:ascii="Times New Roman" w:hAnsi="Times New Roman" w:cs="Times New Roman"/>
          <w:color w:val="auto"/>
          <w:sz w:val="24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24"/>
          <w:lang w:val="en-US" w:eastAsia="zh-CN"/>
        </w:rPr>
        <w:t xml:space="preserve">☨Analysis performed only in cases with complete </w:t>
      </w:r>
      <w:r>
        <w:rPr>
          <w:rFonts w:hint="eastAsia" w:ascii="Times New Roman" w:hAnsi="Times New Roman" w:cs="Times New Roman"/>
          <w:color w:val="auto"/>
          <w:sz w:val="24"/>
          <w:lang w:val="en-US" w:eastAsia="zh-CN"/>
        </w:rPr>
        <w:t xml:space="preserve">and valid </w:t>
      </w:r>
      <w:r>
        <w:rPr>
          <w:rFonts w:hint="default" w:ascii="Times New Roman" w:hAnsi="Times New Roman" w:cs="Times New Roman"/>
          <w:color w:val="auto"/>
          <w:sz w:val="24"/>
          <w:lang w:val="en-US" w:eastAsia="zh-CN"/>
        </w:rPr>
        <w:t>data</w:t>
      </w:r>
    </w:p>
    <w:p>
      <w:pPr>
        <w:spacing w:line="480" w:lineRule="auto"/>
        <w:rPr>
          <w:rFonts w:hint="default" w:ascii="Times New Roman" w:hAnsi="Times New Roman" w:cs="Times New Roman"/>
          <w:color w:val="auto"/>
          <w:sz w:val="24"/>
          <w:lang w:val="en-US" w:eastAsia="zh-CN"/>
        </w:rPr>
      </w:pPr>
      <w:bookmarkStart w:id="1" w:name="OLE_LINK1"/>
      <w:r>
        <w:rPr>
          <w:rFonts w:hint="eastAsia" w:ascii="Times New Roman" w:hAnsi="Times New Roman" w:cs="Times New Roman"/>
          <w:color w:val="auto"/>
          <w:sz w:val="24"/>
          <w:lang w:val="en-US" w:eastAsia="zh-CN"/>
        </w:rPr>
        <w:t>‡Adjusted ORs were obtained after matching for age, fertilization method, cycle type and stage of transferred embryos</w:t>
      </w:r>
      <w:bookmarkEnd w:id="1"/>
    </w:p>
    <w:p>
      <w:pPr>
        <w:spacing w:line="480" w:lineRule="auto"/>
        <w:rPr>
          <w:rFonts w:hint="default" w:ascii="Times New Roman" w:hAnsi="Times New Roman" w:cs="Times New Roman"/>
          <w:color w:val="auto"/>
          <w:sz w:val="24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24"/>
          <w:lang w:val="en-US" w:eastAsia="zh-CN"/>
        </w:rPr>
        <w:t>p&lt;0.05 was marked with*</w:t>
      </w: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宋体" w:cs="Times New Roman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宋体" w:cs="Times New Roman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lOTIyNjIwNjhlN2EyY2JjOWYzM2MwZjBjZWU0YzUifQ=="/>
  </w:docVars>
  <w:rsids>
    <w:rsidRoot w:val="00000000"/>
    <w:rsid w:val="002C18B7"/>
    <w:rsid w:val="00FC49F5"/>
    <w:rsid w:val="012F152E"/>
    <w:rsid w:val="022B592D"/>
    <w:rsid w:val="0367002A"/>
    <w:rsid w:val="057F749F"/>
    <w:rsid w:val="070E3ADA"/>
    <w:rsid w:val="07BB2EFD"/>
    <w:rsid w:val="09410D89"/>
    <w:rsid w:val="09BF63C5"/>
    <w:rsid w:val="14E22F66"/>
    <w:rsid w:val="1F8F6D9F"/>
    <w:rsid w:val="1FFA2040"/>
    <w:rsid w:val="21927442"/>
    <w:rsid w:val="22AB7434"/>
    <w:rsid w:val="30CF09A2"/>
    <w:rsid w:val="33EA6A53"/>
    <w:rsid w:val="39D41F56"/>
    <w:rsid w:val="44304ADE"/>
    <w:rsid w:val="45E614BC"/>
    <w:rsid w:val="486C34B2"/>
    <w:rsid w:val="48B539B9"/>
    <w:rsid w:val="5C8D09A4"/>
    <w:rsid w:val="603D3617"/>
    <w:rsid w:val="631E09E8"/>
    <w:rsid w:val="65244D94"/>
    <w:rsid w:val="664007CF"/>
    <w:rsid w:val="670D09A6"/>
    <w:rsid w:val="69D5128D"/>
    <w:rsid w:val="6ABB6FD5"/>
    <w:rsid w:val="6BB0581B"/>
    <w:rsid w:val="6D1B0518"/>
    <w:rsid w:val="72C32D5E"/>
    <w:rsid w:val="738060CF"/>
    <w:rsid w:val="7B261322"/>
    <w:rsid w:val="7BA1543D"/>
    <w:rsid w:val="7BF01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semiHidden/>
    <w:unhideWhenUsed/>
    <w:qFormat/>
    <w:uiPriority w:val="0"/>
    <w:rPr>
      <w:rFonts w:ascii="Arial" w:hAnsi="Arial" w:eastAsia="黑体"/>
      <w:sz w:val="20"/>
    </w:rPr>
  </w:style>
  <w:style w:type="character" w:customStyle="1" w:styleId="5">
    <w:name w:val="font41"/>
    <w:basedOn w:val="4"/>
    <w:qFormat/>
    <w:uiPriority w:val="0"/>
    <w:rPr>
      <w:rFonts w:hint="default" w:ascii="Times New Roman" w:hAnsi="Times New Roman" w:cs="Times New Roman"/>
      <w:i/>
      <w:iCs/>
      <w:color w:val="000000"/>
      <w:sz w:val="24"/>
      <w:szCs w:val="24"/>
      <w:u w:val="none"/>
    </w:rPr>
  </w:style>
  <w:style w:type="character" w:customStyle="1" w:styleId="6">
    <w:name w:val="font11"/>
    <w:basedOn w:val="4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388</Words>
  <Characters>2572</Characters>
  <Lines>0</Lines>
  <Paragraphs>0</Paragraphs>
  <TotalTime>3</TotalTime>
  <ScaleCrop>false</ScaleCrop>
  <LinksUpToDate>false</LinksUpToDate>
  <CharactersWithSpaces>2722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2021-06-29T15:25:00Z</dcterms:created>
  <dc:creator>gym</dc:creator>
  <cp:lastModifiedBy>葛逸盟</cp:lastModifiedBy>
  <dcterms:modified xsi:type="dcterms:W3CDTF">2022-11-20T14:13:47Z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F9FF484F8E194D239A44BAB4C494B248</vt:lpwstr>
  </property>
</Properties>
</file>