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A7222C3" w:rsidR="00EA3D3C" w:rsidRDefault="00654E8F" w:rsidP="0001436A">
      <w:pPr>
        <w:pStyle w:val="1"/>
      </w:pPr>
      <w:r w:rsidRPr="00994A3D">
        <w:t>Supplementary Data</w:t>
      </w:r>
    </w:p>
    <w:p w14:paraId="13F53105" w14:textId="755D490E" w:rsidR="0050616C" w:rsidRDefault="0050616C" w:rsidP="0050616C">
      <w:pPr>
        <w:rPr>
          <w:b/>
          <w:bCs/>
        </w:rPr>
      </w:pPr>
      <w:r>
        <w:rPr>
          <w:b/>
          <w:bCs/>
        </w:rPr>
        <w:t>C</w:t>
      </w:r>
      <w:r w:rsidRPr="00110648">
        <w:rPr>
          <w:b/>
          <w:bCs/>
        </w:rPr>
        <w:t>osine decay learning rate algorithm</w:t>
      </w:r>
    </w:p>
    <w:p w14:paraId="171E283E" w14:textId="65F35F2C" w:rsidR="0050616C" w:rsidRPr="0050616C" w:rsidRDefault="0050616C" w:rsidP="0050616C">
      <w:pPr>
        <w:pStyle w:val="aff9"/>
        <w:rPr>
          <w:rFonts w:ascii="Times New Roman" w:hAnsi="Times New Roman" w:cs="Times New Roman"/>
        </w:rPr>
      </w:pPr>
      <w:r w:rsidRPr="0050616C">
        <w:rPr>
          <w:rFonts w:ascii="Times New Roman" w:hAnsi="Times New Roman" w:cs="Times New Roman"/>
          <w:lang w:eastAsia="zh-CN"/>
        </w:rPr>
        <w:t xml:space="preserve">Because of </w:t>
      </w:r>
      <w:r w:rsidR="00480B7D">
        <w:rPr>
          <w:rFonts w:ascii="Times New Roman" w:hAnsi="Times New Roman" w:cs="Times New Roman"/>
          <w:lang w:eastAsia="zh-CN"/>
        </w:rPr>
        <w:t xml:space="preserve">the </w:t>
      </w:r>
      <w:r w:rsidRPr="0050616C">
        <w:rPr>
          <w:rFonts w:ascii="Times New Roman" w:hAnsi="Times New Roman" w:cs="Times New Roman"/>
          <w:lang w:eastAsia="zh-CN"/>
        </w:rPr>
        <w:t xml:space="preserve">leak of image data, </w:t>
      </w:r>
      <w:r w:rsidR="00480B7D">
        <w:rPr>
          <w:rFonts w:ascii="Times New Roman" w:hAnsi="Times New Roman" w:cs="Times New Roman"/>
          <w:lang w:eastAsia="zh-CN"/>
        </w:rPr>
        <w:t>to</w:t>
      </w:r>
      <w:r w:rsidRPr="0050616C">
        <w:rPr>
          <w:rFonts w:ascii="Times New Roman" w:hAnsi="Times New Roman" w:cs="Times New Roman"/>
          <w:lang w:eastAsia="zh-CN"/>
        </w:rPr>
        <w:t xml:space="preserve"> better carry out the generalization, we carefully set the learning rate. </w:t>
      </w:r>
      <w:r w:rsidRPr="0050616C">
        <w:rPr>
          <w:rFonts w:ascii="Times New Roman" w:hAnsi="Times New Roman" w:cs="Times New Roman"/>
        </w:rPr>
        <w:t xml:space="preserve">We adapt </w:t>
      </w:r>
      <w:bookmarkStart w:id="0" w:name="_Hlk115293327"/>
      <w:r w:rsidR="00480B7D">
        <w:rPr>
          <w:rFonts w:ascii="Times New Roman" w:hAnsi="Times New Roman" w:cs="Times New Roman"/>
        </w:rPr>
        <w:t xml:space="preserve">the </w:t>
      </w:r>
      <w:r w:rsidRPr="0050616C">
        <w:rPr>
          <w:rFonts w:ascii="Times New Roman" w:hAnsi="Times New Roman" w:cs="Times New Roman"/>
        </w:rPr>
        <w:t>cosine decay learning rate algorithm</w:t>
      </w:r>
      <w:bookmarkEnd w:id="0"/>
      <w:r w:rsidRPr="0050616C">
        <w:rPr>
          <w:rFonts w:ascii="Times New Roman" w:hAnsi="Times New Roman" w:cs="Times New Roman"/>
        </w:rPr>
        <w:t xml:space="preserve"> in this study. Our learning rate is presented as </w:t>
      </w:r>
      <w:r w:rsidR="00480B7D">
        <w:rPr>
          <w:rFonts w:ascii="Times New Roman" w:hAnsi="Times New Roman" w:cs="Times New Roman"/>
        </w:rPr>
        <w:t>follows</w:t>
      </w:r>
      <w:r w:rsidRPr="0050616C">
        <w:rPr>
          <w:rFonts w:ascii="Times New Roman" w:hAnsi="Times New Roman" w:cs="Times New Roman"/>
        </w:rPr>
        <w:t>:</w:t>
      </w:r>
    </w:p>
    <w:p w14:paraId="7AFA9E7F" w14:textId="77777777" w:rsidR="0050616C" w:rsidRPr="0050616C" w:rsidRDefault="00000000" w:rsidP="0050616C">
      <w:pPr>
        <w:pStyle w:val="aff9"/>
        <w:rPr>
          <w:rFonts w:ascii="Times New Roman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t</m:t>
              </m:r>
            </m:sub>
            <m:sup>
              <m:r>
                <w:rPr>
                  <w:rFonts w:ascii="Cambria Math" w:hAnsi="Cambria Math" w:cs="Times New Roman"/>
                </w:rPr>
                <m:t>task-spec</m:t>
              </m:r>
            </m:sup>
          </m:sSubSup>
          <m:r>
            <w:rPr>
              <w:rFonts w:ascii="Cambria Math" w:hAnsi="Cambria Math" w:cs="Times New Roman"/>
            </w:rPr>
            <m:t>=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min</m:t>
              </m:r>
            </m:sub>
            <m:sup>
              <m:r>
                <w:rPr>
                  <w:rFonts w:ascii="Cambria Math" w:hAnsi="Cambria Math" w:cs="Times New Roman"/>
                </w:rPr>
                <m:t>i</m:t>
              </m:r>
            </m:sup>
          </m:sSubSup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2</m:t>
              </m:r>
            </m:den>
          </m:f>
          <m:r>
            <w:rPr>
              <w:rFonts w:ascii="Cambria Math" w:hAnsi="Cambria Math" w:cs="Times New Roman"/>
            </w:rPr>
            <m:t>(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max</m:t>
              </m:r>
            </m:sub>
            <m:sup>
              <m:r>
                <w:rPr>
                  <w:rFonts w:ascii="Cambria Math" w:hAnsi="Cambria Math" w:cs="Times New Roman"/>
                </w:rPr>
                <m:t>i</m:t>
              </m:r>
            </m:sup>
          </m:sSubSup>
          <m:r>
            <w:rPr>
              <w:rFonts w:ascii="Cambria Math" w:hAnsi="Cambria Math" w:cs="Times New Roman"/>
            </w:rPr>
            <m:t>-</m:t>
          </m:r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min</m:t>
              </m:r>
            </m:sub>
            <m:sup>
              <m:r>
                <w:rPr>
                  <w:rFonts w:ascii="Cambria Math" w:hAnsi="Cambria Math" w:cs="Times New Roman"/>
                </w:rPr>
                <m:t>i</m:t>
              </m:r>
            </m:sup>
          </m:sSubSup>
          <m:r>
            <w:rPr>
              <w:rFonts w:ascii="Cambria Math" w:hAnsi="Cambria Math" w:cs="Times New Roman"/>
            </w:rPr>
            <m:t>)(1+cos(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cur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</w:rPr>
            <m:t>π))</m:t>
          </m:r>
        </m:oMath>
      </m:oMathPara>
    </w:p>
    <w:p w14:paraId="7B9F7561" w14:textId="7E1E5E1A" w:rsidR="0050616C" w:rsidRPr="0050616C" w:rsidRDefault="00000000" w:rsidP="0050616C">
      <w:pPr>
        <w:pStyle w:val="aff9"/>
        <w:rPr>
          <w:rFonts w:ascii="Times New Roman" w:hAnsi="Times New Roman" w:cs="Times New Roman"/>
        </w:rPr>
      </w:pP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min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  <m:r>
          <w:rPr>
            <w:rFonts w:ascii="Cambria Math" w:hAnsi="Cambria Math" w:cs="Times New Roman"/>
          </w:rPr>
          <m:t>=0</m:t>
        </m:r>
      </m:oMath>
      <w:r w:rsidR="0050616C" w:rsidRPr="0050616C">
        <w:rPr>
          <w:rFonts w:ascii="Times New Roman" w:hAnsi="Times New Roman" w:cs="Times New Roman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max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</m:oMath>
      <w:r w:rsidR="0050616C" w:rsidRPr="0050616C">
        <w:rPr>
          <w:rFonts w:ascii="Times New Roman" w:hAnsi="Times New Roman" w:cs="Times New Roman"/>
        </w:rPr>
        <w:t xml:space="preserve"> =0.01,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=30</m:t>
        </m:r>
      </m:oMath>
      <w:r w:rsidR="0050616C" w:rsidRPr="0050616C">
        <w:rPr>
          <w:rFonts w:ascii="Times New Roman" w:hAnsi="Times New Roman" w:cs="Times New Roman"/>
        </w:rPr>
        <w:t xml:space="preserve"> Represents the minimum learning rate, the maximum learning rate, and the number of iteration epochs, respectively. Because the backbone part adopts p</w:t>
      </w:r>
      <w:r w:rsidR="00480B7D">
        <w:rPr>
          <w:rFonts w:ascii="Times New Roman" w:hAnsi="Times New Roman" w:cs="Times New Roman"/>
        </w:rPr>
        <w:t xml:space="preserve">re-training </w:t>
      </w:r>
      <w:r w:rsidR="0050616C" w:rsidRPr="0050616C">
        <w:rPr>
          <w:rFonts w:ascii="Times New Roman" w:hAnsi="Times New Roman" w:cs="Times New Roman"/>
        </w:rPr>
        <w:t xml:space="preserve">parameters, </w:t>
      </w:r>
      <w:r w:rsidR="00480B7D">
        <w:rPr>
          <w:rFonts w:ascii="Times New Roman" w:hAnsi="Times New Roman" w:cs="Times New Roman"/>
        </w:rPr>
        <w:t xml:space="preserve">to </w:t>
      </w:r>
      <w:r w:rsidR="0050616C" w:rsidRPr="0050616C">
        <w:rPr>
          <w:rFonts w:ascii="Times New Roman" w:hAnsi="Times New Roman" w:cs="Times New Roman"/>
        </w:rPr>
        <w:t>ensure the migration effect</w:t>
      </w:r>
      <w:r w:rsidR="0050616C" w:rsidRPr="0050616C">
        <w:rPr>
          <w:rFonts w:ascii="Times New Roman" w:hAnsi="Times New Roman" w:cs="Times New Roman"/>
          <w:lang w:eastAsia="zh-CN"/>
        </w:rPr>
        <w:t xml:space="preserve">. </w:t>
      </w:r>
      <w:r w:rsidR="0050616C" w:rsidRPr="0050616C">
        <w:rPr>
          <w:rFonts w:ascii="Times New Roman" w:hAnsi="Times New Roman" w:cs="Times New Roman"/>
        </w:rPr>
        <w:t xml:space="preserve">On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cur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50616C" w:rsidRPr="0050616C">
        <w:rPr>
          <w:rFonts w:ascii="Times New Roman" w:hAnsi="Times New Roman" w:cs="Times New Roman"/>
        </w:rPr>
        <w:t xml:space="preserve">Fine tune the parameters of the backbone part. Therefore, the learning rate of </w:t>
      </w:r>
      <w:r w:rsidR="00480B7D">
        <w:rPr>
          <w:rFonts w:ascii="Times New Roman" w:hAnsi="Times New Roman" w:cs="Times New Roman"/>
        </w:rPr>
        <w:t xml:space="preserve">the </w:t>
      </w:r>
      <w:r w:rsidR="00480B7D">
        <w:rPr>
          <w:rFonts w:ascii="Times New Roman" w:hAnsi="Times New Roman" w:cs="Times New Roman" w:hint="eastAsia"/>
          <w:lang w:eastAsia="zh-CN"/>
        </w:rPr>
        <w:t>b</w:t>
      </w:r>
      <w:r w:rsidR="0050616C" w:rsidRPr="0050616C">
        <w:rPr>
          <w:rFonts w:ascii="Times New Roman" w:hAnsi="Times New Roman" w:cs="Times New Roman"/>
        </w:rPr>
        <w:t>ackbone part is as follows:</w:t>
      </w:r>
    </w:p>
    <w:p w14:paraId="2F670532" w14:textId="77777777" w:rsidR="0050616C" w:rsidRPr="0050616C" w:rsidRDefault="00000000" w:rsidP="0050616C">
      <w:pPr>
        <w:pStyle w:val="aff9"/>
        <w:rPr>
          <w:rFonts w:ascii="Times New Roman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η</m:t>
              </m:r>
            </m:e>
            <m:sub>
              <m:r>
                <w:rPr>
                  <w:rFonts w:ascii="Cambria Math" w:hAnsi="Cambria Math" w:cs="Times New Roman"/>
                </w:rPr>
                <m:t>t</m:t>
              </m:r>
            </m:sub>
            <m:sup>
              <m:r>
                <w:rPr>
                  <w:rFonts w:ascii="Cambria Math" w:hAnsi="Cambria Math" w:cs="Times New Roman"/>
                </w:rPr>
                <m:t>backbone</m:t>
              </m:r>
            </m:sup>
          </m:sSubSup>
          <m:r>
            <w:rPr>
              <w:rFonts w:ascii="Cambria Math" w:hAnsi="Cambria Math" w:cs="Times New Roman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left"/>
                      </m:mcPr>
                    </m:mc>
                  </m:mcs>
                  <m:ctrlPr>
                    <w:rPr>
                      <w:rFonts w:ascii="Cambria Math" w:hAnsi="Cambria Math" w:cs="Times New Roman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</w:rPr>
                      <m:t>0</m:t>
                    </m:r>
                  </m:e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 xml:space="preserve"> if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cur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≤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mr>
                <m:m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min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</w:rPr>
                      <m:t>(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min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</w:rPr>
                      <m:t>)(1+cos(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cur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</w:rPr>
                      <m:t>π))</m:t>
                    </m:r>
                  </m:e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 xml:space="preserve"> if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cur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&gt;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e>
                </m:mr>
              </m:m>
            </m:e>
          </m:d>
        </m:oMath>
      </m:oMathPara>
    </w:p>
    <w:p w14:paraId="1E3F2BDA" w14:textId="77777777" w:rsidR="0050616C" w:rsidRPr="0050616C" w:rsidRDefault="0050616C" w:rsidP="0050616C">
      <w:pPr>
        <w:pStyle w:val="FirstParagraph"/>
        <w:rPr>
          <w:rFonts w:ascii="Times New Roman" w:hAnsi="Times New Roman" w:cs="Times New Roman"/>
        </w:rPr>
      </w:pPr>
      <w:r w:rsidRPr="0050616C">
        <w:rPr>
          <w:rFonts w:ascii="Times New Roman" w:hAnsi="Times New Roman" w:cs="Times New Roman"/>
        </w:rPr>
        <w:t>Other hyperparameter configurations are as follows: optimizer: SGD, loss function: sigmoid cross entropy.</w:t>
      </w:r>
    </w:p>
    <w:p w14:paraId="07AC82F0" w14:textId="77777777" w:rsidR="0050616C" w:rsidRPr="0050616C" w:rsidRDefault="0050616C" w:rsidP="0050616C"/>
    <w:p w14:paraId="6A15DD4D" w14:textId="2BB298B0" w:rsidR="00994A3D" w:rsidRPr="0050616C" w:rsidRDefault="00654E8F" w:rsidP="0050616C">
      <w:pPr>
        <w:pStyle w:val="1"/>
      </w:pPr>
      <w:r w:rsidRPr="0050616C">
        <w:t xml:space="preserve">Supplementary </w:t>
      </w:r>
      <w:r w:rsidR="0050616C" w:rsidRPr="0050616C">
        <w:t>T</w:t>
      </w:r>
      <w:r w:rsidR="0050616C" w:rsidRPr="0050616C">
        <w:rPr>
          <w:rFonts w:eastAsiaTheme="minorEastAsia"/>
          <w:lang w:eastAsia="zh-CN"/>
        </w:rPr>
        <w:t>able</w:t>
      </w:r>
      <w:r w:rsidR="005B4256">
        <w:rPr>
          <w:rFonts w:eastAsiaTheme="minorEastAsia"/>
          <w:lang w:eastAsia="zh-CN"/>
        </w:rPr>
        <w:t>s</w:t>
      </w:r>
    </w:p>
    <w:p w14:paraId="277948C4" w14:textId="77777777" w:rsidR="0050616C" w:rsidRPr="0050616C" w:rsidRDefault="0050616C" w:rsidP="0050616C">
      <w:r>
        <w:rPr>
          <w:b/>
          <w:bCs/>
        </w:rPr>
        <w:t>S</w:t>
      </w:r>
      <w:r>
        <w:rPr>
          <w:rFonts w:hint="eastAsia"/>
          <w:b/>
          <w:bCs/>
        </w:rPr>
        <w:t>upplementary</w:t>
      </w:r>
      <w:r>
        <w:rPr>
          <w:b/>
          <w:bCs/>
        </w:rPr>
        <w:t xml:space="preserve"> T</w:t>
      </w:r>
      <w:r>
        <w:rPr>
          <w:rFonts w:hint="eastAsia"/>
          <w:b/>
          <w:bCs/>
        </w:rPr>
        <w:t>able</w:t>
      </w:r>
      <w:r>
        <w:rPr>
          <w:b/>
          <w:bCs/>
        </w:rPr>
        <w:t xml:space="preserve"> 1. </w:t>
      </w:r>
      <w:r w:rsidRPr="0050616C">
        <w:t>The supplement presents the detailed process of calculating the ACR-TI-RADS score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62"/>
        <w:gridCol w:w="2987"/>
        <w:gridCol w:w="1209"/>
        <w:gridCol w:w="1189"/>
        <w:gridCol w:w="1692"/>
        <w:gridCol w:w="2138"/>
      </w:tblGrid>
      <w:tr w:rsidR="0050616C" w:rsidRPr="0050616C" w14:paraId="7AA723AD" w14:textId="77777777" w:rsidTr="00506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2E946BD" w14:textId="77777777" w:rsidR="0050616C" w:rsidRPr="0050616C" w:rsidRDefault="0050616C" w:rsidP="00B42F97">
            <w:pPr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Score</w:t>
            </w:r>
          </w:p>
        </w:tc>
        <w:tc>
          <w:tcPr>
            <w:tcW w:w="0" w:type="auto"/>
            <w:noWrap/>
            <w:hideMark/>
          </w:tcPr>
          <w:p w14:paraId="7A4BC20F" w14:textId="77777777" w:rsidR="0050616C" w:rsidRPr="0050616C" w:rsidRDefault="0050616C" w:rsidP="00B42F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Compositing</w:t>
            </w:r>
          </w:p>
        </w:tc>
        <w:tc>
          <w:tcPr>
            <w:tcW w:w="0" w:type="auto"/>
            <w:noWrap/>
            <w:hideMark/>
          </w:tcPr>
          <w:p w14:paraId="4760ADF6" w14:textId="77777777" w:rsidR="0050616C" w:rsidRPr="0050616C" w:rsidRDefault="0050616C" w:rsidP="00B42F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Echogenicity</w:t>
            </w:r>
          </w:p>
        </w:tc>
        <w:tc>
          <w:tcPr>
            <w:tcW w:w="0" w:type="auto"/>
            <w:noWrap/>
            <w:hideMark/>
          </w:tcPr>
          <w:p w14:paraId="62FEA196" w14:textId="77777777" w:rsidR="0050616C" w:rsidRPr="0050616C" w:rsidRDefault="0050616C" w:rsidP="00B42F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Shape</w:t>
            </w:r>
          </w:p>
        </w:tc>
        <w:tc>
          <w:tcPr>
            <w:tcW w:w="0" w:type="auto"/>
            <w:noWrap/>
            <w:hideMark/>
          </w:tcPr>
          <w:p w14:paraId="5D89F4EC" w14:textId="77777777" w:rsidR="0050616C" w:rsidRPr="0050616C" w:rsidRDefault="0050616C" w:rsidP="00B42F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Margin</w:t>
            </w:r>
          </w:p>
        </w:tc>
        <w:tc>
          <w:tcPr>
            <w:tcW w:w="0" w:type="auto"/>
            <w:noWrap/>
            <w:hideMark/>
          </w:tcPr>
          <w:p w14:paraId="1085DE20" w14:textId="77777777" w:rsidR="0050616C" w:rsidRPr="0050616C" w:rsidRDefault="0050616C" w:rsidP="00B42F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Echogenic Foci</w:t>
            </w:r>
          </w:p>
        </w:tc>
      </w:tr>
      <w:tr w:rsidR="0050616C" w:rsidRPr="0050616C" w14:paraId="71F68346" w14:textId="77777777" w:rsidTr="0050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9108A92" w14:textId="77777777" w:rsidR="0050616C" w:rsidRPr="0050616C" w:rsidRDefault="0050616C" w:rsidP="00B42F97">
            <w:pPr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AA10472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Cystic or almost completely cystic; Spongiform</w:t>
            </w:r>
          </w:p>
        </w:tc>
        <w:tc>
          <w:tcPr>
            <w:tcW w:w="0" w:type="auto"/>
            <w:noWrap/>
            <w:hideMark/>
          </w:tcPr>
          <w:p w14:paraId="5E343133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Anechoic</w:t>
            </w:r>
          </w:p>
        </w:tc>
        <w:tc>
          <w:tcPr>
            <w:tcW w:w="0" w:type="auto"/>
            <w:noWrap/>
            <w:hideMark/>
          </w:tcPr>
          <w:p w14:paraId="13505CAE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Wilder-than-tall</w:t>
            </w:r>
          </w:p>
        </w:tc>
        <w:tc>
          <w:tcPr>
            <w:tcW w:w="0" w:type="auto"/>
            <w:noWrap/>
            <w:hideMark/>
          </w:tcPr>
          <w:p w14:paraId="0D0028F3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Smooth</w:t>
            </w:r>
          </w:p>
        </w:tc>
        <w:tc>
          <w:tcPr>
            <w:tcW w:w="0" w:type="auto"/>
            <w:noWrap/>
            <w:hideMark/>
          </w:tcPr>
          <w:p w14:paraId="5A2FAC6C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None or large comet-tail artifacts</w:t>
            </w:r>
          </w:p>
        </w:tc>
      </w:tr>
      <w:tr w:rsidR="0050616C" w:rsidRPr="0050616C" w14:paraId="63370200" w14:textId="77777777" w:rsidTr="0050616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916FEAE" w14:textId="77777777" w:rsidR="0050616C" w:rsidRPr="0050616C" w:rsidRDefault="0050616C" w:rsidP="00B42F97">
            <w:pPr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2352291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Mixed cystic and solid</w:t>
            </w:r>
          </w:p>
        </w:tc>
        <w:tc>
          <w:tcPr>
            <w:tcW w:w="0" w:type="auto"/>
            <w:gridSpan w:val="2"/>
            <w:noWrap/>
            <w:hideMark/>
          </w:tcPr>
          <w:p w14:paraId="6B7BE7D8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Hyperechoic or isoechoic</w:t>
            </w:r>
          </w:p>
        </w:tc>
        <w:tc>
          <w:tcPr>
            <w:tcW w:w="0" w:type="auto"/>
            <w:noWrap/>
            <w:hideMark/>
          </w:tcPr>
          <w:p w14:paraId="0B7A3B23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Ill-defined</w:t>
            </w:r>
          </w:p>
        </w:tc>
        <w:tc>
          <w:tcPr>
            <w:tcW w:w="0" w:type="auto"/>
            <w:noWrap/>
            <w:hideMark/>
          </w:tcPr>
          <w:p w14:paraId="6B3B7651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Macrocalcifications</w:t>
            </w:r>
          </w:p>
        </w:tc>
      </w:tr>
      <w:tr w:rsidR="0050616C" w:rsidRPr="0050616C" w14:paraId="07C53F1B" w14:textId="77777777" w:rsidTr="0050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054AE83" w14:textId="77777777" w:rsidR="0050616C" w:rsidRPr="0050616C" w:rsidRDefault="0050616C" w:rsidP="00B42F97">
            <w:pPr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BB7C2BC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Solid or almost completely solid</w:t>
            </w:r>
          </w:p>
        </w:tc>
        <w:tc>
          <w:tcPr>
            <w:tcW w:w="0" w:type="auto"/>
            <w:noWrap/>
            <w:hideMark/>
          </w:tcPr>
          <w:p w14:paraId="33B69CC2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Hypoechoic</w:t>
            </w:r>
          </w:p>
        </w:tc>
        <w:tc>
          <w:tcPr>
            <w:tcW w:w="0" w:type="auto"/>
            <w:noWrap/>
            <w:hideMark/>
          </w:tcPr>
          <w:p w14:paraId="7FA89EFB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0" w:type="auto"/>
            <w:noWrap/>
            <w:hideMark/>
          </w:tcPr>
          <w:p w14:paraId="02E80197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Lobulated or irregular</w:t>
            </w:r>
          </w:p>
        </w:tc>
        <w:tc>
          <w:tcPr>
            <w:tcW w:w="0" w:type="auto"/>
            <w:noWrap/>
            <w:hideMark/>
          </w:tcPr>
          <w:p w14:paraId="1991C1D1" w14:textId="77777777" w:rsidR="0050616C" w:rsidRPr="0050616C" w:rsidRDefault="0050616C" w:rsidP="00B42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Peripheral(rim) calcifications</w:t>
            </w:r>
          </w:p>
        </w:tc>
      </w:tr>
      <w:tr w:rsidR="0050616C" w:rsidRPr="0050616C" w14:paraId="6B8FEDD2" w14:textId="77777777" w:rsidTr="0050616C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512A090" w14:textId="77777777" w:rsidR="0050616C" w:rsidRPr="0050616C" w:rsidRDefault="0050616C" w:rsidP="00B42F97">
            <w:pPr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0" w:type="auto"/>
            <w:noWrap/>
            <w:hideMark/>
          </w:tcPr>
          <w:p w14:paraId="26A67F2B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 xml:space="preserve">　</w:t>
            </w:r>
          </w:p>
        </w:tc>
        <w:tc>
          <w:tcPr>
            <w:tcW w:w="0" w:type="auto"/>
            <w:noWrap/>
            <w:hideMark/>
          </w:tcPr>
          <w:p w14:paraId="5C6959B4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Very hypoechoic</w:t>
            </w:r>
          </w:p>
        </w:tc>
        <w:tc>
          <w:tcPr>
            <w:tcW w:w="0" w:type="auto"/>
            <w:noWrap/>
            <w:hideMark/>
          </w:tcPr>
          <w:p w14:paraId="50A33A5D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Taller-than-wide</w:t>
            </w:r>
          </w:p>
        </w:tc>
        <w:tc>
          <w:tcPr>
            <w:tcW w:w="0" w:type="auto"/>
            <w:noWrap/>
            <w:hideMark/>
          </w:tcPr>
          <w:p w14:paraId="2102D1D0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Extra-thyroidal extension</w:t>
            </w:r>
          </w:p>
        </w:tc>
        <w:tc>
          <w:tcPr>
            <w:tcW w:w="0" w:type="auto"/>
            <w:noWrap/>
            <w:hideMark/>
          </w:tcPr>
          <w:p w14:paraId="0437CBBE" w14:textId="77777777" w:rsidR="0050616C" w:rsidRPr="0050616C" w:rsidRDefault="0050616C" w:rsidP="00B42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22"/>
              </w:rPr>
            </w:pPr>
            <w:r w:rsidRPr="0050616C">
              <w:rPr>
                <w:rFonts w:eastAsia="等线" w:cs="Times New Roman"/>
                <w:color w:val="000000"/>
                <w:sz w:val="22"/>
              </w:rPr>
              <w:t>Punctate echogenic foci</w:t>
            </w:r>
          </w:p>
        </w:tc>
      </w:tr>
    </w:tbl>
    <w:p w14:paraId="1B5ECD0D" w14:textId="3AEABED1" w:rsidR="0050616C" w:rsidRDefault="00DE539C" w:rsidP="0050616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</w:t>
      </w:r>
      <w:r>
        <w:rPr>
          <w:lang w:eastAsia="zh-CN"/>
        </w:rPr>
        <w:t xml:space="preserve">CR-TI-RADS: </w:t>
      </w:r>
      <w:r>
        <w:rPr>
          <w:szCs w:val="21"/>
        </w:rPr>
        <w:t>American College of Radiology Thyroid Imaging Reporting and Data System</w:t>
      </w:r>
    </w:p>
    <w:p w14:paraId="508B948E" w14:textId="77777777" w:rsidR="00DE539C" w:rsidRDefault="00DE539C" w:rsidP="0050616C"/>
    <w:p w14:paraId="5C57F124" w14:textId="77777777" w:rsidR="00DE539C" w:rsidRPr="00DE539C" w:rsidRDefault="00DE539C" w:rsidP="00DE539C">
      <w:pPr>
        <w:spacing w:before="0" w:after="0"/>
        <w:rPr>
          <w:rFonts w:ascii="宋体" w:eastAsia="宋体" w:hAnsi="宋体" w:cs="宋体"/>
          <w:szCs w:val="24"/>
          <w:lang w:eastAsia="zh-CN"/>
        </w:rPr>
      </w:pPr>
      <w:r>
        <w:rPr>
          <w:b/>
          <w:bCs/>
        </w:rPr>
        <w:t>S</w:t>
      </w:r>
      <w:r>
        <w:rPr>
          <w:rFonts w:hint="eastAsia"/>
          <w:b/>
          <w:bCs/>
        </w:rPr>
        <w:t>upplementary</w:t>
      </w:r>
      <w:r>
        <w:rPr>
          <w:b/>
          <w:bCs/>
        </w:rPr>
        <w:t xml:space="preserve"> T</w:t>
      </w:r>
      <w:r>
        <w:rPr>
          <w:rFonts w:hint="eastAsia"/>
          <w:b/>
          <w:bCs/>
        </w:rPr>
        <w:t>able</w:t>
      </w:r>
      <w:r>
        <w:rPr>
          <w:b/>
          <w:bCs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>.</w:t>
      </w:r>
      <w:r>
        <w:rPr>
          <w:b/>
          <w:bCs/>
        </w:rPr>
        <w:t xml:space="preserve"> ACR-TI-RADS </w:t>
      </w:r>
      <w:r w:rsidRPr="00DE539C">
        <w:rPr>
          <w:rFonts w:ascii="TimesNewRomanPS-BoldMT" w:eastAsia="宋体" w:hAnsi="TimesNewRomanPS-BoldMT" w:cs="宋体"/>
          <w:b/>
          <w:bCs/>
          <w:color w:val="000000"/>
          <w:szCs w:val="24"/>
          <w:lang w:eastAsia="zh-CN"/>
        </w:rPr>
        <w:t>risk stratification system and management recommendations</w:t>
      </w:r>
    </w:p>
    <w:tbl>
      <w:tblPr>
        <w:tblStyle w:val="21"/>
        <w:tblW w:w="7227" w:type="dxa"/>
        <w:tblLook w:val="04A0" w:firstRow="1" w:lastRow="0" w:firstColumn="1" w:lastColumn="0" w:noHBand="0" w:noVBand="1"/>
      </w:tblPr>
      <w:tblGrid>
        <w:gridCol w:w="2127"/>
        <w:gridCol w:w="1700"/>
        <w:gridCol w:w="1700"/>
        <w:gridCol w:w="1700"/>
      </w:tblGrid>
      <w:tr w:rsidR="00DE539C" w:rsidRPr="00DE539C" w14:paraId="4571DD67" w14:textId="77777777" w:rsidTr="00DE53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4CADA4E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Category</w:t>
            </w:r>
          </w:p>
        </w:tc>
        <w:tc>
          <w:tcPr>
            <w:tcW w:w="1700" w:type="dxa"/>
            <w:noWrap/>
            <w:hideMark/>
          </w:tcPr>
          <w:p w14:paraId="6525AF36" w14:textId="77777777" w:rsidR="00DE539C" w:rsidRPr="00DE539C" w:rsidRDefault="00DE539C" w:rsidP="00DE539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TI-RADS score</w:t>
            </w:r>
          </w:p>
        </w:tc>
        <w:tc>
          <w:tcPr>
            <w:tcW w:w="1700" w:type="dxa"/>
            <w:noWrap/>
            <w:hideMark/>
          </w:tcPr>
          <w:p w14:paraId="71BF9264" w14:textId="77777777" w:rsidR="00DE539C" w:rsidRPr="00DE539C" w:rsidRDefault="00DE539C" w:rsidP="00DE539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Follow size cutoff</w:t>
            </w:r>
          </w:p>
        </w:tc>
        <w:tc>
          <w:tcPr>
            <w:tcW w:w="1700" w:type="dxa"/>
            <w:noWrap/>
            <w:hideMark/>
          </w:tcPr>
          <w:p w14:paraId="5D5FF61F" w14:textId="77777777" w:rsidR="00DE539C" w:rsidRPr="00DE539C" w:rsidRDefault="00DE539C" w:rsidP="00DE539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FNA size cutoff</w:t>
            </w:r>
          </w:p>
        </w:tc>
      </w:tr>
      <w:tr w:rsidR="00DE539C" w:rsidRPr="00DE539C" w14:paraId="4969C9B3" w14:textId="77777777" w:rsidTr="00DE5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3C477F9A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Highly suspicious</w:t>
            </w:r>
          </w:p>
        </w:tc>
        <w:tc>
          <w:tcPr>
            <w:tcW w:w="1700" w:type="dxa"/>
            <w:noWrap/>
            <w:hideMark/>
          </w:tcPr>
          <w:p w14:paraId="1DF6FFDA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7 points or more</w:t>
            </w:r>
          </w:p>
        </w:tc>
        <w:tc>
          <w:tcPr>
            <w:tcW w:w="1700" w:type="dxa"/>
            <w:noWrap/>
            <w:hideMark/>
          </w:tcPr>
          <w:p w14:paraId="27C21DEC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0.5 cm</w:t>
            </w:r>
          </w:p>
        </w:tc>
        <w:tc>
          <w:tcPr>
            <w:tcW w:w="1700" w:type="dxa"/>
            <w:noWrap/>
            <w:hideMark/>
          </w:tcPr>
          <w:p w14:paraId="5D02A466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1 cm</w:t>
            </w:r>
          </w:p>
        </w:tc>
      </w:tr>
      <w:tr w:rsidR="00DE539C" w:rsidRPr="00DE539C" w14:paraId="67740C86" w14:textId="77777777" w:rsidTr="00DE539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7A6BC066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Moderately suspicious</w:t>
            </w:r>
          </w:p>
        </w:tc>
        <w:tc>
          <w:tcPr>
            <w:tcW w:w="1700" w:type="dxa"/>
            <w:noWrap/>
            <w:hideMark/>
          </w:tcPr>
          <w:p w14:paraId="12C10A3C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4 to 6 points</w:t>
            </w:r>
          </w:p>
        </w:tc>
        <w:tc>
          <w:tcPr>
            <w:tcW w:w="1700" w:type="dxa"/>
            <w:noWrap/>
            <w:hideMark/>
          </w:tcPr>
          <w:p w14:paraId="12B258F8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1 cm</w:t>
            </w:r>
          </w:p>
        </w:tc>
        <w:tc>
          <w:tcPr>
            <w:tcW w:w="1700" w:type="dxa"/>
            <w:noWrap/>
            <w:hideMark/>
          </w:tcPr>
          <w:p w14:paraId="5F0BEC45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1.5 cm</w:t>
            </w:r>
          </w:p>
        </w:tc>
      </w:tr>
      <w:tr w:rsidR="00DE539C" w:rsidRPr="00DE539C" w14:paraId="0BEAF262" w14:textId="77777777" w:rsidTr="00DE5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6A115B60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Mildly suspicious</w:t>
            </w:r>
          </w:p>
        </w:tc>
        <w:tc>
          <w:tcPr>
            <w:tcW w:w="1700" w:type="dxa"/>
            <w:noWrap/>
            <w:hideMark/>
          </w:tcPr>
          <w:p w14:paraId="36EB64E4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3 points</w:t>
            </w:r>
          </w:p>
        </w:tc>
        <w:tc>
          <w:tcPr>
            <w:tcW w:w="1700" w:type="dxa"/>
            <w:noWrap/>
            <w:hideMark/>
          </w:tcPr>
          <w:p w14:paraId="7F8A51B2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1.5 cm</w:t>
            </w:r>
          </w:p>
        </w:tc>
        <w:tc>
          <w:tcPr>
            <w:tcW w:w="1700" w:type="dxa"/>
            <w:noWrap/>
            <w:hideMark/>
          </w:tcPr>
          <w:p w14:paraId="786D15D1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2.5 cm</w:t>
            </w:r>
          </w:p>
        </w:tc>
      </w:tr>
      <w:tr w:rsidR="00DE539C" w:rsidRPr="00DE539C" w14:paraId="447B80DC" w14:textId="77777777" w:rsidTr="00DE539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4F614C07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Not suspicious</w:t>
            </w:r>
          </w:p>
        </w:tc>
        <w:tc>
          <w:tcPr>
            <w:tcW w:w="1700" w:type="dxa"/>
            <w:noWrap/>
            <w:hideMark/>
          </w:tcPr>
          <w:p w14:paraId="62AE8BBF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2 points</w:t>
            </w:r>
          </w:p>
        </w:tc>
        <w:tc>
          <w:tcPr>
            <w:tcW w:w="1700" w:type="dxa"/>
            <w:noWrap/>
            <w:hideMark/>
          </w:tcPr>
          <w:p w14:paraId="5D340B1B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Not indicated</w:t>
            </w:r>
          </w:p>
        </w:tc>
        <w:tc>
          <w:tcPr>
            <w:tcW w:w="1700" w:type="dxa"/>
            <w:noWrap/>
            <w:hideMark/>
          </w:tcPr>
          <w:p w14:paraId="309AFA27" w14:textId="77777777" w:rsidR="00DE539C" w:rsidRPr="00DE539C" w:rsidRDefault="00DE539C" w:rsidP="00DE539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Not indicated</w:t>
            </w:r>
          </w:p>
        </w:tc>
      </w:tr>
      <w:tr w:rsidR="00DE539C" w:rsidRPr="00DE539C" w14:paraId="533BA8C9" w14:textId="77777777" w:rsidTr="00DE5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noWrap/>
            <w:hideMark/>
          </w:tcPr>
          <w:p w14:paraId="510B57D4" w14:textId="77777777" w:rsidR="00DE539C" w:rsidRPr="00DE539C" w:rsidRDefault="00DE539C" w:rsidP="00DE539C">
            <w:pPr>
              <w:spacing w:before="0" w:after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Benign</w:t>
            </w:r>
          </w:p>
        </w:tc>
        <w:tc>
          <w:tcPr>
            <w:tcW w:w="1700" w:type="dxa"/>
            <w:noWrap/>
            <w:hideMark/>
          </w:tcPr>
          <w:p w14:paraId="3B354D09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0 points</w:t>
            </w:r>
          </w:p>
        </w:tc>
        <w:tc>
          <w:tcPr>
            <w:tcW w:w="1700" w:type="dxa"/>
            <w:noWrap/>
            <w:hideMark/>
          </w:tcPr>
          <w:p w14:paraId="06D93720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Not indicated</w:t>
            </w:r>
          </w:p>
        </w:tc>
        <w:tc>
          <w:tcPr>
            <w:tcW w:w="1700" w:type="dxa"/>
            <w:noWrap/>
            <w:hideMark/>
          </w:tcPr>
          <w:p w14:paraId="56248CD5" w14:textId="77777777" w:rsidR="00DE539C" w:rsidRPr="00DE539C" w:rsidRDefault="00DE539C" w:rsidP="00DE539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</w:pPr>
            <w:r w:rsidRPr="00DE539C">
              <w:rPr>
                <w:rFonts w:ascii="等线" w:eastAsia="等线" w:hAnsi="等线" w:cs="宋体" w:hint="eastAsia"/>
                <w:color w:val="000000"/>
                <w:sz w:val="22"/>
                <w:lang w:eastAsia="zh-CN"/>
              </w:rPr>
              <w:t>Not indicated</w:t>
            </w:r>
          </w:p>
        </w:tc>
      </w:tr>
    </w:tbl>
    <w:p w14:paraId="368E901C" w14:textId="76CE1DBE" w:rsidR="00DE539C" w:rsidRPr="00DE539C" w:rsidRDefault="00DE539C" w:rsidP="00DE539C">
      <w:pPr>
        <w:spacing w:before="0" w:after="0"/>
        <w:rPr>
          <w:rFonts w:ascii="宋体" w:eastAsia="宋体" w:hAnsi="宋体" w:cs="宋体"/>
          <w:szCs w:val="24"/>
          <w:lang w:eastAsia="zh-CN"/>
        </w:rPr>
      </w:pPr>
    </w:p>
    <w:p w14:paraId="63D7C2B0" w14:textId="77777777" w:rsidR="00994A3D" w:rsidRPr="0050616C" w:rsidRDefault="00994A3D" w:rsidP="0050616C">
      <w:pPr>
        <w:pStyle w:val="1"/>
      </w:pPr>
      <w:r w:rsidRPr="0050616C">
        <w:t>Supplementary Figures</w:t>
      </w:r>
    </w:p>
    <w:p w14:paraId="774B7835" w14:textId="4AC20478" w:rsidR="0050616C" w:rsidRPr="001A7FE7" w:rsidRDefault="0050616C" w:rsidP="0050616C">
      <w:pPr>
        <w:rPr>
          <w:b/>
          <w:bCs/>
        </w:rPr>
      </w:pPr>
      <w:r>
        <w:rPr>
          <w:rFonts w:hint="eastAsia"/>
          <w:b/>
          <w:bCs/>
        </w:rPr>
        <w:t>S</w:t>
      </w:r>
      <w:r>
        <w:rPr>
          <w:b/>
          <w:bCs/>
        </w:rPr>
        <w:t>upplementary Figure 1.</w:t>
      </w:r>
      <w:r w:rsidRPr="001A7FE7">
        <w:rPr>
          <w:rFonts w:asciiTheme="minorEastAsia" w:hAnsiTheme="minorEastAsia"/>
        </w:rPr>
        <w:t xml:space="preserve"> </w:t>
      </w:r>
      <w:r w:rsidRPr="0050616C">
        <w:rPr>
          <w:rFonts w:cs="Times New Roman"/>
        </w:rPr>
        <w:t xml:space="preserve">Spearman correlation coefficients of each clinical </w:t>
      </w:r>
      <w:r w:rsidR="00480B7D">
        <w:rPr>
          <w:rFonts w:cs="Times New Roman"/>
        </w:rPr>
        <w:t>feature</w:t>
      </w:r>
      <w:r w:rsidRPr="0050616C">
        <w:rPr>
          <w:rFonts w:cs="Times New Roman"/>
        </w:rPr>
        <w:t xml:space="preserve"> demonstrated no obvious linear relationship between these clinical features.</w:t>
      </w:r>
    </w:p>
    <w:p w14:paraId="6754D378" w14:textId="1A328BB4" w:rsidR="00994A3D" w:rsidRDefault="0050616C" w:rsidP="00994A3D">
      <w:pPr>
        <w:keepNext/>
        <w:rPr>
          <w:rFonts w:cs="Times New Roman"/>
          <w:szCs w:val="24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41919C2A" wp14:editId="0A20D107">
            <wp:extent cx="5274310" cy="3846195"/>
            <wp:effectExtent l="0" t="0" r="2540" b="1905"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形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632C" w14:textId="10EAD595" w:rsidR="0050616C" w:rsidRPr="0050616C" w:rsidRDefault="0050616C" w:rsidP="0050616C">
      <w:pPr>
        <w:rPr>
          <w:rFonts w:cs="Times New Roman"/>
        </w:rPr>
      </w:pPr>
      <w:r w:rsidRPr="0050616C">
        <w:rPr>
          <w:rFonts w:cs="Times New Roman"/>
          <w:szCs w:val="24"/>
        </w:rPr>
        <w:t>VAHDR</w:t>
      </w:r>
      <w:r w:rsidRPr="0050616C">
        <w:rPr>
          <w:rFonts w:cs="Times New Roman"/>
          <w:szCs w:val="24"/>
          <w:lang w:eastAsia="zh-CN"/>
        </w:rPr>
        <w:t xml:space="preserve">: </w:t>
      </w:r>
      <w:r w:rsidRPr="0050616C">
        <w:rPr>
          <w:rFonts w:eastAsia="等线" w:cs="Times New Roman"/>
          <w:color w:val="000000"/>
          <w:szCs w:val="24"/>
        </w:rPr>
        <w:t>Vertical and horizontal diameter ratio</w:t>
      </w:r>
    </w:p>
    <w:p w14:paraId="75D8EE14" w14:textId="1E325D6B" w:rsidR="0050616C" w:rsidRDefault="0050616C" w:rsidP="0050616C">
      <w:pPr>
        <w:rPr>
          <w:szCs w:val="21"/>
        </w:rPr>
      </w:pPr>
    </w:p>
    <w:p w14:paraId="04B389A4" w14:textId="152E067F" w:rsidR="0050616C" w:rsidRDefault="0050616C" w:rsidP="0050616C">
      <w:pPr>
        <w:rPr>
          <w:b/>
          <w:bCs/>
        </w:rPr>
      </w:pPr>
      <w:r>
        <w:rPr>
          <w:rFonts w:hint="eastAsia"/>
          <w:b/>
          <w:bCs/>
        </w:rPr>
        <w:t>S</w:t>
      </w:r>
      <w:r>
        <w:rPr>
          <w:b/>
          <w:bCs/>
        </w:rPr>
        <w:t xml:space="preserve">upplementary Figure 2.  </w:t>
      </w:r>
      <w:r w:rsidRPr="0050616C">
        <w:t>Hand-crafted feature</w:t>
      </w:r>
    </w:p>
    <w:p w14:paraId="0D3697EF" w14:textId="2BB2316D" w:rsidR="0050616C" w:rsidRDefault="0050616C" w:rsidP="0050616C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6C3CE5F8" wp14:editId="4C63CCBC">
            <wp:extent cx="6195060" cy="51587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5F44" w14:textId="065A331C" w:rsidR="0050616C" w:rsidRDefault="0050616C" w:rsidP="0050616C">
      <w:pPr>
        <w:rPr>
          <w:szCs w:val="21"/>
        </w:rPr>
      </w:pPr>
      <w:r w:rsidRPr="00EC383F">
        <w:t>(</w:t>
      </w:r>
      <w:r>
        <w:t>A</w:t>
      </w:r>
      <w:r w:rsidRPr="00EC383F">
        <w:t>)</w:t>
      </w:r>
      <w:r>
        <w:rPr>
          <w:b/>
          <w:bCs/>
        </w:rPr>
        <w:t xml:space="preserve"> </w:t>
      </w:r>
      <w:r>
        <w:rPr>
          <w:szCs w:val="21"/>
        </w:rPr>
        <w:t xml:space="preserve">Number and </w:t>
      </w:r>
      <w:r w:rsidR="00480B7D">
        <w:rPr>
          <w:szCs w:val="21"/>
        </w:rPr>
        <w:t xml:space="preserve">the </w:t>
      </w:r>
      <w:r>
        <w:rPr>
          <w:szCs w:val="21"/>
        </w:rPr>
        <w:t>ratio of handcrafted features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(B) S</w:t>
      </w:r>
      <w:r>
        <w:rPr>
          <w:rFonts w:hint="eastAsia"/>
          <w:szCs w:val="21"/>
        </w:rPr>
        <w:t>t</w:t>
      </w:r>
      <w:r>
        <w:rPr>
          <w:szCs w:val="21"/>
        </w:rPr>
        <w:t>atistics of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radiomics features. (C) Coefficients of 10-fold </w:t>
      </w:r>
      <w:r w:rsidR="00480B7D">
        <w:rPr>
          <w:szCs w:val="21"/>
        </w:rPr>
        <w:t>cross-validation</w:t>
      </w:r>
      <w:r>
        <w:rPr>
          <w:szCs w:val="21"/>
        </w:rPr>
        <w:t xml:space="preserve">. (D) MSE of 10-fold validation. </w:t>
      </w:r>
    </w:p>
    <w:p w14:paraId="20262C3E" w14:textId="6BFEAE10" w:rsidR="0050616C" w:rsidRDefault="0050616C" w:rsidP="00994A3D">
      <w:pPr>
        <w:keepNext/>
        <w:rPr>
          <w:rFonts w:cs="Times New Roman"/>
          <w:szCs w:val="24"/>
        </w:rPr>
      </w:pPr>
    </w:p>
    <w:p w14:paraId="5B41C244" w14:textId="538CD79D" w:rsidR="0050616C" w:rsidRPr="000878AE" w:rsidRDefault="0050616C" w:rsidP="0050616C">
      <w:pPr>
        <w:rPr>
          <w:b/>
          <w:bCs/>
          <w:szCs w:val="21"/>
        </w:rPr>
      </w:pPr>
      <w:r w:rsidRPr="000878AE">
        <w:rPr>
          <w:rFonts w:hint="eastAsia"/>
          <w:b/>
          <w:bCs/>
        </w:rPr>
        <w:t>S</w:t>
      </w:r>
      <w:r w:rsidRPr="000878AE">
        <w:rPr>
          <w:b/>
          <w:bCs/>
        </w:rPr>
        <w:t>upplementary Figure 3</w:t>
      </w:r>
      <w:r>
        <w:rPr>
          <w:b/>
          <w:bCs/>
        </w:rPr>
        <w:t xml:space="preserve">. </w:t>
      </w:r>
      <w:r w:rsidRPr="000878AE">
        <w:rPr>
          <w:b/>
          <w:bCs/>
        </w:rPr>
        <w:t xml:space="preserve"> </w:t>
      </w:r>
      <w:r w:rsidRPr="0050616C">
        <w:t>The correlation coefficient of each deep transfer learning features</w:t>
      </w:r>
      <w:r>
        <w:rPr>
          <w:rFonts w:hint="eastAsia"/>
          <w:noProof/>
          <w:szCs w:val="21"/>
        </w:rPr>
        <w:drawing>
          <wp:inline distT="0" distB="0" distL="0" distR="0" wp14:anchorId="5D38798D" wp14:editId="5A9BF60E">
            <wp:extent cx="5274310" cy="4299585"/>
            <wp:effectExtent l="0" t="0" r="2540" b="5715"/>
            <wp:docPr id="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形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4445DD91" w:rsidR="00DE23E8" w:rsidRPr="001549D3" w:rsidRDefault="000E7088" w:rsidP="00654E8F">
      <w:pPr>
        <w:spacing w:before="240"/>
      </w:pPr>
      <w:r w:rsidRPr="004A681B">
        <w:rPr>
          <w:rFonts w:cs="Times New Roman"/>
          <w:b/>
          <w:bCs/>
          <w:szCs w:val="24"/>
        </w:rPr>
        <w:t>Correlation</w:t>
      </w:r>
      <w:r w:rsidRPr="004A681B">
        <w:rPr>
          <w:rFonts w:cs="Times New Roman"/>
          <w:szCs w:val="24"/>
        </w:rPr>
        <w:t xml:space="preserve">: For features with high repeatability, Spearman's rank correlation coefficient was also used to calculate the correlation between features, and one of the features with </w:t>
      </w:r>
      <w:r w:rsidR="00480B7D">
        <w:rPr>
          <w:rFonts w:cs="Times New Roman"/>
          <w:szCs w:val="24"/>
        </w:rPr>
        <w:t xml:space="preserve">a </w:t>
      </w:r>
      <w:r w:rsidRPr="004A681B">
        <w:rPr>
          <w:rFonts w:cs="Times New Roman"/>
          <w:szCs w:val="24"/>
        </w:rPr>
        <w:t xml:space="preserve">correlation coefficient greater than 0.9 between any two features is retained. </w:t>
      </w:r>
      <w:r w:rsidR="00480B7D">
        <w:rPr>
          <w:rFonts w:cs="Times New Roman"/>
          <w:szCs w:val="24"/>
        </w:rPr>
        <w:t>To</w:t>
      </w:r>
      <w:r w:rsidRPr="004A681B">
        <w:rPr>
          <w:rFonts w:cs="Times New Roman"/>
          <w:szCs w:val="24"/>
        </w:rPr>
        <w:t xml:space="preserve"> retain the ability to depict features to the greatest extent, we use </w:t>
      </w:r>
      <w:r w:rsidR="00480B7D">
        <w:rPr>
          <w:rFonts w:cs="Times New Roman"/>
          <w:szCs w:val="24"/>
        </w:rPr>
        <w:t xml:space="preserve">a </w:t>
      </w:r>
      <w:r w:rsidRPr="004A681B">
        <w:rPr>
          <w:rFonts w:cs="Times New Roman"/>
          <w:szCs w:val="24"/>
        </w:rPr>
        <w:t>greedy recursive deletion strategy for feature filtering, that is, the feature with the greatest redundancy in the current set is deleted each time.</w:t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00443" w14:textId="77777777" w:rsidR="00E6660E" w:rsidRDefault="00E6660E" w:rsidP="00117666">
      <w:pPr>
        <w:spacing w:after="0"/>
      </w:pPr>
      <w:r>
        <w:separator/>
      </w:r>
    </w:p>
  </w:endnote>
  <w:endnote w:type="continuationSeparator" w:id="0">
    <w:p w14:paraId="0581915C" w14:textId="77777777" w:rsidR="00E6660E" w:rsidRDefault="00E666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E7B62" w14:textId="77777777" w:rsidR="00E6660E" w:rsidRDefault="00E6660E" w:rsidP="00117666">
      <w:pPr>
        <w:spacing w:after="0"/>
      </w:pPr>
      <w:r>
        <w:separator/>
      </w:r>
    </w:p>
  </w:footnote>
  <w:footnote w:type="continuationSeparator" w:id="0">
    <w:p w14:paraId="228DA2C3" w14:textId="77777777" w:rsidR="00E6660E" w:rsidRDefault="00E666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63848520">
    <w:abstractNumId w:val="0"/>
  </w:num>
  <w:num w:numId="2" w16cid:durableId="1460611412">
    <w:abstractNumId w:val="4"/>
  </w:num>
  <w:num w:numId="3" w16cid:durableId="335351927">
    <w:abstractNumId w:val="1"/>
  </w:num>
  <w:num w:numId="4" w16cid:durableId="59985026">
    <w:abstractNumId w:val="5"/>
  </w:num>
  <w:num w:numId="5" w16cid:durableId="1156123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5950530">
    <w:abstractNumId w:val="3"/>
  </w:num>
  <w:num w:numId="7" w16cid:durableId="543831350">
    <w:abstractNumId w:val="6"/>
  </w:num>
  <w:num w:numId="8" w16cid:durableId="576205552">
    <w:abstractNumId w:val="6"/>
  </w:num>
  <w:num w:numId="9" w16cid:durableId="1119759701">
    <w:abstractNumId w:val="6"/>
  </w:num>
  <w:num w:numId="10" w16cid:durableId="1113937706">
    <w:abstractNumId w:val="6"/>
  </w:num>
  <w:num w:numId="11" w16cid:durableId="1650360272">
    <w:abstractNumId w:val="6"/>
  </w:num>
  <w:num w:numId="12" w16cid:durableId="226913969">
    <w:abstractNumId w:val="6"/>
  </w:num>
  <w:num w:numId="13" w16cid:durableId="2063210395">
    <w:abstractNumId w:val="3"/>
  </w:num>
  <w:num w:numId="14" w16cid:durableId="1379356825">
    <w:abstractNumId w:val="2"/>
  </w:num>
  <w:num w:numId="15" w16cid:durableId="1792165490">
    <w:abstractNumId w:val="2"/>
  </w:num>
  <w:num w:numId="16" w16cid:durableId="954022139">
    <w:abstractNumId w:val="2"/>
  </w:num>
  <w:num w:numId="17" w16cid:durableId="1627394056">
    <w:abstractNumId w:val="2"/>
  </w:num>
  <w:num w:numId="18" w16cid:durableId="1933202288">
    <w:abstractNumId w:val="2"/>
  </w:num>
  <w:num w:numId="19" w16cid:durableId="1404833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7088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15FD3"/>
    <w:rsid w:val="003544FB"/>
    <w:rsid w:val="003D2F2D"/>
    <w:rsid w:val="00401590"/>
    <w:rsid w:val="00447801"/>
    <w:rsid w:val="00452E9C"/>
    <w:rsid w:val="004735C8"/>
    <w:rsid w:val="00480B7D"/>
    <w:rsid w:val="004947A6"/>
    <w:rsid w:val="004961FF"/>
    <w:rsid w:val="0050616C"/>
    <w:rsid w:val="00517A89"/>
    <w:rsid w:val="005250F2"/>
    <w:rsid w:val="00593EEA"/>
    <w:rsid w:val="005A5EEE"/>
    <w:rsid w:val="005B425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2288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E539C"/>
    <w:rsid w:val="00E52377"/>
    <w:rsid w:val="00E537AD"/>
    <w:rsid w:val="00E64E17"/>
    <w:rsid w:val="00E6660E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FirstParagraph">
    <w:name w:val="First Paragraph"/>
    <w:basedOn w:val="aff8"/>
    <w:next w:val="aff8"/>
    <w:qFormat/>
    <w:rsid w:val="0050616C"/>
    <w:pPr>
      <w:spacing w:before="180" w:after="180"/>
    </w:pPr>
    <w:rPr>
      <w:rFonts w:asciiTheme="minorHAnsi" w:hAnsiTheme="minorHAnsi"/>
      <w:szCs w:val="24"/>
    </w:rPr>
  </w:style>
  <w:style w:type="paragraph" w:styleId="aff9">
    <w:name w:val="Block Text"/>
    <w:basedOn w:val="aff8"/>
    <w:next w:val="aff8"/>
    <w:uiPriority w:val="9"/>
    <w:unhideWhenUsed/>
    <w:qFormat/>
    <w:rsid w:val="0050616C"/>
    <w:pPr>
      <w:spacing w:before="100" w:after="100"/>
      <w:ind w:left="480" w:right="480"/>
    </w:pPr>
    <w:rPr>
      <w:rFonts w:asciiTheme="minorHAnsi" w:hAnsiTheme="minorHAnsi"/>
      <w:szCs w:val="24"/>
    </w:rPr>
  </w:style>
  <w:style w:type="paragraph" w:styleId="aff8">
    <w:name w:val="Body Text"/>
    <w:basedOn w:val="a0"/>
    <w:link w:val="affa"/>
    <w:uiPriority w:val="99"/>
    <w:semiHidden/>
    <w:unhideWhenUsed/>
    <w:rsid w:val="0050616C"/>
    <w:pPr>
      <w:spacing w:after="120"/>
    </w:pPr>
  </w:style>
  <w:style w:type="character" w:customStyle="1" w:styleId="affa">
    <w:name w:val="正文文本 字符"/>
    <w:basedOn w:val="a1"/>
    <w:link w:val="aff8"/>
    <w:uiPriority w:val="99"/>
    <w:semiHidden/>
    <w:rsid w:val="0050616C"/>
    <w:rPr>
      <w:rFonts w:ascii="Times New Roman" w:hAnsi="Times New Roman"/>
      <w:sz w:val="24"/>
    </w:rPr>
  </w:style>
  <w:style w:type="table" w:styleId="21">
    <w:name w:val="Grid Table 2"/>
    <w:basedOn w:val="a2"/>
    <w:uiPriority w:val="47"/>
    <w:rsid w:val="005061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164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嘉隆</cp:lastModifiedBy>
  <cp:revision>7</cp:revision>
  <cp:lastPrinted>2013-10-03T12:51:00Z</cp:lastPrinted>
  <dcterms:created xsi:type="dcterms:W3CDTF">2018-11-23T08:58:00Z</dcterms:created>
  <dcterms:modified xsi:type="dcterms:W3CDTF">2022-10-04T13:23:00Z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9a81a0a7ba1debcde86fb8fd3967783bb112bf36a893d674fa0c4b0b5967900f</vt:lpwstr>
  </property>
</Properties>
</file>