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79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073"/>
        <w:gridCol w:w="1036"/>
        <w:gridCol w:w="2694"/>
        <w:gridCol w:w="1658"/>
        <w:gridCol w:w="1452"/>
      </w:tblGrid>
      <w:tr w:rsidR="000E34DE" w:rsidRPr="001840E7" w14:paraId="5E33B386" w14:textId="77777777" w:rsidTr="007A6568">
        <w:trPr>
          <w:trHeight w:val="5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0E95FF6D" w14:textId="77777777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  <w:p w14:paraId="2B74A39C" w14:textId="77777777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UH-ASD antigen</w:t>
            </w:r>
          </w:p>
          <w:p w14:paraId="34B55530" w14:textId="77777777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413611" w14:textId="77777777" w:rsidR="00315B2C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Displayed aa </w:t>
            </w:r>
          </w:p>
          <w:p w14:paraId="2B91F126" w14:textId="11E50D70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sequence </w:t>
            </w: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DD0910" w14:textId="233B2707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Aa </w:t>
            </w:r>
            <w:r w:rsidR="00315B2C"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</w:t>
            </w: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ize </w:t>
            </w: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2B15E83" w14:textId="77777777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Identity cDNA insert</w:t>
            </w: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br/>
              <w:t>(NCBI accession nr)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1983AE2B" w14:textId="77777777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vertAlign w:val="superscript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Type of insert </w:t>
            </w: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3</w:t>
            </w: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 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1C27C4" w14:textId="77777777" w:rsidR="00315B2C" w:rsidRPr="007A6568" w:rsidRDefault="000E34DE" w:rsidP="00315B2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Fusion </w:t>
            </w:r>
          </w:p>
          <w:p w14:paraId="6BBD74B8" w14:textId="16BEB46B" w:rsidR="000E34DE" w:rsidRPr="007A6568" w:rsidRDefault="000E34DE" w:rsidP="007A65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in frame </w:t>
            </w:r>
            <w:r w:rsidRPr="007A65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vertAlign w:val="superscript"/>
              </w:rPr>
              <w:t>4</w:t>
            </w:r>
          </w:p>
        </w:tc>
      </w:tr>
      <w:tr w:rsidR="000E34DE" w:rsidRPr="001840E7" w14:paraId="36E9082F" w14:textId="77777777" w:rsidTr="007A6568">
        <w:trPr>
          <w:trHeight w:val="87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FF1D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UH-ASD.1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B070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(G)KIRQPIGLF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754E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4A8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(99%) Chromosome 6p24.1-25.3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(AL022098.1)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2E9F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6F71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23902C56" w14:textId="77777777" w:rsidTr="007A6568">
        <w:trPr>
          <w:trHeight w:val="49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BCD84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FDA6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(V)MAHMASKE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81BA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8DCB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A6568">
              <w:rPr>
                <w:rFonts w:ascii="Arial" w:hAnsi="Arial" w:cs="Arial"/>
                <w:sz w:val="20"/>
                <w:szCs w:val="20"/>
                <w:lang w:val="de-DE"/>
              </w:rPr>
              <w:t>(100.0%) Glyceraldehyde-3-phosphate dehydrogenase (GAPDH)</w:t>
            </w:r>
            <w:r w:rsidRPr="007A6568">
              <w:rPr>
                <w:rFonts w:ascii="Arial" w:hAnsi="Arial" w:cs="Arial"/>
                <w:sz w:val="20"/>
                <w:szCs w:val="20"/>
                <w:lang w:val="de-DE"/>
              </w:rPr>
              <w:br/>
              <w:t>(NM_001289746.1)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AB0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coding/3'UTR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98E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0CDB1C88" w14:textId="77777777" w:rsidTr="007A6568">
        <w:trPr>
          <w:trHeight w:val="149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99FC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1F8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(W)DY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B6CF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1CCE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STIP1 homology and U-box containing protein 1 (STUB1)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(NM_001293197.1)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038C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coding/3'UTR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DD50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4780AED1" w14:textId="77777777" w:rsidTr="007A6568">
        <w:trPr>
          <w:trHeight w:val="136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5869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872B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(W)</w:t>
            </w:r>
            <w:r w:rsidRPr="007A6568">
              <w:rPr>
                <w:rFonts w:ascii="Arial" w:hAnsi="Arial" w:cs="Arial"/>
                <w:i/>
                <w:iCs/>
                <w:sz w:val="20"/>
                <w:szCs w:val="20"/>
              </w:rPr>
              <w:t>REGGHTEYQ</w:t>
            </w:r>
            <w:r w:rsidRPr="007A6568">
              <w:rPr>
                <w:rFonts w:ascii="Arial" w:hAnsi="Arial" w:cs="Arial"/>
                <w:sz w:val="20"/>
                <w:szCs w:val="20"/>
              </w:rPr>
              <w:t>EEELLKDLEESVQDKNTNTLFSVKLEEELSVEGNTDINTDLKD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39FD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6FAF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(71%) SATB homeobox 1 (SATB1)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(NM_001322876.1)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5F12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EDA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43601033" w14:textId="77777777" w:rsidTr="007A6568">
        <w:trPr>
          <w:trHeight w:val="87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57E0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FEF1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(G)GGSSGAKFRISLGLPVGAVINCADNTGAKNLYIISVKGIKGRLNRLPAAGVGDMVMATVKKGKPELRKKVHPAVVIRQRKS</w:t>
            </w: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YRRKDGVFLYFEDNAGVIVNNKGEMKGSAITGPVAKECADLWPRIASNAGSIA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6A33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E9BD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Ribosomal protein L23 (RPL23)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(NM_000978.3)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CEE0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51B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7805A838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A5C01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71BF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(G)GLHAAACAAAMSLVIPEKFQHILRVLNTNIDGRRKIAFAITAIKGVGRRYAHVVLRKADIDLTKRAGELTEDEVERVITIMQNPRQYKIPDWFLNRQKDVKDGKYSQVLANGLDNKLREDLERLKKIRAHRGLRHFWGLRVRGQHTKTTGRRGRTVGVSKKK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8EFE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19C" w14:textId="77777777" w:rsidR="000E34DE" w:rsidRPr="00315B2C" w:rsidRDefault="000E34DE" w:rsidP="0025003A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Ribosomal protein S18 (RPS18)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(NM_022551.2)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279F" w14:textId="77777777" w:rsidR="000E34DE" w:rsidRPr="00315B2C" w:rsidRDefault="000E34DE" w:rsidP="0025003A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5'UTR/coding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D27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5E9E94C2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64C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60E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(G)VVDLMAHMASKE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E0A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8F23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Glyceraldehyde-3-phosphate dehydrogenase (GAPDH)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(NM_001289746.1)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2D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BB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13C1D313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DC90C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7A6B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(A)SVPEYTGPRLYKEPSAKSNKFIIHNALSHCCLAGKVNEPQKNRILEEIEKSK</w:t>
            </w: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ANHFLILFRDSRVPRPLIN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496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582B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(100.0%) Calmodulin regulated </w:t>
            </w:r>
            <w:proofErr w:type="spellStart"/>
            <w:r w:rsidRPr="007A6568">
              <w:rPr>
                <w:rFonts w:ascii="Arial" w:hAnsi="Arial" w:cs="Arial"/>
                <w:sz w:val="20"/>
                <w:szCs w:val="20"/>
              </w:rPr>
              <w:t>spectrin</w:t>
            </w:r>
            <w:proofErr w:type="spellEnd"/>
            <w:r w:rsidRPr="007A6568">
              <w:rPr>
                <w:rFonts w:ascii="Arial" w:hAnsi="Arial" w:cs="Arial"/>
                <w:sz w:val="20"/>
                <w:szCs w:val="20"/>
              </w:rPr>
              <w:t xml:space="preserve"> associated protein family member 3 (CAMSAP3)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(NM_001163749.1)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77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5529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398963D3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B36D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BF6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(G)EAPTEEEESEALP[Q]EENTAHLRPPAKIHRINNNSY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80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DD2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Leucine rich repeat containing 37A (LRRC37A)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(NM_014834.4)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ADE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coding/3'UTR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C780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09F937EF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65E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1701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(A)ALGVLESDLPSAVTLLKNLQEQVMAVTAQVKSLTQKVQAGAYPTEKVRCTQTVSIP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2ACC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F1B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(100.0%) </w:t>
            </w:r>
            <w:proofErr w:type="spellStart"/>
            <w:r w:rsidRPr="007A6568">
              <w:rPr>
                <w:rFonts w:ascii="Arial" w:hAnsi="Arial" w:cs="Arial"/>
                <w:sz w:val="20"/>
                <w:szCs w:val="20"/>
              </w:rPr>
              <w:t>Neuroguidin</w:t>
            </w:r>
            <w:proofErr w:type="spellEnd"/>
            <w:r w:rsidRPr="007A6568">
              <w:rPr>
                <w:rFonts w:ascii="Arial" w:hAnsi="Arial" w:cs="Arial"/>
                <w:sz w:val="20"/>
                <w:szCs w:val="20"/>
              </w:rPr>
              <w:t xml:space="preserve"> (NGDN), transcript variant 2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(NM_015514.1)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5755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0A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506C44C2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37E5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054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(G)DGVEDHSPLMYHISLVDLLAACAEGKNVYTEIKCTSLLPLEDVVSVVTHEDCITEVKMAYVNFVNHCYVDTEVEMKEIYTSNHIWTLFENFTLDMARVCSKREKRVADPTLEKYVLSVVLDTINAFFSSPFSENSTSLQTHQTIVVQLLQSTTRLLEGTAAAN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F8C0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D79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Inositol 1,4,5-trisphosphate receptor type 3 (ITPR3)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(NM_002224.3)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47C5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F58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4FD2BBD6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699B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UH-ASD.12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207C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(A)ATTF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D31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357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(96%) Chromosome X (AL683813.10)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CAD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87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067CDCB9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CD0D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A89C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(D)NF[Q]LRAWWLGRFSPFQSETSAANMLRQIIGQAKKHPSLIPLFVFIGTGATGATLYLLRLALFNPDVCWDRNNPEPWNKLGPNDQYKFYSVNVDYSKLKKERPDF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71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E27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(100.0%) NDUFA4, mitochondrial complex associated (NDUFA4)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(NM_002489.3)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575F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mRNA,5'UTR/coding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C31B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4E38D37B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C469F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4269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(A)GGLRGAGGGAGAFAELAGLAMAAARPARGPELPLLGLLLLLLLGDPGRGAASRVPRPLIN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B1B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0E06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Smoothened, frizzled class receptor (SMO)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(NM_005631.4)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C88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5'UTR/coding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6C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0E34DE" w:rsidRPr="001840E7" w14:paraId="21DCB2D8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ED3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9D5C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(A)IGNF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B88C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2CE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(100.0%) Chromosome 12 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(NC_000012.12)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1AB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1E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45794D05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5DFE9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683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(A)VIPALREAEVGGSRDQEIETILADTVKPHLY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36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58A8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(100.0%) Ferric chelate reductase 1 like (FRRS1L)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(NM_014334.3)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EE6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F2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29DD1761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C8159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UH-ASD.17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0693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(G)RLTPVIPALWEAETGGSPEVGSSRPALPTWRNPISTKNTKLPGRGGACL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E0A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FA32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(100.0%) 5'-nucleotidase, cytosolic II (NT5C2), transcript variant 1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(NM_0012229.5)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B5C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8EEE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104DC0B9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B2B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A98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(G)QINT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AF3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F32B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Ankyrin repeat and zinc finger domain containing 1 (ANKZF1)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(NM_001282792.1)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8F0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E3BE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E34DE" w:rsidRPr="001840E7" w14:paraId="4642E710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744BD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UH-ASD.19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BDBB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(G)LVSMTHPGEEGS[Q]FL[Q]LASGENGTEKQEGRRRSEKNFCF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9C2F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6441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(100.0%) Chromosome 12 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(NC_000012.12)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FC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FEB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7DEA6CBF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2F9A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D1CF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(A)PGKGLL[Q]R[Q]PPPRGWRSTLDTKPSVSETEGSWGLATPEVGAVGC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A1C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363F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Acid sensing ion channel subunit 1 (ASIC1), transcript variant 3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(NM_001256830.1)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865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5570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5D72CDAB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CB0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BE43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(G)ASSEAWETAW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75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1485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(100.0%) Solute carrier family 25 member 6 (SLC25A6) 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(NM_001636.3)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9D5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03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30884178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0219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3EEA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(G)LTPVIPALWDAEVGGSQGQQFETSLANIVKPHLY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BEF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35D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(100%)Chromosome 2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(NC_000002.12)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41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55DA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52DC880A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4780D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UH-ASD.23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744C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(G)LTPVIPALWEAETGGSRGQEIETILANTVKPRLY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5EE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ED9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(93%) Chromosome 7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(AC244506.2)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E6E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53F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3C56CC8E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BBDA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7739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(G)TGAERRSINTY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B18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07E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(100%) </w:t>
            </w:r>
            <w:proofErr w:type="spellStart"/>
            <w:r w:rsidRPr="007A6568">
              <w:rPr>
                <w:rFonts w:ascii="Arial" w:hAnsi="Arial" w:cs="Arial"/>
                <w:sz w:val="20"/>
                <w:szCs w:val="20"/>
              </w:rPr>
              <w:t>Secernin</w:t>
            </w:r>
            <w:proofErr w:type="spellEnd"/>
            <w:r w:rsidRPr="007A6568">
              <w:rPr>
                <w:rFonts w:ascii="Arial" w:hAnsi="Arial" w:cs="Arial"/>
                <w:sz w:val="20"/>
                <w:szCs w:val="20"/>
              </w:rPr>
              <w:t xml:space="preserve"> 3 (SCRN3) (NM_001412202.1)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738D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5'UTR/coding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A0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E34DE" w:rsidRPr="001840E7" w14:paraId="6A07BF6A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23329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D74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(G)FVSHY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61A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F43A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(100.0%) Phospholipase A2 group XIIA (PLA2G12A)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(NM_030821.4)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D2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83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6F5038C5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7278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CE9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(V)WNV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4D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8671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7A6568">
              <w:rPr>
                <w:rFonts w:ascii="Arial" w:hAnsi="Arial" w:cs="Arial"/>
                <w:sz w:val="20"/>
                <w:szCs w:val="20"/>
                <w:lang w:val="nl-BE"/>
              </w:rPr>
              <w:t>(100.0%) Hemoglobin subunit gamma 2 (HBG2)</w:t>
            </w:r>
            <w:r w:rsidRPr="007A6568">
              <w:rPr>
                <w:rFonts w:ascii="Arial" w:hAnsi="Arial" w:cs="Arial"/>
                <w:sz w:val="20"/>
                <w:szCs w:val="20"/>
                <w:lang w:val="nl-BE"/>
              </w:rPr>
              <w:br/>
              <w:t>(NM_000184.2)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89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5'UTR/coding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33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E34DE" w:rsidRPr="001840E7" w14:paraId="33EE4D7A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75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6B70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(G)YSQLREGCFLDTPPPGPQTARLQE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6AE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D0C6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(99%)Chromosome 2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(NC_000002.12)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FE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E0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59D3B30C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F153D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UH-ASD.28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AFC9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(V)VNI[Q]HRNQYFSPGIYGGSGSVNVVESSRKRKGRKETARRPWRMWIVWISWSVDSS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77B5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B62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(100.0%) SIN3 transcription regulator family member A (SIN3A)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(NM_015477.2)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405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905A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E34DE" w:rsidRPr="001840E7" w14:paraId="38B73C02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8B1D8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lastRenderedPageBreak/>
              <w:t>UH-ASD.29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872D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(P)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623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E23E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 (100.0%) Tubulin beta 2A class </w:t>
            </w:r>
            <w:proofErr w:type="spellStart"/>
            <w:r w:rsidRPr="007A6568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7A6568">
              <w:rPr>
                <w:rFonts w:ascii="Arial" w:hAnsi="Arial" w:cs="Arial"/>
                <w:sz w:val="20"/>
                <w:szCs w:val="20"/>
              </w:rPr>
              <w:t xml:space="preserve"> (TUBB2A)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(NM_001310315.1)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431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5F4F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7C5D0C20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5D830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UH-ASD.30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A3DE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(V)KVND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7434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F922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 xml:space="preserve">(100.0%) Chromosome 12 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(NC_000012.12)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C2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Genomic,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non-coding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4BF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39A20CCB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34F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UH-ASD.31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CB34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(G)GSGDGSCDSNPCWAETGQSGADV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8EF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4A02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Cyclin dependent kinase 2 associated protein 2 (CDK2AP2)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 xml:space="preserve">(NM_005851.4)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F8C1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5'UTR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EFA2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E34DE" w:rsidRPr="001840E7" w14:paraId="55FCE718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93A7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UH-ASD.32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2138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(G)EDVRLPVGKDKGMRLQRELAATASAKLCLWGLLQKPGLRKIRHHWEGCVGARGPSWFSRALWKLGLGLGGIWQSWVTLAFPVNVAM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39FB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4DD0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PITH domain containing 1 (PITHD1)(NM_020362.4)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9AC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3'UTR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D805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E34DE" w:rsidRPr="001840E7" w14:paraId="315DCBDE" w14:textId="77777777" w:rsidTr="007A6568">
        <w:trPr>
          <w:trHeight w:val="154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A7529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UH-ASD.33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FE1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(G)GGGGGGEAAGAGAGAGAGGGGGGGG[Q]T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E0B6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744" w14:textId="77777777" w:rsidR="000E34DE" w:rsidRPr="007A6568" w:rsidRDefault="000E34DE" w:rsidP="0025003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(100.0%) Transcription factor 4 (TCF4) (NM_001083962.2)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3AAD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mRNA,</w:t>
            </w:r>
            <w:r w:rsidRPr="007A6568">
              <w:rPr>
                <w:rFonts w:ascii="Arial" w:hAnsi="Arial" w:cs="Arial"/>
                <w:sz w:val="20"/>
                <w:szCs w:val="20"/>
              </w:rPr>
              <w:br/>
              <w:t>5'UTR region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E9EC" w14:textId="77777777" w:rsidR="000E34DE" w:rsidRPr="007A6568" w:rsidRDefault="000E34DE" w:rsidP="0025003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5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7662C1E9" w14:textId="77777777" w:rsidR="000E34DE" w:rsidRPr="001840E7" w:rsidRDefault="000E34DE" w:rsidP="000E34DE">
      <w:pPr>
        <w:pStyle w:val="Caption"/>
        <w:spacing w:line="480" w:lineRule="auto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60502414" w14:textId="77777777" w:rsidR="00315B2C" w:rsidRDefault="000E34DE" w:rsidP="00315B2C">
      <w:pPr>
        <w:pStyle w:val="Caption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Supplementary table</w:t>
      </w:r>
      <w:r w:rsidRPr="001840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1840E7">
        <w:rPr>
          <w:rFonts w:ascii="Arial" w:hAnsi="Arial" w:cs="Arial"/>
          <w:sz w:val="22"/>
          <w:szCs w:val="22"/>
        </w:rPr>
        <w:t>. Sequence</w:t>
      </w:r>
      <w:r>
        <w:rPr>
          <w:rFonts w:ascii="Arial" w:hAnsi="Arial" w:cs="Arial"/>
          <w:sz w:val="22"/>
          <w:szCs w:val="22"/>
        </w:rPr>
        <w:t xml:space="preserve"> and</w:t>
      </w:r>
      <w:r w:rsidRPr="001840E7">
        <w:rPr>
          <w:rFonts w:ascii="Arial" w:hAnsi="Arial" w:cs="Arial"/>
          <w:sz w:val="22"/>
          <w:szCs w:val="22"/>
        </w:rPr>
        <w:t xml:space="preserve"> origin of </w:t>
      </w:r>
      <w:r>
        <w:rPr>
          <w:rFonts w:ascii="Arial" w:hAnsi="Arial" w:cs="Arial"/>
          <w:sz w:val="22"/>
          <w:szCs w:val="22"/>
        </w:rPr>
        <w:t>33</w:t>
      </w:r>
      <w:r w:rsidRPr="001840E7">
        <w:rPr>
          <w:rFonts w:ascii="Arial" w:hAnsi="Arial" w:cs="Arial"/>
          <w:sz w:val="22"/>
          <w:szCs w:val="22"/>
        </w:rPr>
        <w:t xml:space="preserve"> novel UH-ASD antigens </w:t>
      </w:r>
    </w:p>
    <w:p w14:paraId="45B605AD" w14:textId="6D03D14A" w:rsidR="000E34DE" w:rsidRPr="007A6568" w:rsidRDefault="00315B2C" w:rsidP="00315B2C">
      <w:pPr>
        <w:pStyle w:val="Caption"/>
        <w:spacing w:line="48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6568">
        <w:rPr>
          <w:rFonts w:ascii="Arial" w:hAnsi="Arial" w:cs="Arial"/>
          <w:b w:val="0"/>
          <w:bCs w:val="0"/>
          <w:sz w:val="22"/>
          <w:szCs w:val="22"/>
          <w:vertAlign w:val="superscript"/>
        </w:rPr>
        <w:t>1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>Sequence of the antigen as expressed on the phage surface, with the first aa between parentheses representing the transition between the cloning adaptor and the cDNA insert. [Q] represents amber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 xml:space="preserve">stop codon, which is translated into glutamine by the bacterial strain used to produce phage particles. </w:t>
      </w:r>
      <w:r w:rsidRPr="007A6568">
        <w:rPr>
          <w:rFonts w:ascii="Arial" w:hAnsi="Arial" w:cs="Arial"/>
          <w:b w:val="0"/>
          <w:bCs w:val="0"/>
          <w:sz w:val="22"/>
          <w:szCs w:val="22"/>
          <w:vertAlign w:val="superscript"/>
        </w:rPr>
        <w:t>2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 xml:space="preserve">Size of the antigen is expressed as the number of aa. </w:t>
      </w:r>
      <w:r w:rsidRPr="007A6568">
        <w:rPr>
          <w:rFonts w:ascii="Arial" w:hAnsi="Arial" w:cs="Arial"/>
          <w:b w:val="0"/>
          <w:bCs w:val="0"/>
          <w:sz w:val="22"/>
          <w:szCs w:val="22"/>
          <w:vertAlign w:val="superscript"/>
        </w:rPr>
        <w:t>3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>Indicates the origin of the cDNA insert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 xml:space="preserve">and the region in the RNA/DNA where the cDNA was fused to M13 gene VI. </w:t>
      </w:r>
      <w:r w:rsidRPr="007A6568">
        <w:rPr>
          <w:rFonts w:ascii="Arial" w:hAnsi="Arial" w:cs="Arial"/>
          <w:b w:val="0"/>
          <w:bCs w:val="0"/>
          <w:sz w:val="22"/>
          <w:szCs w:val="22"/>
          <w:vertAlign w:val="superscript"/>
        </w:rPr>
        <w:t>4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>Type of fusion of the cDNA coding region with M13 gene VI. “Yes” indicates the cDNA coding region is in frame with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 xml:space="preserve">M13 gene VI, resulting in the expression of (part of) a human protein. </w:t>
      </w:r>
      <w:r w:rsidRPr="00D22435">
        <w:rPr>
          <w:rFonts w:ascii="Arial" w:hAnsi="Arial" w:cs="Arial"/>
          <w:b w:val="0"/>
          <w:bCs w:val="0"/>
          <w:sz w:val="22"/>
          <w:szCs w:val="22"/>
        </w:rPr>
        <w:t>“</w:t>
      </w:r>
      <w:r>
        <w:rPr>
          <w:rFonts w:ascii="Arial" w:hAnsi="Arial" w:cs="Arial"/>
          <w:b w:val="0"/>
          <w:bCs w:val="0"/>
          <w:sz w:val="22"/>
          <w:szCs w:val="22"/>
        </w:rPr>
        <w:t>No</w:t>
      </w:r>
      <w:r w:rsidRPr="00D22435">
        <w:rPr>
          <w:rFonts w:ascii="Arial" w:hAnsi="Arial" w:cs="Arial"/>
          <w:b w:val="0"/>
          <w:bCs w:val="0"/>
          <w:sz w:val="22"/>
          <w:szCs w:val="22"/>
        </w:rPr>
        <w:t xml:space="preserve">” indicates the cDNA coding region is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not fused </w:t>
      </w:r>
      <w:r w:rsidRPr="00D22435">
        <w:rPr>
          <w:rFonts w:ascii="Arial" w:hAnsi="Arial" w:cs="Arial"/>
          <w:b w:val="0"/>
          <w:bCs w:val="0"/>
          <w:sz w:val="22"/>
          <w:szCs w:val="22"/>
        </w:rPr>
        <w:t>in frame with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22435">
        <w:rPr>
          <w:rFonts w:ascii="Arial" w:hAnsi="Arial" w:cs="Arial"/>
          <w:b w:val="0"/>
          <w:bCs w:val="0"/>
          <w:sz w:val="22"/>
          <w:szCs w:val="22"/>
        </w:rPr>
        <w:t>M13 gene VI.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>”N/A” indicates the cDNA fusion occurred in a non-coding region. ASD, autism spectrum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A6568">
        <w:rPr>
          <w:rFonts w:ascii="Arial" w:hAnsi="Arial" w:cs="Arial"/>
          <w:b w:val="0"/>
          <w:bCs w:val="0"/>
          <w:sz w:val="22"/>
          <w:szCs w:val="22"/>
        </w:rPr>
        <w:t>disorder; aa, amino acids; cDNA, complementary DNA; mRNA, messenger RNA; N/A, not applicable; NCBI, National Center for Biotechnology Information; nr, number; UH, University Hasselt</w:t>
      </w:r>
      <w:r>
        <w:rPr>
          <w:rFonts w:ascii="Arial" w:hAnsi="Arial" w:cs="Arial"/>
          <w:b w:val="0"/>
          <w:bCs w:val="0"/>
          <w:sz w:val="22"/>
          <w:szCs w:val="22"/>
        </w:rPr>
        <w:t>; UTR, untranslated region.</w:t>
      </w:r>
    </w:p>
    <w:p w14:paraId="73048567" w14:textId="77777777" w:rsidR="00D06F70" w:rsidRPr="00315B2C" w:rsidRDefault="007A6568"/>
    <w:sectPr w:rsidR="00D06F70" w:rsidRPr="00315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DE"/>
    <w:rsid w:val="000E34DE"/>
    <w:rsid w:val="00315B2C"/>
    <w:rsid w:val="007701DB"/>
    <w:rsid w:val="00776BE9"/>
    <w:rsid w:val="007A6568"/>
    <w:rsid w:val="009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F3EE"/>
  <w15:chartTrackingRefBased/>
  <w15:docId w15:val="{58AD9437-7C9C-46BA-B408-4021F22D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DE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4DE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Spacing"/>
    <w:uiPriority w:val="35"/>
    <w:unhideWhenUsed/>
    <w:qFormat/>
    <w:rsid w:val="000E34DE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qFormat/>
    <w:rsid w:val="000E34D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938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Marjory Denisard</dc:creator>
  <cp:keywords/>
  <dc:description/>
  <cp:lastModifiedBy>VANDORMAEL Patrick</cp:lastModifiedBy>
  <cp:revision>3</cp:revision>
  <dcterms:created xsi:type="dcterms:W3CDTF">2023-01-18T09:32:00Z</dcterms:created>
  <dcterms:modified xsi:type="dcterms:W3CDTF">2023-01-18T09:33:00Z</dcterms:modified>
</cp:coreProperties>
</file>