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0F2FDE0D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2F0EDB">
        <w:rPr>
          <w:rFonts w:hint="eastAsia"/>
          <w:lang w:eastAsia="zh-CN"/>
        </w:rPr>
        <w:t>Table</w:t>
      </w:r>
      <w:r w:rsidR="002F0EDB">
        <w:t xml:space="preserve"> </w:t>
      </w:r>
      <w:r w:rsidR="002F0EDB">
        <w:rPr>
          <w:rFonts w:hint="eastAsia"/>
          <w:lang w:eastAsia="zh-CN"/>
        </w:rPr>
        <w:t>and</w:t>
      </w:r>
      <w:r w:rsidR="002F0EDB">
        <w:t xml:space="preserve"> </w:t>
      </w:r>
      <w:r w:rsidR="00AB111C">
        <w:rPr>
          <w:rFonts w:hint="eastAsia"/>
          <w:lang w:eastAsia="zh-CN"/>
        </w:rPr>
        <w:t>F</w:t>
      </w:r>
      <w:r w:rsidR="00A16B79">
        <w:rPr>
          <w:rFonts w:hint="eastAsia"/>
          <w:lang w:eastAsia="zh-CN"/>
        </w:rPr>
        <w:t>i</w:t>
      </w:r>
      <w:r w:rsidR="00AB111C">
        <w:rPr>
          <w:rFonts w:hint="eastAsia"/>
          <w:lang w:eastAsia="zh-CN"/>
        </w:rPr>
        <w:t>gure</w:t>
      </w:r>
    </w:p>
    <w:p w14:paraId="3C419443" w14:textId="21AA2583" w:rsidR="00994A3D" w:rsidRDefault="00994A3D" w:rsidP="00994A3D">
      <w:pPr>
        <w:keepNext/>
        <w:jc w:val="center"/>
        <w:rPr>
          <w:rFonts w:cs="Times New Roman"/>
          <w:szCs w:val="24"/>
        </w:rPr>
      </w:pPr>
    </w:p>
    <w:p w14:paraId="7CEC0568" w14:textId="77777777" w:rsidR="002F0EDB" w:rsidRPr="00C24132" w:rsidRDefault="002F0EDB" w:rsidP="002F0EDB">
      <w:pPr>
        <w:rPr>
          <w:rFonts w:ascii="Palatino Linotype" w:hAnsi="Palatino Linotype"/>
          <w:sz w:val="18"/>
        </w:rPr>
      </w:pPr>
      <w:bookmarkStart w:id="0" w:name="_Hlk116554412"/>
      <w:r w:rsidRPr="0001436A">
        <w:rPr>
          <w:rFonts w:cs="Times New Roman"/>
          <w:b/>
          <w:szCs w:val="24"/>
        </w:rPr>
        <w:t>Supplementary</w:t>
      </w:r>
      <w:r w:rsidRPr="00016568">
        <w:rPr>
          <w:rFonts w:eastAsia="宋体"/>
          <w:b/>
          <w:szCs w:val="21"/>
        </w:rPr>
        <w:t xml:space="preserve"> Table </w:t>
      </w:r>
      <w:r>
        <w:rPr>
          <w:rFonts w:eastAsia="宋体"/>
          <w:b/>
          <w:szCs w:val="21"/>
        </w:rPr>
        <w:t>1</w:t>
      </w:r>
      <w:bookmarkEnd w:id="0"/>
      <w:r>
        <w:rPr>
          <w:rFonts w:eastAsia="宋体"/>
          <w:b/>
          <w:szCs w:val="21"/>
        </w:rPr>
        <w:t xml:space="preserve"> </w:t>
      </w:r>
      <w:r w:rsidRPr="00064FC0">
        <w:rPr>
          <w:rFonts w:eastAsia="宋体"/>
          <w:szCs w:val="21"/>
        </w:rPr>
        <w:t>|</w:t>
      </w:r>
      <w:r>
        <w:rPr>
          <w:rFonts w:eastAsia="宋体"/>
          <w:b/>
          <w:szCs w:val="21"/>
        </w:rPr>
        <w:t xml:space="preserve"> </w:t>
      </w:r>
      <w:r w:rsidRPr="00C52913">
        <w:rPr>
          <w:rFonts w:eastAsia="宋体"/>
          <w:szCs w:val="21"/>
        </w:rPr>
        <w:t>Specific primers for gene amplification</w:t>
      </w:r>
    </w:p>
    <w:tbl>
      <w:tblPr>
        <w:tblW w:w="5119" w:type="pct"/>
        <w:jc w:val="center"/>
        <w:tblLayout w:type="fixed"/>
        <w:tblLook w:val="04A0" w:firstRow="1" w:lastRow="0" w:firstColumn="1" w:lastColumn="0" w:noHBand="0" w:noVBand="1"/>
      </w:tblPr>
      <w:tblGrid>
        <w:gridCol w:w="2407"/>
        <w:gridCol w:w="994"/>
        <w:gridCol w:w="3400"/>
        <w:gridCol w:w="3209"/>
      </w:tblGrid>
      <w:tr w:rsidR="002F0EDB" w:rsidRPr="00DB02E9" w14:paraId="2C31EE41" w14:textId="77777777" w:rsidTr="00DB02E9">
        <w:trPr>
          <w:trHeight w:val="303"/>
          <w:jc w:val="center"/>
        </w:trPr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86BC8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b/>
                <w:sz w:val="20"/>
                <w:szCs w:val="20"/>
              </w:rPr>
            </w:pPr>
            <w:r w:rsidRPr="00DB02E9">
              <w:rPr>
                <w:rFonts w:eastAsia="等线" w:cs="Times New Roman"/>
                <w:b/>
                <w:sz w:val="20"/>
                <w:szCs w:val="20"/>
              </w:rPr>
              <w:t>Enzyme/Protein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B9B04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b/>
                <w:sz w:val="20"/>
                <w:szCs w:val="20"/>
              </w:rPr>
            </w:pPr>
            <w:r w:rsidRPr="00DB02E9">
              <w:rPr>
                <w:rFonts w:eastAsia="等线" w:cs="Times New Roman"/>
                <w:b/>
                <w:sz w:val="20"/>
                <w:szCs w:val="20"/>
              </w:rPr>
              <w:t>Target gene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6CD9C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b/>
                <w:sz w:val="20"/>
                <w:szCs w:val="20"/>
              </w:rPr>
            </w:pPr>
            <w:r w:rsidRPr="00DB02E9">
              <w:rPr>
                <w:rFonts w:eastAsia="等线" w:cs="Times New Roman"/>
                <w:b/>
                <w:sz w:val="20"/>
                <w:szCs w:val="20"/>
              </w:rPr>
              <w:t>Forward primer (5</w:t>
            </w:r>
            <w:r w:rsidRPr="00DB02E9">
              <w:rPr>
                <w:rFonts w:eastAsia="等线" w:cs="Times New Roman" w:hint="eastAsia"/>
                <w:b/>
                <w:sz w:val="20"/>
                <w:szCs w:val="20"/>
              </w:rPr>
              <w:t>′</w:t>
            </w:r>
            <w:r w:rsidRPr="00DB02E9">
              <w:rPr>
                <w:rFonts w:eastAsia="宋体" w:cs="Times New Roman" w:hint="eastAsia"/>
                <w:b/>
                <w:sz w:val="20"/>
                <w:szCs w:val="20"/>
              </w:rPr>
              <w:t>→</w:t>
            </w:r>
            <w:r w:rsidRPr="00DB02E9">
              <w:rPr>
                <w:rFonts w:eastAsia="等线" w:cs="Times New Roman"/>
                <w:b/>
                <w:sz w:val="20"/>
                <w:szCs w:val="20"/>
              </w:rPr>
              <w:t>3</w:t>
            </w:r>
            <w:r w:rsidRPr="00DB02E9">
              <w:rPr>
                <w:rFonts w:eastAsia="等线" w:cs="Times New Roman" w:hint="eastAsia"/>
                <w:b/>
                <w:sz w:val="20"/>
                <w:szCs w:val="20"/>
              </w:rPr>
              <w:t>′</w:t>
            </w:r>
            <w:r w:rsidRPr="00DB02E9">
              <w:rPr>
                <w:rFonts w:eastAsia="等线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A9563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b/>
                <w:sz w:val="20"/>
                <w:szCs w:val="20"/>
              </w:rPr>
            </w:pPr>
            <w:r w:rsidRPr="00DB02E9">
              <w:rPr>
                <w:rFonts w:eastAsia="等线" w:cs="Times New Roman"/>
                <w:b/>
                <w:sz w:val="20"/>
                <w:szCs w:val="20"/>
              </w:rPr>
              <w:t>Reverse primer (5</w:t>
            </w:r>
            <w:r w:rsidRPr="00DB02E9">
              <w:rPr>
                <w:rFonts w:eastAsia="等线" w:cs="Times New Roman" w:hint="eastAsia"/>
                <w:b/>
                <w:sz w:val="20"/>
                <w:szCs w:val="20"/>
              </w:rPr>
              <w:t>′</w:t>
            </w:r>
            <w:r w:rsidRPr="00DB02E9">
              <w:rPr>
                <w:rFonts w:eastAsia="宋体" w:cs="Times New Roman" w:hint="eastAsia"/>
                <w:b/>
                <w:sz w:val="20"/>
                <w:szCs w:val="20"/>
              </w:rPr>
              <w:t>→</w:t>
            </w:r>
            <w:r w:rsidRPr="00DB02E9">
              <w:rPr>
                <w:rFonts w:eastAsia="等线" w:cs="Times New Roman"/>
                <w:b/>
                <w:sz w:val="20"/>
                <w:szCs w:val="20"/>
              </w:rPr>
              <w:t>3</w:t>
            </w:r>
            <w:r w:rsidRPr="00DB02E9">
              <w:rPr>
                <w:rFonts w:eastAsia="等线" w:cs="Times New Roman" w:hint="eastAsia"/>
                <w:b/>
                <w:sz w:val="20"/>
                <w:szCs w:val="20"/>
              </w:rPr>
              <w:t>′</w:t>
            </w:r>
            <w:r w:rsidRPr="00DB02E9">
              <w:rPr>
                <w:rFonts w:eastAsia="等线" w:cs="Times New Roman"/>
                <w:b/>
                <w:sz w:val="20"/>
                <w:szCs w:val="20"/>
              </w:rPr>
              <w:t>)</w:t>
            </w:r>
          </w:p>
        </w:tc>
      </w:tr>
      <w:tr w:rsidR="002F0EDB" w:rsidRPr="00DB02E9" w14:paraId="0C38C911" w14:textId="77777777" w:rsidTr="00DB02E9">
        <w:trPr>
          <w:trHeight w:val="303"/>
          <w:jc w:val="center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EDB0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 xml:space="preserve">Nitrate </w:t>
            </w:r>
          </w:p>
          <w:p w14:paraId="69E423A5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transporter 1.1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5F4F" w14:textId="77777777" w:rsidR="002F0EDB" w:rsidRPr="00DB02E9" w:rsidRDefault="002F0EDB" w:rsidP="00074430">
            <w:pPr>
              <w:spacing w:before="0" w:after="0"/>
              <w:jc w:val="center"/>
              <w:rPr>
                <w:rFonts w:eastAsia="等线" w:cs="Times New Roman"/>
                <w:i/>
                <w:iCs/>
                <w:sz w:val="20"/>
                <w:szCs w:val="20"/>
              </w:rPr>
            </w:pPr>
            <w:r w:rsidRPr="00DB02E9">
              <w:rPr>
                <w:rFonts w:eastAsia="等线" w:cs="Times New Roman"/>
                <w:i/>
                <w:iCs/>
                <w:sz w:val="20"/>
                <w:szCs w:val="20"/>
              </w:rPr>
              <w:t>NRT1.1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48E5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GGTTGAGGCTTGTGAGAGGTT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1F3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GTTATTGGCGGCGTTAGCATTC</w:t>
            </w:r>
          </w:p>
        </w:tc>
      </w:tr>
      <w:tr w:rsidR="002F0EDB" w:rsidRPr="00DB02E9" w14:paraId="4B8080CF" w14:textId="77777777" w:rsidTr="00DB02E9">
        <w:trPr>
          <w:trHeight w:val="303"/>
          <w:jc w:val="center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5715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Nitrate reductase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AC87" w14:textId="77777777" w:rsidR="002F0EDB" w:rsidRPr="00DB02E9" w:rsidRDefault="002F0EDB" w:rsidP="00074430">
            <w:pPr>
              <w:spacing w:before="0" w:after="0"/>
              <w:jc w:val="center"/>
              <w:rPr>
                <w:rFonts w:eastAsia="等线" w:cs="Times New Roman"/>
                <w:i/>
                <w:iCs/>
                <w:sz w:val="20"/>
                <w:szCs w:val="20"/>
              </w:rPr>
            </w:pPr>
            <w:r w:rsidRPr="00DB02E9">
              <w:rPr>
                <w:rFonts w:eastAsia="等线" w:cs="Times New Roman"/>
                <w:i/>
                <w:iCs/>
                <w:sz w:val="20"/>
                <w:szCs w:val="20"/>
              </w:rPr>
              <w:t>NR2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8019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GGAATAACGCCGATCTACCAAG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1CBE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GAATATCCTCCTCCGTCCGATT</w:t>
            </w:r>
          </w:p>
        </w:tc>
      </w:tr>
      <w:tr w:rsidR="002F0EDB" w:rsidRPr="00DB02E9" w14:paraId="52147F3E" w14:textId="77777777" w:rsidTr="00DB02E9">
        <w:trPr>
          <w:trHeight w:val="303"/>
          <w:jc w:val="center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A7299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hint="eastAsia"/>
                <w:sz w:val="20"/>
                <w:szCs w:val="20"/>
              </w:rPr>
              <w:t>N</w:t>
            </w:r>
            <w:r w:rsidRPr="00DB02E9">
              <w:rPr>
                <w:sz w:val="20"/>
                <w:szCs w:val="20"/>
              </w:rPr>
              <w:t>itrite reductase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B128D" w14:textId="77777777" w:rsidR="002F0EDB" w:rsidRPr="00DB02E9" w:rsidRDefault="002F0EDB" w:rsidP="00074430">
            <w:pPr>
              <w:spacing w:before="0" w:after="0"/>
              <w:jc w:val="center"/>
              <w:rPr>
                <w:rFonts w:eastAsia="等线" w:cs="Times New Roman"/>
                <w:i/>
                <w:iCs/>
                <w:sz w:val="20"/>
                <w:szCs w:val="20"/>
              </w:rPr>
            </w:pPr>
            <w:r w:rsidRPr="00DB02E9">
              <w:rPr>
                <w:rFonts w:eastAsia="等线" w:cs="Times New Roman"/>
                <w:i/>
                <w:iCs/>
                <w:sz w:val="20"/>
                <w:szCs w:val="20"/>
              </w:rPr>
              <w:t>NiR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38330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TTGGGAGGGAGGATTGGGAG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CABB8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CATCTTCTTCCCTGTCCCGT</w:t>
            </w:r>
          </w:p>
        </w:tc>
      </w:tr>
      <w:tr w:rsidR="002F0EDB" w:rsidRPr="00DB02E9" w14:paraId="1B1592E7" w14:textId="77777777" w:rsidTr="00DB02E9">
        <w:trPr>
          <w:trHeight w:val="303"/>
          <w:jc w:val="center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FB6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 xml:space="preserve">Glutamate synthase </w:t>
            </w:r>
          </w:p>
          <w:p w14:paraId="13FEC26E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[NADH]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AC6F" w14:textId="77777777" w:rsidR="002F0EDB" w:rsidRPr="00DB02E9" w:rsidRDefault="002F0EDB" w:rsidP="00074430">
            <w:pPr>
              <w:spacing w:before="0" w:after="0"/>
              <w:jc w:val="center"/>
              <w:rPr>
                <w:rFonts w:eastAsia="等线" w:cs="Times New Roman"/>
                <w:i/>
                <w:iCs/>
                <w:sz w:val="20"/>
                <w:szCs w:val="20"/>
              </w:rPr>
            </w:pPr>
            <w:r w:rsidRPr="00DB02E9">
              <w:rPr>
                <w:rFonts w:eastAsia="等线" w:cs="Times New Roman"/>
                <w:i/>
                <w:iCs/>
                <w:sz w:val="20"/>
                <w:szCs w:val="20"/>
              </w:rPr>
              <w:t>GOGAT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FA30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CAAGGACTTACGAGGTGCTAAC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D170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CGGCTGTCTGTCTCCATGT</w:t>
            </w:r>
          </w:p>
        </w:tc>
      </w:tr>
      <w:tr w:rsidR="002F0EDB" w:rsidRPr="00DB02E9" w14:paraId="5474BBC6" w14:textId="77777777" w:rsidTr="00DB02E9">
        <w:trPr>
          <w:trHeight w:val="303"/>
          <w:jc w:val="center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9E6" w14:textId="16214D10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bookmarkStart w:id="1" w:name="RANGE!B9"/>
            <w:r w:rsidRPr="00DB02E9">
              <w:rPr>
                <w:rFonts w:eastAsia="等线" w:cs="Times New Roman"/>
                <w:sz w:val="20"/>
                <w:szCs w:val="20"/>
              </w:rPr>
              <w:t>Glutamine synthetase</w:t>
            </w:r>
            <w:bookmarkEnd w:id="1"/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85F4" w14:textId="77777777" w:rsidR="002F0EDB" w:rsidRPr="00DB02E9" w:rsidRDefault="002F0EDB" w:rsidP="00074430">
            <w:pPr>
              <w:spacing w:before="0" w:after="0"/>
              <w:jc w:val="center"/>
              <w:rPr>
                <w:rFonts w:eastAsia="等线" w:cs="Times New Roman"/>
                <w:i/>
                <w:iCs/>
                <w:sz w:val="20"/>
                <w:szCs w:val="20"/>
              </w:rPr>
            </w:pPr>
            <w:r w:rsidRPr="00DB02E9">
              <w:rPr>
                <w:rFonts w:eastAsia="等线" w:cs="Times New Roman"/>
                <w:i/>
                <w:iCs/>
                <w:sz w:val="20"/>
                <w:szCs w:val="20"/>
              </w:rPr>
              <w:t>GS2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9A5C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GCCTATCCCAACCAACAAGAG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A884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GCTCCAATGCCACAGTAGTATG</w:t>
            </w:r>
          </w:p>
        </w:tc>
      </w:tr>
      <w:tr w:rsidR="002F0EDB" w:rsidRPr="00DB02E9" w14:paraId="1387CADB" w14:textId="77777777" w:rsidTr="00DB02E9">
        <w:trPr>
          <w:trHeight w:val="303"/>
          <w:jc w:val="center"/>
        </w:trPr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48375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Glyceraldehyde-3-phosphate dehydrogenase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3E1E4" w14:textId="77777777" w:rsidR="002F0EDB" w:rsidRPr="00DB02E9" w:rsidRDefault="002F0EDB" w:rsidP="00074430">
            <w:pPr>
              <w:spacing w:before="0" w:after="0"/>
              <w:jc w:val="center"/>
              <w:rPr>
                <w:rFonts w:eastAsia="等线" w:cs="Times New Roman"/>
                <w:i/>
                <w:iCs/>
                <w:sz w:val="20"/>
                <w:szCs w:val="20"/>
              </w:rPr>
            </w:pPr>
            <w:r w:rsidRPr="00DB02E9">
              <w:rPr>
                <w:rFonts w:eastAsia="等线" w:cs="Times New Roman"/>
                <w:i/>
                <w:iCs/>
                <w:sz w:val="20"/>
                <w:szCs w:val="20"/>
              </w:rPr>
              <w:t>GAPDH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DBF1F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ATACTGTGCACGGACAATGG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9D330" w14:textId="77777777" w:rsidR="002F0EDB" w:rsidRPr="00DB02E9" w:rsidRDefault="002F0EDB" w:rsidP="00074430">
            <w:pPr>
              <w:spacing w:before="0" w:after="0"/>
              <w:rPr>
                <w:rFonts w:eastAsia="等线" w:cs="Times New Roman"/>
                <w:sz w:val="20"/>
                <w:szCs w:val="20"/>
              </w:rPr>
            </w:pPr>
            <w:r w:rsidRPr="00DB02E9">
              <w:rPr>
                <w:rFonts w:eastAsia="等线" w:cs="Times New Roman"/>
                <w:sz w:val="20"/>
                <w:szCs w:val="20"/>
              </w:rPr>
              <w:t>TCAGCCCATGGAATCTCTTC</w:t>
            </w:r>
          </w:p>
        </w:tc>
      </w:tr>
    </w:tbl>
    <w:p w14:paraId="5B7DF50B" w14:textId="77777777" w:rsidR="002F0EDB" w:rsidRDefault="002F0EDB" w:rsidP="002F0EDB">
      <w:pPr>
        <w:rPr>
          <w:rFonts w:cs="Times New Roman"/>
        </w:rPr>
      </w:pPr>
    </w:p>
    <w:p w14:paraId="6F1151FC" w14:textId="77777777" w:rsidR="002F0EDB" w:rsidRDefault="002F0EDB" w:rsidP="00AB111C">
      <w:pPr>
        <w:jc w:val="center"/>
      </w:pPr>
      <w:bookmarkStart w:id="2" w:name="_GoBack"/>
      <w:bookmarkEnd w:id="2"/>
    </w:p>
    <w:p w14:paraId="7187AC5B" w14:textId="77777777" w:rsidR="002F0EDB" w:rsidRDefault="002F0EDB" w:rsidP="00AB111C">
      <w:pPr>
        <w:jc w:val="center"/>
      </w:pPr>
    </w:p>
    <w:p w14:paraId="51ECC638" w14:textId="06832DFB" w:rsidR="00AB111C" w:rsidRDefault="00AB111C" w:rsidP="00AB111C">
      <w:pPr>
        <w:jc w:val="center"/>
      </w:pPr>
      <w:r>
        <w:rPr>
          <w:noProof/>
        </w:rPr>
        <w:drawing>
          <wp:inline distT="0" distB="0" distL="0" distR="0" wp14:anchorId="75316BF1" wp14:editId="0406E3F5">
            <wp:extent cx="5274310" cy="162755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8D61" w14:textId="6C33EB95" w:rsidR="002F0EDB" w:rsidRDefault="00AB111C" w:rsidP="00AB111C">
      <w:pPr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1549D3">
        <w:rPr>
          <w:rFonts w:cs="Times New Roman"/>
          <w:szCs w:val="24"/>
        </w:rPr>
        <w:t xml:space="preserve"> </w:t>
      </w:r>
      <w:r w:rsidRPr="005F074A">
        <w:rPr>
          <w:rFonts w:cs="Times New Roman"/>
        </w:rPr>
        <w:t>Effects of K deficiency on the NO</w:t>
      </w:r>
      <w:r w:rsidRPr="005F074A">
        <w:rPr>
          <w:rFonts w:cs="Times New Roman"/>
          <w:vertAlign w:val="subscript"/>
        </w:rPr>
        <w:t>3</w:t>
      </w:r>
      <w:r w:rsidRPr="005F074A">
        <w:rPr>
          <w:rFonts w:cs="Times New Roman"/>
          <w:vertAlign w:val="superscript"/>
        </w:rPr>
        <w:t>-</w:t>
      </w:r>
      <w:r w:rsidRPr="005F074A">
        <w:rPr>
          <w:rFonts w:cs="Times New Roman"/>
        </w:rPr>
        <w:t>/NH</w:t>
      </w:r>
      <w:r w:rsidRPr="005F074A">
        <w:rPr>
          <w:rFonts w:cs="Times New Roman"/>
          <w:vertAlign w:val="subscript"/>
        </w:rPr>
        <w:t>4</w:t>
      </w:r>
      <w:r w:rsidRPr="005F074A">
        <w:rPr>
          <w:rFonts w:cs="Times New Roman"/>
          <w:vertAlign w:val="superscript"/>
        </w:rPr>
        <w:t>+</w:t>
      </w:r>
      <w:r w:rsidRPr="005F074A">
        <w:rPr>
          <w:rFonts w:cs="Times New Roman"/>
        </w:rPr>
        <w:t xml:space="preserve"> ratio in leaves and roots of the sweet potato</w:t>
      </w:r>
    </w:p>
    <w:p w14:paraId="3EF0A856" w14:textId="77777777" w:rsidR="002F0EDB" w:rsidRPr="00AB111C" w:rsidRDefault="002F0EDB" w:rsidP="00AB111C">
      <w:pPr>
        <w:rPr>
          <w:rFonts w:cs="Times New Roman"/>
        </w:rPr>
      </w:pPr>
    </w:p>
    <w:sectPr w:rsidR="002F0EDB" w:rsidRPr="00AB111C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6E3F" w14:textId="77777777" w:rsidR="00747B58" w:rsidRDefault="00747B58" w:rsidP="00117666">
      <w:pPr>
        <w:spacing w:after="0"/>
      </w:pPr>
      <w:r>
        <w:separator/>
      </w:r>
    </w:p>
  </w:endnote>
  <w:endnote w:type="continuationSeparator" w:id="0">
    <w:p w14:paraId="2BD6813A" w14:textId="77777777" w:rsidR="00747B58" w:rsidRDefault="00747B5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006B" w14:textId="77777777" w:rsidR="00747B58" w:rsidRDefault="00747B58" w:rsidP="00117666">
      <w:pPr>
        <w:spacing w:after="0"/>
      </w:pPr>
      <w:r>
        <w:separator/>
      </w:r>
    </w:p>
  </w:footnote>
  <w:footnote w:type="continuationSeparator" w:id="0">
    <w:p w14:paraId="7484CD34" w14:textId="77777777" w:rsidR="00747B58" w:rsidRDefault="00747B5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4430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0EDB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7B58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6B79"/>
    <w:rsid w:val="00A174D9"/>
    <w:rsid w:val="00AA4D24"/>
    <w:rsid w:val="00AB111C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2B29"/>
    <w:rsid w:val="00D060CF"/>
    <w:rsid w:val="00DB02E9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06F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8D00A7-8E61-41AE-B532-0CB5872E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liujingran</cp:lastModifiedBy>
  <cp:revision>7</cp:revision>
  <cp:lastPrinted>2013-10-03T12:51:00Z</cp:lastPrinted>
  <dcterms:created xsi:type="dcterms:W3CDTF">2018-11-23T08:58:00Z</dcterms:created>
  <dcterms:modified xsi:type="dcterms:W3CDTF">2022-10-13T03:58:00Z</dcterms:modified>
</cp:coreProperties>
</file>