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spacing w:before="24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Table S. Demographic features of UHR-T、UHR-NT group and HC group</w:t>
      </w:r>
    </w:p>
    <w:p>
      <w:pPr>
        <w:autoSpaceDE w:val="0"/>
        <w:autoSpaceDN w:val="0"/>
        <w:adjustRightInd w:val="0"/>
        <w:rPr>
          <w:rFonts w:eastAsia="EDCID G+ Adv O T 863180fb"/>
          <w:szCs w:val="24"/>
        </w:rPr>
      </w:pPr>
      <w:r>
        <w:rPr>
          <w:rFonts w:eastAsia="EDCID G+ Adv O T 863180fb"/>
          <w:szCs w:val="24"/>
        </w:rPr>
        <w:t>T</w:t>
      </w:r>
      <w:r>
        <w:rPr>
          <w:szCs w:val="24"/>
        </w:rPr>
        <w:t>here</w:t>
      </w:r>
      <w:r>
        <w:rPr>
          <w:rFonts w:eastAsia="EDCID G+ Adv O T 863180fb"/>
          <w:szCs w:val="24"/>
        </w:rPr>
        <w:t xml:space="preserve"> were no signi</w:t>
      </w:r>
      <w:r>
        <w:rPr>
          <w:rFonts w:eastAsia="EDDLP H+ Adv O T 863180fb+fb"/>
          <w:szCs w:val="24"/>
        </w:rPr>
        <w:t>fi</w:t>
      </w:r>
      <w:r>
        <w:rPr>
          <w:rFonts w:eastAsia="EDCID G+ Adv O T 863180fb"/>
          <w:szCs w:val="24"/>
        </w:rPr>
        <w:t>cant differences (</w:t>
      </w:r>
      <w:r>
        <w:rPr>
          <w:szCs w:val="24"/>
        </w:rPr>
        <w:t xml:space="preserve">p </w:t>
      </w:r>
      <w:r>
        <w:rPr>
          <w:rFonts w:eastAsia="EDJCN C+ Adv O Tb 0c 9bf 5d"/>
          <w:szCs w:val="24"/>
        </w:rPr>
        <w:t xml:space="preserve">&gt; </w:t>
      </w:r>
      <w:r>
        <w:rPr>
          <w:rFonts w:eastAsia="EDCID G+ Adv O T 863180fb"/>
          <w:szCs w:val="24"/>
        </w:rPr>
        <w:t>0.05) in age, gender, and education between the 3 groups (UHR-T, UHR-NT, and HC). The UHR-T group</w:t>
      </w:r>
      <w:r>
        <w:rPr>
          <w:szCs w:val="24"/>
        </w:rPr>
        <w:t xml:space="preserve"> </w:t>
      </w:r>
      <w:r>
        <w:rPr>
          <w:rFonts w:eastAsia="EDCID G+ Adv O T 863180fb"/>
          <w:szCs w:val="24"/>
        </w:rPr>
        <w:t xml:space="preserve">showed a significantly </w:t>
      </w:r>
      <w:r>
        <w:rPr>
          <w:szCs w:val="24"/>
        </w:rPr>
        <w:t>i</w:t>
      </w:r>
      <w:r>
        <w:rPr>
          <w:rFonts w:eastAsia="EDCID G+ Adv O T 863180fb"/>
          <w:szCs w:val="24"/>
        </w:rPr>
        <w:t xml:space="preserve">ncreased </w:t>
      </w:r>
      <w:r>
        <w:rPr>
          <w:szCs w:val="24"/>
        </w:rPr>
        <w:t xml:space="preserve">SIPS-N score </w:t>
      </w:r>
      <w:r>
        <w:rPr>
          <w:rFonts w:eastAsia="EDCID G+ Adv O T 863180fb"/>
          <w:szCs w:val="24"/>
        </w:rPr>
        <w:t>compared to</w:t>
      </w:r>
      <w:r>
        <w:rPr>
          <w:szCs w:val="24"/>
        </w:rPr>
        <w:t xml:space="preserve"> the </w:t>
      </w:r>
      <w:r>
        <w:rPr>
          <w:rFonts w:eastAsia="EDCID G+ Adv O T 863180fb"/>
          <w:szCs w:val="24"/>
        </w:rPr>
        <w:t>UHR-NT group The detailed clinical characteristics</w:t>
      </w:r>
      <w:r>
        <w:rPr>
          <w:szCs w:val="24"/>
        </w:rPr>
        <w:t xml:space="preserve"> </w:t>
      </w:r>
      <w:r>
        <w:rPr>
          <w:rFonts w:eastAsia="EDCID G+ Adv O T 863180fb"/>
          <w:szCs w:val="24"/>
        </w:rPr>
        <w:t>of the participants are shown in (Table S).</w:t>
      </w:r>
    </w:p>
    <w:tbl>
      <w:tblPr>
        <w:tblStyle w:val="21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210"/>
        <w:gridCol w:w="1338"/>
        <w:gridCol w:w="1560"/>
        <w:gridCol w:w="85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UHR-T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UHR-NT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HC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F/x</w:t>
            </w:r>
            <w:r>
              <w:rPr>
                <w:rFonts w:hint="eastAsia" w:eastAsia="Times New Roman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i/>
                <w:iCs/>
                <w:sz w:val="20"/>
                <w:szCs w:val="20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Age</w:t>
            </w:r>
            <w:r>
              <w:rPr>
                <w:rFonts w:hint="eastAsia" w:eastAsia="宋体" w:cs="Calibri"/>
                <w:sz w:val="20"/>
                <w:szCs w:val="20"/>
                <w:lang w:val="en-US" w:eastAsia="zh-CN"/>
              </w:rPr>
              <w:t>(years,</w:t>
            </w:r>
            <w:r>
              <w:rPr>
                <w:rFonts w:hint="eastAsia" w:eastAsia="Times New Roman" w:cs="Calibri"/>
                <w:sz w:val="20"/>
                <w:szCs w:val="20"/>
                <w:lang w:val="en-US" w:eastAsia="zh-CN"/>
              </w:rPr>
              <w:t>mean±</w:t>
            </w:r>
            <w:r>
              <w:rPr>
                <w:rFonts w:hint="default" w:eastAsia="Times New Roman" w:cs="Calibri"/>
                <w:sz w:val="20"/>
                <w:szCs w:val="20"/>
                <w:lang w:val="en-US" w:eastAsia="zh-CN"/>
              </w:rPr>
              <w:t>SD</w:t>
            </w:r>
            <w:r>
              <w:rPr>
                <w:rFonts w:hint="eastAsia" w:eastAsia="Times New Roman" w:cs="Calibri"/>
                <w:sz w:val="20"/>
                <w:szCs w:val="20"/>
                <w:lang w:val="en-US" w:eastAsia="zh-CN"/>
              </w:rPr>
              <w:t>)</w:t>
            </w:r>
          </w:p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position w:val="-4"/>
                <w:sz w:val="20"/>
                <w:szCs w:val="20"/>
              </w:rPr>
              <w:t>18.86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2.98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18.11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3.68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19.00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2.92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1.624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0.202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se</w:t>
            </w:r>
            <w:r>
              <w:rPr>
                <w:rFonts w:hint="eastAsia" w:eastAsia="宋体" w:cs="Calibri"/>
                <w:sz w:val="20"/>
                <w:szCs w:val="20"/>
                <w:lang w:val="en-US" w:eastAsia="zh-CN"/>
              </w:rPr>
              <w:t>x(male/female)</w:t>
            </w:r>
          </w:p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8/6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16/19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21/9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3.877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0.143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education</w:t>
            </w:r>
            <w:r>
              <w:rPr>
                <w:rFonts w:hint="eastAsia" w:eastAsia="宋体" w:cs="Calibri"/>
                <w:sz w:val="20"/>
                <w:szCs w:val="20"/>
                <w:lang w:val="en-US" w:eastAsia="zh-CN"/>
              </w:rPr>
              <w:t>(years,</w:t>
            </w:r>
            <w:r>
              <w:rPr>
                <w:rFonts w:hint="eastAsia" w:eastAsia="Times New Roman" w:cs="Calibri"/>
                <w:sz w:val="20"/>
                <w:szCs w:val="20"/>
                <w:lang w:val="en-US" w:eastAsia="zh-CN"/>
              </w:rPr>
              <w:t>mean±</w:t>
            </w:r>
            <w:r>
              <w:rPr>
                <w:rFonts w:hint="default" w:eastAsia="Times New Roman" w:cs="Calibri"/>
                <w:sz w:val="20"/>
                <w:szCs w:val="20"/>
                <w:lang w:val="en-US" w:eastAsia="zh-CN"/>
              </w:rPr>
              <w:t>SD</w:t>
            </w:r>
            <w:r>
              <w:rPr>
                <w:rFonts w:hint="eastAsia" w:eastAsia="Times New Roman" w:cs="Calibri"/>
                <w:sz w:val="20"/>
                <w:szCs w:val="20"/>
                <w:lang w:val="en-US" w:eastAsia="zh-CN"/>
              </w:rPr>
              <w:t>)</w:t>
            </w:r>
          </w:p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10.57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2.41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11.11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2.64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12.17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2.34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2.276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0.107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 xml:space="preserve">SIPS-P score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position w:val="-4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position w:val="-4"/>
                <w:sz w:val="20"/>
                <w:szCs w:val="20"/>
              </w:rPr>
              <w:t>0.71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5.76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position w:val="-4"/>
                <w:sz w:val="20"/>
                <w:szCs w:val="20"/>
              </w:rPr>
              <w:t>12.31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5.70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 xml:space="preserve">SIPS-N score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position w:val="-4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position w:val="-4"/>
                <w:sz w:val="20"/>
                <w:szCs w:val="20"/>
              </w:rPr>
              <w:t>4.86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6.95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position w:val="-4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position w:val="-4"/>
                <w:sz w:val="20"/>
                <w:szCs w:val="20"/>
              </w:rPr>
              <w:t>0.54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5.99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.716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 xml:space="preserve">SIPS-G score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position w:val="-4"/>
                <w:sz w:val="20"/>
                <w:szCs w:val="20"/>
              </w:rPr>
              <w:t>4.57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2.84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position w:val="-4"/>
                <w:sz w:val="20"/>
                <w:szCs w:val="20"/>
              </w:rPr>
              <w:t>3.</w:t>
            </w:r>
            <w:r>
              <w:rPr>
                <w:rFonts w:eastAsia="Times New Roman" w:cs="Times New Roman"/>
                <w:position w:val="-4"/>
                <w:sz w:val="20"/>
                <w:szCs w:val="20"/>
              </w:rPr>
              <w:t>80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2.23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.005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 xml:space="preserve">SIPS-P score 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position w:val="-4"/>
                <w:sz w:val="20"/>
                <w:szCs w:val="20"/>
              </w:rPr>
              <w:t>4.</w:t>
            </w:r>
            <w:r>
              <w:rPr>
                <w:rFonts w:eastAsia="Times New Roman" w:cs="Times New Roman"/>
                <w:position w:val="-4"/>
                <w:sz w:val="20"/>
                <w:szCs w:val="20"/>
              </w:rPr>
              <w:t>71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2.40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position w:val="-4"/>
                <w:sz w:val="20"/>
                <w:szCs w:val="20"/>
              </w:rPr>
              <w:t>4.</w:t>
            </w:r>
            <w:r>
              <w:rPr>
                <w:rFonts w:eastAsia="Times New Roman" w:cs="Times New Roman"/>
                <w:position w:val="-4"/>
                <w:sz w:val="20"/>
                <w:szCs w:val="20"/>
              </w:rPr>
              <w:t>94</w:t>
            </w:r>
            <w:r>
              <w:rPr>
                <w:rFonts w:ascii="MTSY" w:hAnsi="MTSY" w:eastAsia="MTSY" w:cs="MTSY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0.239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eastAsia" w:eastAsia="Times New Roman" w:cs="Calibri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.812</w:t>
            </w:r>
          </w:p>
        </w:tc>
      </w:tr>
    </w:tbl>
    <w:p>
      <w:pPr>
        <w:spacing w:before="240"/>
      </w:pP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DCID G+ Adv O T 863180fb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DLP H+ Adv O T 863180fb+f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DJCN C+ Adv O Tb 0c 9bf 5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S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Std-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K0MLc0MDM0MjUzNbdQ0lEKTi0uzszPAykwrAUAYoiA2SwAAAA="/>
    <w:docVar w:name="commondata" w:val="eyJoZGlkIjoiNDQ3YjViMDQ3MDViNDcxZDI4MDljZmFjNzczNzk5MzMifQ=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7E1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329E7"/>
    <w:rsid w:val="00F46900"/>
    <w:rsid w:val="00F61D89"/>
    <w:rsid w:val="23202FDB"/>
    <w:rsid w:val="7CA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99" w:semiHidden="0" w:name="Table Grid"/>
    <w:lsdException w:unhideWhenUsed="0" w:uiPriority="99" w:semiHidden="0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9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1</Pages>
  <Words>108</Words>
  <Characters>622</Characters>
  <Lines>63</Lines>
  <Paragraphs>53</Paragraphs>
  <TotalTime>2</TotalTime>
  <ScaleCrop>false</ScaleCrop>
  <LinksUpToDate>false</LinksUpToDate>
  <CharactersWithSpaces>686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2022-11-15T12:15:00Z</dcterms:created>
  <dc:creator>Frontiers Media SA</dc:creator>
  <cp:lastModifiedBy>蒹葭</cp:lastModifiedBy>
  <cp:lastPrinted>2013-10-03T12:51:00Z</cp:lastPrinted>
  <dcterms:modified xsi:type="dcterms:W3CDTF">2022-12-05T15:29:17Z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94df0ec27b95be1273b241df36fb5f7d3e56fdca5128853deb45c0e61b59cfa7</vt:lpwstr>
  </property>
  <property fmtid="{D5CDD505-2E9C-101B-9397-08002B2CF9AE}" pid="3" name="KSOProductBuildVer">
    <vt:lpwstr>2052-11.1.0.12763</vt:lpwstr>
  </property>
  <property fmtid="{D5CDD505-2E9C-101B-9397-08002B2CF9AE}" pid="4" name="ICV">
    <vt:lpwstr>EDA8EFB5FB4A40F3A9B11C5BCAE25C6D</vt:lpwstr>
  </property>
</Properties>
</file>